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rFonts w:ascii="Calibri" w:cs="Calibri" w:eastAsia="Calibri" w:hAnsi="Calibri"/>
          <w:b/>
          <w:bCs/>
          <w:caps/>
          <w:color w:val="4338CA"/>
          <w:sz w:val="22"/>
          <w:szCs w:val="22"/>
        </w:rPr>
        <w:t xml:space="preserve">SYSTEM DESIGN ASSIGNMENT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A1B25"/>
          <w:sz w:val="54"/>
          <w:szCs w:val="54"/>
        </w:rPr>
        <w:t xml:space="preserve">Schoology Grade Tracker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4338CA"/>
          <w:sz w:val="40"/>
          <w:szCs w:val="40"/>
        </w:rPr>
        <w:t xml:space="preserve">System Components &amp; Architecture</w:t>
      </w:r>
    </w:p>
    <w:p>
      <w:pPr>
        <w:pBdr>
          <w:bottom w:val="single" w:color="4338CA" w:sz="12" w:space="8"/>
        </w:pBdr>
        <w:spacing w:after="40"/>
      </w:pPr>
      <w:r>
        <w:rPr>
          <w:rFonts w:ascii="Calibri" w:cs="Calibri" w:eastAsia="Calibri" w:hAnsi="Calibri"/>
          <w:i/>
          <w:iCs/>
          <w:color w:val="565A70"/>
          <w:sz w:val="24"/>
          <w:szCs w:val="24"/>
        </w:rPr>
        <w:t xml:space="preserve">A “Better Schoology” grades application built on a three-tier, database-backed system.</w:t>
      </w:r>
    </w:p>
    <w:p>
      <w:pPr>
        <w:spacing w:before="700"/>
      </w:pPr>
    </w:p>
    <w:p>
      <w:pPr>
        <w:tabs>
          <w:tab w:val="left" w:pos="2600"/>
        </w:tabs>
        <w:spacing w:after="90"/>
      </w:pPr>
      <w:r>
        <w:rPr>
          <w:rFonts w:ascii="Calibri" w:cs="Calibri" w:eastAsia="Calibri" w:hAnsi="Calibri"/>
          <w:b/>
          <w:bCs/>
          <w:caps/>
          <w:color w:val="7B7E93"/>
          <w:sz w:val="20"/>
          <w:szCs w:val="20"/>
        </w:rPr>
        <w:t xml:space="preserve">Prepared by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9A5E12"/>
          <w:sz w:val="24"/>
          <w:szCs w:val="24"/>
        </w:rPr>
        <w:t xml:space="preserve">Taehong Kim</w:t>
      </w:r>
    </w:p>
    <w:p>
      <w:pPr>
        <w:tabs>
          <w:tab w:val="left" w:pos="2600"/>
        </w:tabs>
        <w:spacing w:after="90"/>
      </w:pPr>
      <w:r>
        <w:rPr>
          <w:rFonts w:ascii="Calibri" w:cs="Calibri" w:eastAsia="Calibri" w:hAnsi="Calibri"/>
          <w:b/>
          <w:bCs/>
          <w:caps/>
          <w:color w:val="7B7E93"/>
          <w:sz w:val="20"/>
          <w:szCs w:val="20"/>
        </w:rPr>
        <w:t xml:space="preserve">Course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9A5E12"/>
          <w:sz w:val="24"/>
          <w:szCs w:val="24"/>
        </w:rPr>
        <w:t xml:space="preserve">[ Course name / number ]</w:t>
      </w:r>
    </w:p>
    <w:p>
      <w:pPr>
        <w:tabs>
          <w:tab w:val="left" w:pos="2600"/>
        </w:tabs>
        <w:spacing w:after="90"/>
      </w:pPr>
      <w:r>
        <w:rPr>
          <w:rFonts w:ascii="Calibri" w:cs="Calibri" w:eastAsia="Calibri" w:hAnsi="Calibri"/>
          <w:b/>
          <w:bCs/>
          <w:caps/>
          <w:color w:val="7B7E93"/>
          <w:sz w:val="20"/>
          <w:szCs w:val="20"/>
        </w:rPr>
        <w:t xml:space="preserve">Instructor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9A5E12"/>
          <w:sz w:val="24"/>
          <w:szCs w:val="24"/>
        </w:rPr>
        <w:t xml:space="preserve">[ Instructor name ]</w:t>
      </w:r>
    </w:p>
    <w:p>
      <w:pPr>
        <w:tabs>
          <w:tab w:val="left" w:pos="2600"/>
        </w:tabs>
        <w:spacing w:after="90"/>
      </w:pPr>
      <w:r>
        <w:rPr>
          <w:rFonts w:ascii="Calibri" w:cs="Calibri" w:eastAsia="Calibri" w:hAnsi="Calibri"/>
          <w:b/>
          <w:bCs/>
          <w:caps/>
          <w:color w:val="7B7E93"/>
          <w:sz w:val="20"/>
          <w:szCs w:val="20"/>
        </w:rPr>
        <w:t xml:space="preserve">Assignment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1A1B25"/>
          <w:sz w:val="24"/>
          <w:szCs w:val="24"/>
        </w:rPr>
        <w:t xml:space="preserve">Major system components + architecture diagram</w:t>
      </w:r>
    </w:p>
    <w:p>
      <w:pPr>
        <w:tabs>
          <w:tab w:val="left" w:pos="2600"/>
        </w:tabs>
        <w:spacing w:after="90"/>
      </w:pPr>
      <w:r>
        <w:rPr>
          <w:rFonts w:ascii="Calibri" w:cs="Calibri" w:eastAsia="Calibri" w:hAnsi="Calibri"/>
          <w:b/>
          <w:bCs/>
          <w:caps/>
          <w:color w:val="7B7E93"/>
          <w:sz w:val="20"/>
          <w:szCs w:val="20"/>
        </w:rPr>
        <w:t xml:space="preserve">Date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1A1B25"/>
          <w:sz w:val="24"/>
          <w:szCs w:val="24"/>
        </w:rPr>
        <w:t xml:space="preserve">September 12, 2026</w:t>
      </w:r>
    </w:p>
    <w:p>
      <w:pPr>
        <w:spacing w:before="900"/>
      </w:pPr>
    </w:p>
    <w:p>
      <w:r>
        <w:rPr>
          <w:rFonts w:ascii="Calibri" w:cs="Calibri" w:eastAsia="Calibri" w:hAnsi="Calibri"/>
          <w:color w:val="7B7E93"/>
          <w:sz w:val="20"/>
          <w:szCs w:val="20"/>
        </w:rPr>
        <w:t xml:space="preserve">Deliverables: (a) this component document and (b) the system architecture diagram in Section 2.</w:t>
      </w:r>
    </w:p>
    <w:p>
      <w:r>
        <w:br w:type="page"/>
      </w:r>
    </w:p>
    <w:p>
      <w:pPr>
        <w:pStyle w:val="Heading1"/>
        <w:pBdr>
          <w:bottom w:val="single" w:color="4338CA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4338CA"/>
          <w:sz w:val="30"/>
          <w:szCs w:val="30"/>
        </w:rPr>
        <w:t xml:space="preserve">1.  </w:t>
      </w:r>
      <w:r>
        <w:rPr>
          <w:rFonts w:ascii="Calibri" w:cs="Calibri" w:eastAsia="Calibri" w:hAnsi="Calibri"/>
          <w:b/>
          <w:bCs/>
          <w:color w:val="1A1B25"/>
          <w:sz w:val="30"/>
          <w:szCs w:val="30"/>
        </w:rPr>
        <w:t xml:space="preserve">Overview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B25"/>
          <w:sz w:val="22"/>
          <w:szCs w:val="22"/>
        </w:rPr>
        <w:t xml:space="preserve">Schoology Grade Tracker is a cross-platform grades application, organized as a classic three-tier system: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Client tier —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the apps people use: a Flutter student app (Android / iOS), a caregiver / parent mode, and a separate internal admin console.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Application / API tier —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a hosted API that is the single access path to the backend, plus the services around it (authentication, background workers, push).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Data tier —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a </w:t>
      </w:r>
      <w:r>
        <w:rPr>
          <w:rFonts w:ascii="Consolas" w:cs="Consolas" w:eastAsia="Consolas" w:hAnsi="Consolas"/>
          <w:color w:val="1A1B25"/>
          <w:sz w:val="20"/>
          <w:szCs w:val="20"/>
        </w:rPr>
        <w:t xml:space="preserve">PostgreSQL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 database that is the system of record, plus object storage and a cache.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B25"/>
          <w:sz w:val="22"/>
          <w:szCs w:val="22"/>
        </w:rPr>
        <w:t xml:space="preserve">Grade data is captured keyless on the device (screenshots + OCR, a saved HTML grade report, and the Schoology iCal feed — nothing is scraped or automated), then synced up to the API and stored in the database. Putting the data in a server database is what unlocks the features a single offline phone cannot provide: cross-device sync, grade-change notifications, caregiver access, and human support and administration.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4338CA"/>
          <w:sz w:val="25"/>
          <w:szCs w:val="25"/>
        </w:rPr>
        <w:t xml:space="preserve">What exists today vs. what this phase builds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B25"/>
          <w:sz w:val="22"/>
          <w:szCs w:val="22"/>
        </w:rPr>
        <w:t xml:space="preserve">The Flutter client, the grade engine, and the keyless import layer are already </w:t>
      </w:r>
      <w:r>
        <w:rPr>
          <w:rFonts w:ascii="Calibri" w:cs="Calibri" w:eastAsia="Calibri" w:hAnsi="Calibri"/>
          <w:b/>
          <w:bCs/>
          <w:color w:val="167A4D"/>
          <w:sz w:val="22"/>
          <w:szCs w:val="22"/>
        </w:rPr>
        <w:t xml:space="preserve">built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 (running today against on-device storage). The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backend — API, database, authentication, notifications, and the admin console — is what this phase </w:t>
      </w:r>
      <w:r>
        <w:rPr>
          <w:rFonts w:ascii="Calibri" w:cs="Calibri" w:eastAsia="Calibri" w:hAnsi="Calibri"/>
          <w:b/>
          <w:bCs/>
          <w:color w:val="9A5E12"/>
          <w:sz w:val="22"/>
          <w:szCs w:val="22"/>
        </w:rPr>
        <w:t xml:space="preserve">builds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. Every component in this document and diagram is marked </w:t>
      </w:r>
      <w:r>
        <w:rPr>
          <w:rFonts w:ascii="Consolas" w:cs="Consolas" w:eastAsia="Consolas" w:hAnsi="Consolas"/>
          <w:b/>
          <w:bCs/>
          <w:color w:val="167A4D"/>
          <w:sz w:val="16"/>
          <w:szCs w:val="16"/>
        </w:rPr>
        <w:t xml:space="preserve">BUILT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 or </w:t>
      </w:r>
      <w:r>
        <w:rPr>
          <w:rFonts w:ascii="Consolas" w:cs="Consolas" w:eastAsia="Consolas" w:hAnsi="Consolas"/>
          <w:b/>
          <w:bCs/>
          <w:color w:val="9A5E12"/>
          <w:sz w:val="16"/>
          <w:szCs w:val="16"/>
        </w:rPr>
        <w:t xml:space="preserve">TO BUILD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4338CA"/>
          <w:sz w:val="25"/>
          <w:szCs w:val="25"/>
        </w:rPr>
        <w:t xml:space="preserve">The seam that keeps this affordable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B25"/>
          <w:sz w:val="22"/>
          <w:szCs w:val="22"/>
        </w:rPr>
        <w:t xml:space="preserve">The client already reads its data through one interface, </w:t>
      </w:r>
      <w:r>
        <w:rPr>
          <w:rFonts w:ascii="Consolas" w:cs="Consolas" w:eastAsia="Consolas" w:hAnsi="Consolas"/>
          <w:color w:val="1A1B25"/>
          <w:sz w:val="20"/>
          <w:szCs w:val="20"/>
        </w:rPr>
        <w:t xml:space="preserve">GradeRepository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. A network-backed implementation (</w:t>
      </w:r>
      <w:r>
        <w:rPr>
          <w:rFonts w:ascii="Consolas" w:cs="Consolas" w:eastAsia="Consolas" w:hAnsi="Consolas"/>
          <w:color w:val="1A1B25"/>
          <w:sz w:val="20"/>
          <w:szCs w:val="20"/>
        </w:rPr>
        <w:t xml:space="preserve">SyncRepository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) plugs in behind that same interface, so adding the backend does not require rewriting the UI or the grade math.</w:t>
      </w:r>
    </w:p>
    <w:p>
      <w:r>
        <w:br w:type="page"/>
      </w:r>
    </w:p>
    <w:p>
      <w:pPr>
        <w:pStyle w:val="Heading1"/>
        <w:pBdr>
          <w:bottom w:val="single" w:color="4338CA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4338CA"/>
          <w:sz w:val="30"/>
          <w:szCs w:val="30"/>
        </w:rPr>
        <w:t xml:space="preserve">2.  </w:t>
      </w:r>
      <w:r>
        <w:rPr>
          <w:rFonts w:ascii="Calibri" w:cs="Calibri" w:eastAsia="Calibri" w:hAnsi="Calibri"/>
          <w:b/>
          <w:bCs/>
          <w:color w:val="1A1B25"/>
          <w:sz w:val="30"/>
          <w:szCs w:val="30"/>
        </w:rPr>
        <w:t xml:space="preserve">System Architecture Diagram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B25"/>
          <w:sz w:val="22"/>
          <w:szCs w:val="22"/>
        </w:rPr>
        <w:t xml:space="preserve">The diagram spans two pages: the data sources and client tier (Figure 1), and the application / API tier and data tier (Figure 2). Solid indigo = client tier, outlined = application tier, teal = data tier; green marks components that exist today and amber marks components to build this phase.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682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7B7E93"/>
          <w:sz w:val="18"/>
          <w:szCs w:val="18"/>
        </w:rPr>
        <w:t xml:space="preserve">Figure 1 — Data sources and client tier</w:t>
      </w:r>
    </w:p>
    <w:p>
      <w:r>
        <w:br w:type="page"/>
      </w:r>
    </w:p>
    <w:p>
      <w:pPr>
        <w:spacing w:after="60" w:before="60"/>
        <w:jc w:val="center"/>
      </w:pPr>
      <w:r>
        <w:drawing>
          <wp:inline distT="0" distB="0" distL="0" distR="0">
            <wp:extent cx="5715000" cy="627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7B7E93"/>
          <w:sz w:val="18"/>
          <w:szCs w:val="18"/>
        </w:rPr>
        <w:t xml:space="preserve">Figure 2 — Application / API tier and data tier</w:t>
      </w:r>
    </w:p>
    <w:p>
      <w:r>
        <w:br w:type="page"/>
      </w:r>
    </w:p>
    <w:p>
      <w:pPr>
        <w:pStyle w:val="Heading1"/>
        <w:pBdr>
          <w:bottom w:val="single" w:color="4338CA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4338CA"/>
          <w:sz w:val="30"/>
          <w:szCs w:val="30"/>
        </w:rPr>
        <w:t xml:space="preserve">3.  </w:t>
      </w:r>
      <w:r>
        <w:rPr>
          <w:rFonts w:ascii="Calibri" w:cs="Calibri" w:eastAsia="Calibri" w:hAnsi="Calibri"/>
          <w:b/>
          <w:bCs/>
          <w:color w:val="1A1B25"/>
          <w:sz w:val="30"/>
          <w:szCs w:val="30"/>
        </w:rPr>
        <w:t xml:space="preserve">Component Inventory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4338CA"/>
          <w:sz w:val="25"/>
          <w:szCs w:val="25"/>
        </w:rPr>
        <w:t xml:space="preserve">3.1  Client tier — applications &amp; user-facing modes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Student app </w:t>
      </w:r>
      <w:r>
        <w:rPr>
          <w:rFonts w:ascii="Consolas" w:cs="Consolas" w:eastAsia="Consolas" w:hAnsi="Consolas"/>
          <w:b/>
          <w:bCs/>
          <w:color w:val="167A4D"/>
          <w:sz w:val="16"/>
          <w:szCs w:val="16"/>
        </w:rPr>
        <w:t xml:space="preserve">BUILT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  — the existing Flutter app (Android / iOS; web for dev preview). It is internally layered:</w:t>
      </w:r>
    </w:p>
    <w:tbl>
      <w:tblPr>
        <w:tblW w:type="dxa" w:w="9360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EE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Layer</w:t>
            </w:r>
          </w:p>
        </w:tc>
        <w:tc>
          <w:tcPr>
            <w:tcW w:type="dxa" w:w="7060"/>
            <w:shd w:fill="EE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Responsibility &amp; key pieces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B25"/>
                <w:sz w:val="20"/>
                <w:szCs w:val="20"/>
              </w:rPr>
              <w:t xml:space="preserve">Presentation (UI)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home · course_detail (What-If) · import · upcoming · settings · onboarding.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B25"/>
                <w:sz w:val="20"/>
                <w:szCs w:val="20"/>
              </w:rPr>
              <w:t xml:space="preserve">State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Riverpod — gradebookProvider, whatIfProvider, upcomingProvider, themeModeProvider.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B25"/>
                <w:sz w:val="20"/>
                <w:szCs w:val="20"/>
              </w:rPr>
              <w:t xml:space="preserve">Domain / logic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GradeEngine (weighted + points-based math, category→period→course rollup, What-If, final-grade solver); models Course → GradingPeriod → Category → Assignment.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B25"/>
                <w:sz w:val="20"/>
                <w:szCs w:val="20"/>
              </w:rPr>
              <w:t xml:space="preserve">Import / ingestion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screenshot_classifier · html_report_parser · ical_parser + assignment_matcher.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B25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2"/>
                <w:szCs w:val="22"/>
              </w:rPr>
              <w:t xml:space="preserve">The swappable seam: </w:t>
            </w:r>
            <w:r>
              <w:rPr>
                <w:rFonts w:ascii="Consolas" w:cs="Consolas" w:eastAsia="Consolas" w:hAnsi="Consolas"/>
                <w:color w:val="1A1B25"/>
                <w:sz w:val="20"/>
                <w:szCs w:val="20"/>
              </w:rPr>
              <w:t xml:space="preserve">GradeRepository</w:t>
            </w:r>
            <w:r>
              <w:rPr>
                <w:rFonts w:ascii="Calibri" w:cs="Calibri" w:eastAsia="Calibri" w:hAnsi="Calibri"/>
                <w:color w:val="1A1B25"/>
                <w:sz w:val="22"/>
                <w:szCs w:val="22"/>
              </w:rPr>
              <w:t xml:space="preserve"> + a new </w:t>
            </w:r>
            <w:r>
              <w:rPr>
                <w:rFonts w:ascii="Consolas" w:cs="Consolas" w:eastAsia="Consolas" w:hAnsi="Consolas"/>
                <w:color w:val="1A1B25"/>
                <w:sz w:val="20"/>
                <w:szCs w:val="20"/>
              </w:rPr>
              <w:t xml:space="preserve">SyncRepository</w:t>
            </w:r>
            <w:r>
              <w:rPr>
                <w:rFonts w:ascii="Calibri" w:cs="Calibri" w:eastAsia="Calibri" w:hAnsi="Calibri"/>
                <w:color w:val="1A1B25"/>
                <w:sz w:val="22"/>
                <w:szCs w:val="22"/>
              </w:rPr>
              <w:t xml:space="preserve"> (to build) that talks to the API.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B25"/>
                <w:sz w:val="20"/>
                <w:szCs w:val="20"/>
              </w:rPr>
              <w:t xml:space="preserve">Local cache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Offline-first store: SharedPreferences (JSON) + Keychain / Keystore — now a cache in front of the server, not the only copy.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Caregiver / parent mode </w:t>
      </w:r>
      <w:r>
        <w:rPr>
          <w:rFonts w:ascii="Consolas" w:cs="Consolas" w:eastAsia="Consolas" w:hAnsi="Consolas"/>
          <w:b/>
          <w:bCs/>
          <w:color w:val="9A5E12"/>
          <w:sz w:val="16"/>
          <w:szCs w:val="16"/>
        </w:rPr>
        <w:t xml:space="preserve">TO BUILD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  — the same app in a read-only mode; a guardian the student invites can view the linked student’s grades and upcoming work.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Admin console </w:t>
      </w:r>
      <w:r>
        <w:rPr>
          <w:rFonts w:ascii="Consolas" w:cs="Consolas" w:eastAsia="Consolas" w:hAnsi="Consolas"/>
          <w:b/>
          <w:bCs/>
          <w:color w:val="9A5E12"/>
          <w:sz w:val="16"/>
          <w:szCs w:val="16"/>
        </w:rPr>
        <w:t xml:space="preserve">TO BUILD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  — a separate internal web application for staff, never shipped to end users. This is where support agents and system admins operate on accounts (Section 5).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4338CA"/>
          <w:sz w:val="25"/>
          <w:szCs w:val="25"/>
        </w:rPr>
        <w:t xml:space="preserve">3.2  Application / API tier   ·   to build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B25"/>
          <w:sz w:val="22"/>
          <w:szCs w:val="22"/>
        </w:rPr>
        <w:t xml:space="preserve">One gateway with three separately-authorized API sets, plus the services around them. Admin actions are a distinct, audited surface — not a flag on the student API.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Student API —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authentication, sync the gradebook up/down, register device push tokens, create and manage caregiver invites.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Caregiver API —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accept an invite; read-only access to a linked student’s grades.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Admin / Support API —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privileged, fully-audited account operations, on a separate surface with least privilege.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Authentication / Identity service —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sign-up and login (email + password and/or SSO), token issuance, sessions, password-reset flows.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Change-detection &amp; notification worker —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a scheduled job that diffs the newest synced gradebook against the stored copy and enqueues notifications.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Push dispatch —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delivers alerts via APNs (iOS) and FCM (Android), respecting each user’s notification preferences.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4338CA"/>
          <w:sz w:val="25"/>
          <w:szCs w:val="25"/>
        </w:rPr>
        <w:t xml:space="preserve">3.3  Data tier — the database   ·   to build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B25"/>
          <w:sz w:val="22"/>
          <w:szCs w:val="22"/>
        </w:rPr>
        <w:t xml:space="preserve">A managed relational database (</w:t>
      </w:r>
      <w:r>
        <w:rPr>
          <w:rFonts w:ascii="Consolas" w:cs="Consolas" w:eastAsia="Consolas" w:hAnsi="Consolas"/>
          <w:color w:val="1A1B25"/>
          <w:sz w:val="20"/>
          <w:szCs w:val="20"/>
        </w:rPr>
        <w:t xml:space="preserve">PostgreSQL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) is the system of record. Grades stay owned by the user — the database holds a synced copy, ideally end-to-end encrypted. Core tables:</w:t>
      </w:r>
    </w:p>
    <w:tbl>
      <w:tblPr>
        <w:tblW w:type="dxa" w:w="9360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E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4338CA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shd w:fill="EE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Holds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E6B74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Student + caregiver accounts (id, email, auth metadata, status: active / deactivated).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E6B74"/>
                <w:sz w:val="20"/>
                <w:szCs w:val="20"/>
              </w:rPr>
              <w:t xml:space="preserve">auth_sessions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Tokens, refresh, and device sessions.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E6B74"/>
                <w:sz w:val="20"/>
                <w:szCs w:val="20"/>
              </w:rPr>
              <w:t xml:space="preserve">courses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Synced course rows (owner = user): name, term, color.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E6B74"/>
                <w:sz w:val="20"/>
                <w:szCs w:val="20"/>
              </w:rPr>
              <w:t xml:space="preserve">grading_periods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Quarter / semester rows with weight and date range.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E6B74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Weighted category rows (formative / summative buckets).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E6B74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Item name, due date, score (earned / max), ungraded flag.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E6B74"/>
                <w:sz w:val="20"/>
                <w:szCs w:val="20"/>
              </w:rPr>
              <w:t xml:space="preserve">share_links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Student ↔ caregiver relationships and scope.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E6B74"/>
                <w:sz w:val="20"/>
                <w:szCs w:val="20"/>
              </w:rPr>
              <w:t xml:space="preserve">device_tokens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APNs / FCM tokens per device, per user.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E6B74"/>
                <w:sz w:val="20"/>
                <w:szCs w:val="20"/>
              </w:rPr>
              <w:t xml:space="preserve">notification_prefs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What each user wants to be alerted about.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E6B74"/>
                <w:sz w:val="20"/>
                <w:szCs w:val="20"/>
              </w:rPr>
              <w:t xml:space="preserve">audit_log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Every admin / support action — actor, target, action, timestamp (append-only).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Object storage </w:t>
      </w:r>
      <w:r>
        <w:rPr>
          <w:rFonts w:ascii="Consolas" w:cs="Consolas" w:eastAsia="Consolas" w:hAnsi="Consolas"/>
          <w:b/>
          <w:bCs/>
          <w:color w:val="9A5E12"/>
          <w:sz w:val="16"/>
          <w:szCs w:val="16"/>
        </w:rPr>
        <w:t xml:space="preserve">TO BUILD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  — larger blobs the database should not hold: uploaded screenshots, saved HTML reports, export files.  </w:t>
      </w: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Cache </w:t>
      </w:r>
      <w:r>
        <w:rPr>
          <w:rFonts w:ascii="Consolas" w:cs="Consolas" w:eastAsia="Consolas" w:hAnsi="Consolas"/>
          <w:b/>
          <w:bCs/>
          <w:color w:val="9A5E12"/>
          <w:sz w:val="16"/>
          <w:szCs w:val="16"/>
        </w:rPr>
        <w:t xml:space="preserve">OPTIONAL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  — a Redis cache for hot reads (a student’s current gradebook, session lookups).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4338CA"/>
          <w:sz w:val="25"/>
          <w:szCs w:val="25"/>
        </w:rPr>
        <w:t xml:space="preserve">3.4  External data sources &amp; ingestion   ·   built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B25"/>
          <w:sz w:val="22"/>
          <w:szCs w:val="22"/>
        </w:rPr>
        <w:t xml:space="preserve">Keyless: no Schoology API key, no OAuth, no stored password, no automated login. The student supplies their own data; ingestion runs on the device and the results sync up.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Screenshots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→ on-device OCR → line classifier → confirm/edit → import (primary mobile path).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Saved Grade Report HTML page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→ parser → exact scores, categories, and weights (most accurate).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Schoology iCal feed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→ parsed for assignment events → due dates for the “Upcoming” agenda.</w:t>
      </w:r>
    </w:p>
    <w:p>
      <w:pPr>
        <w:pStyle w:val="Heading1"/>
        <w:pBdr>
          <w:bottom w:val="single" w:color="4338CA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4338CA"/>
          <w:sz w:val="30"/>
          <w:szCs w:val="30"/>
        </w:rPr>
        <w:t xml:space="preserve">4.  </w:t>
      </w:r>
      <w:r>
        <w:rPr>
          <w:rFonts w:ascii="Calibri" w:cs="Calibri" w:eastAsia="Calibri" w:hAnsi="Calibri"/>
          <w:b/>
          <w:bCs/>
          <w:color w:val="1A1B25"/>
          <w:sz w:val="30"/>
          <w:szCs w:val="30"/>
        </w:rPr>
        <w:t xml:space="preserve">User Modes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B25"/>
          <w:sz w:val="22"/>
          <w:szCs w:val="22"/>
        </w:rPr>
        <w:t xml:space="preserve">Student and Caregiver are the same student app in different modes; Support Agent and System Admin use the separate internal admin console.</w:t>
      </w:r>
    </w:p>
    <w:tbl>
      <w:tblPr>
        <w:tblW w:type="dxa" w:w="9360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shd w:fill="EE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Mode</w:t>
            </w:r>
          </w:p>
        </w:tc>
        <w:tc>
          <w:tcPr>
            <w:tcW w:type="dxa" w:w="2600"/>
            <w:shd w:fill="EE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Who</w:t>
            </w:r>
          </w:p>
        </w:tc>
        <w:tc>
          <w:tcPr>
            <w:tcW w:type="dxa" w:w="4560"/>
            <w:shd w:fill="EE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Can do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B25"/>
                <w:sz w:val="20"/>
                <w:szCs w:val="20"/>
              </w:rPr>
              <w:t xml:space="preserve">Student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Primary end user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Everything in the app + sync, notifications, invite a caregiver.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B25"/>
                <w:sz w:val="20"/>
                <w:szCs w:val="20"/>
              </w:rPr>
              <w:t xml:space="preserve">Caregiver / Parent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A guardian the student invites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Read-only view of the linked student.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B25"/>
                <w:sz w:val="20"/>
                <w:szCs w:val="20"/>
              </w:rPr>
              <w:t xml:space="preserve">Support Agent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Internal staff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Account maintenance on request (Section 5).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B25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Internal owner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Everything Support can do + manage agents, system config, view audit logs.</w:t>
            </w:r>
          </w:p>
        </w:tc>
      </w:tr>
    </w:tbl>
    <w:p>
      <w:pPr>
        <w:pStyle w:val="Heading1"/>
        <w:pBdr>
          <w:bottom w:val="single" w:color="4338CA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4338CA"/>
          <w:sz w:val="30"/>
          <w:szCs w:val="30"/>
        </w:rPr>
        <w:t xml:space="preserve">5.  </w:t>
      </w:r>
      <w:r>
        <w:rPr>
          <w:rFonts w:ascii="Calibri" w:cs="Calibri" w:eastAsia="Calibri" w:hAnsi="Calibri"/>
          <w:b/>
          <w:bCs/>
          <w:color w:val="1A1B25"/>
          <w:sz w:val="30"/>
          <w:szCs w:val="30"/>
        </w:rPr>
        <w:t xml:space="preserve">System Administration &amp; Support Tooling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B25"/>
          <w:sz w:val="22"/>
          <w:szCs w:val="22"/>
        </w:rPr>
        <w:t xml:space="preserve">The staff-facing operations required to safely run the product. All live behind the Admin / Support API, are gated by the Support / Admin roles, and write to the </w:t>
      </w:r>
      <w:r>
        <w:rPr>
          <w:rFonts w:ascii="Consolas" w:cs="Consolas" w:eastAsia="Consolas" w:hAnsi="Consolas"/>
          <w:color w:val="1A1B25"/>
          <w:sz w:val="20"/>
          <w:szCs w:val="20"/>
        </w:rPr>
        <w:t xml:space="preserve">audit_log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Reset a password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(or send a reset link) for a locked-out user.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Update an account email address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(fix a mistyped signup email).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Deactivate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an account (reversible) or </w:t>
      </w: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delete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it (permanent data erasure, on user request — GDPR / CCPA-style).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Scoped account lookup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to support a ticket — minimal fields, not open access to a student’s grades.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View the audit log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so every one of the above actions is attributable and reviewable.</w:t>
      </w:r>
    </w:p>
    <w:p>
      <w:pPr>
        <w:pStyle w:val="Heading1"/>
        <w:pBdr>
          <w:bottom w:val="single" w:color="4338CA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4338CA"/>
          <w:sz w:val="30"/>
          <w:szCs w:val="30"/>
        </w:rPr>
        <w:t xml:space="preserve">6.  </w:t>
      </w:r>
      <w:r>
        <w:rPr>
          <w:rFonts w:ascii="Calibri" w:cs="Calibri" w:eastAsia="Calibri" w:hAnsi="Calibri"/>
          <w:b/>
          <w:bCs/>
          <w:color w:val="1A1B25"/>
          <w:sz w:val="30"/>
          <w:szCs w:val="30"/>
        </w:rPr>
        <w:t xml:space="preserve">Component Summary</w:t>
      </w:r>
    </w:p>
    <w:tbl>
      <w:tblPr>
        <w:tblW w:type="dxa" w:w="9360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4700"/>
        <w:gridCol w:w="2660"/>
        <w:gridCol w:w="2000"/>
      </w:tblGrid>
      <w:tr>
        <w:trPr>
          <w:tblHeader/>
        </w:trPr>
        <w:tc>
          <w:tcPr>
            <w:tcW w:type="dxa" w:w="4700"/>
            <w:shd w:fill="EE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60"/>
            <w:shd w:fill="EE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shd w:fill="EE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Flutter student app (UI, state, engine, import, local cache)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67A4D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Caregiver mode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9A5E12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Admin console (internal web app)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9A5E12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API layer — Student / Caregiver / Admin-Support sets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9A5E12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Authentication / Identity service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9A5E12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Change-detection worker + push dispatch (APNs / FCM)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9A5E12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PostgreSQL database (system of record)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9A5E12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Object storage (screenshots / HTML / exports)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9A5E12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Cache (Redis)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9A5E12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Keyless import (screenshots + OCR, HTML, iCal)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67A4D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System administration (reset pw, email, deactivate/delete, audit)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9A5E12"/>
                <w:sz w:val="18"/>
                <w:szCs w:val="18"/>
              </w:rPr>
              <w:t xml:space="preserve">TO BUILD</w:t>
            </w:r>
          </w:p>
        </w:tc>
      </w:tr>
    </w:tbl>
    <w:p>
      <w:pPr>
        <w:pStyle w:val="Heading1"/>
        <w:pBdr>
          <w:bottom w:val="single" w:color="4338CA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4338CA"/>
          <w:sz w:val="30"/>
          <w:szCs w:val="30"/>
        </w:rPr>
        <w:t xml:space="preserve">7.  </w:t>
      </w:r>
      <w:r>
        <w:rPr>
          <w:rFonts w:ascii="Calibri" w:cs="Calibri" w:eastAsia="Calibri" w:hAnsi="Calibri"/>
          <w:b/>
          <w:bCs/>
          <w:color w:val="1A1B25"/>
          <w:sz w:val="30"/>
          <w:szCs w:val="30"/>
        </w:rPr>
        <w:t xml:space="preserve">Suggested Build Order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Database schema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— model the tables in Section 3.3 (start with users, courses, grading_periods, categories, assignments).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API + auth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— Student API for sign-up / login and gradebook sync; the Authentication / Identity service.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Wire the client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— implement SyncRepository behind GradeRepository; the local store becomes an offline-first cache.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Caregiver sharing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— share_links, invite flow, Caregiver API + read-only mode.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Notifications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— change-detection worker, device_tokens, push dispatch, notification_prefs.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Admin console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— Admin / Support API + audit log + the Section 5 tooling.</w:t>
      </w:r>
    </w:p>
    <w:p>
      <w:pPr>
        <w:pStyle w:val="Heading1"/>
        <w:pBdr>
          <w:bottom w:val="single" w:color="4338CA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4338CA"/>
          <w:sz w:val="30"/>
          <w:szCs w:val="30"/>
        </w:rPr>
        <w:t xml:space="preserve">8.  </w:t>
      </w:r>
      <w:r>
        <w:rPr>
          <w:rFonts w:ascii="Calibri" w:cs="Calibri" w:eastAsia="Calibri" w:hAnsi="Calibri"/>
          <w:b/>
          <w:bCs/>
          <w:color w:val="1A1B25"/>
          <w:sz w:val="30"/>
          <w:szCs w:val="30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Three-tier, database-backed.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The PostgreSQL database is the system of record; the API is the single access path; the clients are thin over it.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One swappable data seam.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The backend plugs in behind the GradeRepository interface the client already uses — the UI and grade engine are reused unchanged.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Keyless ingestion stays client-side.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No Schoology API key, no OAuth, no stored password, no automated login. The student supplies their own data; the app syncs it up.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Privacy as a constraint, not the whole model.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Cloud sync is opt-in; prefer end-to-end encryption (the server stores ciphertext) and data minimization. The device keeps a usable offline cache.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Separate, audited admin surface.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System administration is never a flag on the student app — it is a distinct API set, a distinct role, a distinct client, and every action is logged.</w:t>
      </w:r>
    </w:p>
    <w:sectPr>
      <w:footerReference w:type="default" r:id="rId7"/>
      <w:footerReference w:type="firs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CE8" w:sz="4" w:space="6"/>
      </w:pBdr>
      <w:spacing w:before="60"/>
    </w:pPr>
    <w:r>
      <w:rPr>
        <w:rFonts w:ascii="Calibri" w:cs="Calibri" w:eastAsia="Calibri" w:hAnsi="Calibri"/>
        <w:color w:val="7B7E93"/>
        <w:sz w:val="16"/>
        <w:szCs w:val="16"/>
      </w:rPr>
      <w:t xml:space="preserve">Schoology Grade Tracker · System Components &amp; Architecture</w:t>
    </w:r>
    <w:ptab w:alignment="right" w:relativeTo="margin" w:leader="none"/>
    <w:r>
      <w:rPr>
        <w:rFonts w:ascii="Calibri" w:cs="Calibri" w:eastAsia="Calibri" w:hAnsi="Calibri"/>
        <w:color w:val="7B7E9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B2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d2d756c2c411dff797cc15d533b792689246126a.png"/><Relationship Id="rId10" Type="http://schemas.openxmlformats.org/officeDocument/2006/relationships/image" Target="media/06c0ff700600ed3770e91b2ab6c99be75e3be7f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Schoology Grade Tracker — System Components &amp; Architecture</dc:title>
  <dc:creator>Taehong Kim</dc:creator>
  <cp:lastModifiedBy>Un-named</cp:lastModifiedBy>
  <cp:revision>1</cp:revision>
  <dcterms:created xsi:type="dcterms:W3CDTF">2026-09-14T03:38:35.534Z</dcterms:created>
  <dcterms:modified xsi:type="dcterms:W3CDTF">2026-09-14T03:38:35.534Z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