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D652" w14:textId="71EEABCD" w:rsidR="00564E7C" w:rsidRDefault="00564E7C" w:rsidP="00564E7C">
      <w:pPr>
        <w:pStyle w:val="Vrazncitt"/>
        <w:rPr>
          <w:rFonts w:ascii="Arial" w:hAnsi="Arial" w:cs="Arial"/>
          <w:color w:val="auto"/>
          <w:sz w:val="40"/>
          <w:szCs w:val="40"/>
        </w:rPr>
      </w:pPr>
      <w:r w:rsidRPr="00564E7C">
        <w:rPr>
          <w:rFonts w:ascii="Arial" w:hAnsi="Arial" w:cs="Arial"/>
          <w:color w:val="auto"/>
          <w:sz w:val="40"/>
          <w:szCs w:val="40"/>
        </w:rPr>
        <w:t>Výzkumné otázky a odpovědi na ně:</w:t>
      </w:r>
    </w:p>
    <w:p w14:paraId="2EB317C0" w14:textId="77777777" w:rsidR="00564E7C" w:rsidRPr="00564E7C" w:rsidRDefault="00564E7C" w:rsidP="00564E7C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r w:rsidRPr="00564E7C">
        <w:rPr>
          <w:b/>
          <w:bCs/>
          <w:u w:val="single"/>
        </w:rPr>
        <w:t>Rostou v průběhu let mzdy ve všech odvětvích, nebo v některých klesají?</w:t>
      </w:r>
    </w:p>
    <w:p w14:paraId="1509F5D3" w14:textId="77777777" w:rsidR="00564E7C" w:rsidRDefault="00564E7C" w:rsidP="00564E7C">
      <w:pPr>
        <w:pStyle w:val="Odstavecseseznamem"/>
      </w:pPr>
      <w:r>
        <w:br/>
        <w:t>ODPOVĚĎ: Pro zodpovězení otázka jsem se rozhodla porovnávat nejstarší, nejnovější, a průměrně stará data, tedy z let 2006, 2012 a 2018. Provedla jsem porovnání růstu mezd mezi lety:</w:t>
      </w:r>
    </w:p>
    <w:p w14:paraId="1C4EA352" w14:textId="6582B181" w:rsidR="00564E7C" w:rsidRDefault="00564E7C" w:rsidP="00564E7C">
      <w:pPr>
        <w:pStyle w:val="Odstavecseseznamem"/>
        <w:ind w:left="1416"/>
      </w:pPr>
      <w:r>
        <w:t>2006 a 2012</w:t>
      </w:r>
    </w:p>
    <w:p w14:paraId="17E466EC" w14:textId="1E9F8A26" w:rsidR="00564E7C" w:rsidRDefault="00564E7C" w:rsidP="00564E7C">
      <w:pPr>
        <w:pStyle w:val="Odstavecseseznamem"/>
        <w:ind w:left="1416"/>
      </w:pPr>
      <w:r>
        <w:t>2012 a 2018</w:t>
      </w:r>
    </w:p>
    <w:p w14:paraId="3104E77F" w14:textId="61E099AC" w:rsidR="00564E7C" w:rsidRDefault="00564E7C" w:rsidP="00564E7C">
      <w:pPr>
        <w:pStyle w:val="Odstavecseseznamem"/>
        <w:ind w:left="1416"/>
      </w:pPr>
      <w:r w:rsidRPr="00564E7C">
        <w:drawing>
          <wp:anchor distT="0" distB="0" distL="114300" distR="114300" simplePos="0" relativeHeight="251658240" behindDoc="1" locked="0" layoutInCell="1" allowOverlap="1" wp14:anchorId="15AEDCDA" wp14:editId="697C6E69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7172039" cy="2446020"/>
            <wp:effectExtent l="152400" t="152400" r="353060" b="354330"/>
            <wp:wrapNone/>
            <wp:docPr id="8512878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78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039" cy="2446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2006 a 2018 </w:t>
      </w:r>
    </w:p>
    <w:p w14:paraId="097DAE0F" w14:textId="75284C43" w:rsidR="00564E7C" w:rsidRDefault="00564E7C" w:rsidP="00564E7C">
      <w:pPr>
        <w:pStyle w:val="Odstavecseseznamem"/>
        <w:ind w:left="1416"/>
      </w:pPr>
    </w:p>
    <w:p w14:paraId="788CD06B" w14:textId="77777777" w:rsidR="00564E7C" w:rsidRDefault="00564E7C" w:rsidP="00564E7C">
      <w:pPr>
        <w:pStyle w:val="Odstavecseseznamem"/>
        <w:ind w:left="1416"/>
      </w:pPr>
    </w:p>
    <w:p w14:paraId="10397DD7" w14:textId="058EAAAF" w:rsidR="00564E7C" w:rsidRDefault="00564E7C" w:rsidP="00564E7C">
      <w:pPr>
        <w:pStyle w:val="Odstavecseseznamem"/>
        <w:ind w:left="1416"/>
      </w:pPr>
    </w:p>
    <w:p w14:paraId="39A1DBC2" w14:textId="47C73D07" w:rsidR="00564E7C" w:rsidRDefault="00564E7C" w:rsidP="00564E7C">
      <w:pPr>
        <w:pStyle w:val="Odstavecseseznamem"/>
        <w:ind w:left="0"/>
      </w:pPr>
    </w:p>
    <w:p w14:paraId="6435D6CB" w14:textId="77777777" w:rsidR="00564E7C" w:rsidRDefault="00564E7C" w:rsidP="00564E7C">
      <w:pPr>
        <w:ind w:left="708"/>
      </w:pPr>
    </w:p>
    <w:p w14:paraId="0195328B" w14:textId="1D6F66A9" w:rsidR="00564E7C" w:rsidRDefault="00564E7C" w:rsidP="00564E7C">
      <w:pPr>
        <w:tabs>
          <w:tab w:val="left" w:pos="2316"/>
        </w:tabs>
        <w:ind w:left="708"/>
      </w:pPr>
      <w:r>
        <w:tab/>
      </w:r>
    </w:p>
    <w:p w14:paraId="20285545" w14:textId="77777777" w:rsidR="00564E7C" w:rsidRDefault="00564E7C" w:rsidP="00564E7C">
      <w:pPr>
        <w:ind w:left="708"/>
      </w:pPr>
    </w:p>
    <w:p w14:paraId="5495298C" w14:textId="77777777" w:rsidR="00564E7C" w:rsidRDefault="00564E7C" w:rsidP="00564E7C">
      <w:pPr>
        <w:ind w:left="708"/>
      </w:pPr>
    </w:p>
    <w:p w14:paraId="1DFADACB" w14:textId="77777777" w:rsidR="00564E7C" w:rsidRDefault="00564E7C" w:rsidP="00564E7C">
      <w:pPr>
        <w:ind w:left="708"/>
      </w:pPr>
    </w:p>
    <w:p w14:paraId="34311A90" w14:textId="77777777" w:rsidR="00564E7C" w:rsidRDefault="00564E7C" w:rsidP="00564E7C">
      <w:pPr>
        <w:ind w:left="708"/>
      </w:pPr>
    </w:p>
    <w:p w14:paraId="5031CE24" w14:textId="700969EA" w:rsidR="00564E7C" w:rsidRPr="00564E7C" w:rsidRDefault="00564E7C" w:rsidP="00564E7C">
      <w:pPr>
        <w:ind w:left="708"/>
      </w:pPr>
      <w:r>
        <w:t xml:space="preserve">Pokud ve sledovaném rozmezí mzda rostla, nechala jsem si zobrazit +, v opačném případě potom -. Na základě výsledků moje odpověď zní: </w:t>
      </w:r>
      <w:r w:rsidRPr="00564E7C">
        <w:rPr>
          <w:b/>
          <w:bCs/>
          <w:u w:val="single"/>
        </w:rPr>
        <w:t>Mzdy rostou ve všech odvětvích.</w:t>
      </w:r>
      <w:r>
        <w:t xml:space="preserve"> </w:t>
      </w:r>
    </w:p>
    <w:p w14:paraId="69342D7D" w14:textId="5E08119C" w:rsidR="00564E7C" w:rsidRPr="00564E7C" w:rsidRDefault="00564E7C" w:rsidP="00564E7C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r w:rsidRPr="00564E7C">
        <w:rPr>
          <w:b/>
          <w:bCs/>
          <w:u w:val="single"/>
        </w:rPr>
        <w:t>Kolik je možné si koupit litrů mléka a kilogramů chleba za první a poslední srovnatelné období v dostupných datech cen a mezd?</w:t>
      </w:r>
      <w:r w:rsidRPr="00564E7C">
        <w:rPr>
          <w:b/>
          <w:bCs/>
          <w:u w:val="single"/>
        </w:rPr>
        <w:br/>
      </w:r>
    </w:p>
    <w:p w14:paraId="4F1E45E4" w14:textId="55B67B00" w:rsidR="00564E7C" w:rsidRDefault="00564E7C" w:rsidP="00564E7C">
      <w:pPr>
        <w:pStyle w:val="Odstavecseseznamem"/>
      </w:pPr>
      <w:r>
        <w:t xml:space="preserve">ODPOVĚĎ: </w:t>
      </w:r>
    </w:p>
    <w:p w14:paraId="24C3E802" w14:textId="110F450B" w:rsidR="00564E7C" w:rsidRPr="00564E7C" w:rsidRDefault="00564E7C" w:rsidP="00564E7C">
      <w:pPr>
        <w:pStyle w:val="Odstavecseseznamem"/>
      </w:pPr>
      <w:r w:rsidRPr="00564E7C">
        <w:drawing>
          <wp:inline distT="0" distB="0" distL="0" distR="0" wp14:anchorId="11D87663" wp14:editId="4344F1B6">
            <wp:extent cx="5257800" cy="923824"/>
            <wp:effectExtent l="152400" t="152400" r="361950" b="353060"/>
            <wp:docPr id="14762051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0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461" cy="926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BF4A0" w14:textId="701902BA" w:rsidR="00564E7C" w:rsidRDefault="00564E7C" w:rsidP="00564E7C">
      <w:pPr>
        <w:pStyle w:val="Odstavecseseznamem"/>
      </w:pPr>
      <w:r>
        <w:t xml:space="preserve">Porovnatelné období je v letech 2006 až 2018. Konzumního kmínového chleba bylo možné s průměrnou mzdou zakoupit 1262 bochníků </w:t>
      </w:r>
      <w:r>
        <w:t>v roce 2006</w:t>
      </w:r>
      <w:r>
        <w:t xml:space="preserve">, a 1319 bochníků o 12 let později. V případě polotučného mléka bychom si v roce 2006 mohli zakoupit 1409 litrů, ale v roce 2018 již 1614 litrů. </w:t>
      </w:r>
    </w:p>
    <w:p w14:paraId="7B817FF6" w14:textId="77777777" w:rsidR="007C6C49" w:rsidRDefault="007C6C49" w:rsidP="00564E7C">
      <w:pPr>
        <w:pStyle w:val="Odstavecseseznamem"/>
      </w:pPr>
    </w:p>
    <w:p w14:paraId="38E222C0" w14:textId="77777777" w:rsidR="007C6C49" w:rsidRDefault="007C6C49" w:rsidP="00564E7C">
      <w:pPr>
        <w:pStyle w:val="Odstavecseseznamem"/>
      </w:pPr>
    </w:p>
    <w:p w14:paraId="34C594C3" w14:textId="77777777" w:rsidR="007C6C49" w:rsidRPr="007C6C49" w:rsidRDefault="007C6C49" w:rsidP="007C6C49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r w:rsidRPr="007C6C49">
        <w:rPr>
          <w:b/>
          <w:bCs/>
          <w:u w:val="single"/>
        </w:rPr>
        <w:lastRenderedPageBreak/>
        <w:t xml:space="preserve">Která kategorie potravin zdražuje nejpomaleji (je u ní nejnižší </w:t>
      </w:r>
      <w:proofErr w:type="spellStart"/>
      <w:r w:rsidRPr="007C6C49">
        <w:rPr>
          <w:b/>
          <w:bCs/>
          <w:u w:val="single"/>
        </w:rPr>
        <w:t>percentuální</w:t>
      </w:r>
      <w:proofErr w:type="spellEnd"/>
      <w:r w:rsidRPr="007C6C49">
        <w:rPr>
          <w:b/>
          <w:bCs/>
          <w:u w:val="single"/>
        </w:rPr>
        <w:t xml:space="preserve"> meziroční nárůst)?</w:t>
      </w:r>
    </w:p>
    <w:p w14:paraId="20A5917D" w14:textId="6B3D098B" w:rsidR="007C6C49" w:rsidRPr="007C6C49" w:rsidRDefault="007C6C49" w:rsidP="007C6C49">
      <w:pPr>
        <w:pStyle w:val="Odstavecseseznamem"/>
      </w:pPr>
      <w:r w:rsidRPr="007C6C49">
        <w:drawing>
          <wp:inline distT="0" distB="0" distL="0" distR="0" wp14:anchorId="35D95ACD" wp14:editId="6E1DAC2D">
            <wp:extent cx="4450080" cy="4256317"/>
            <wp:effectExtent l="152400" t="152400" r="369570" b="354330"/>
            <wp:docPr id="19109100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10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325" cy="4268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FB2F9" w14:textId="77777777" w:rsidR="007C6C49" w:rsidRDefault="007C6C49" w:rsidP="007C6C49">
      <w:pPr>
        <w:ind w:left="708"/>
        <w:rPr>
          <w:b/>
          <w:bCs/>
          <w:u w:val="single"/>
        </w:rPr>
      </w:pPr>
      <w:r>
        <w:t xml:space="preserve">ODPOVĚĎ: Otázka je položena tak, že se nás ptá konkrétně na potraviny, které </w:t>
      </w:r>
      <w:r w:rsidRPr="007C6C49">
        <w:rPr>
          <w:u w:val="single"/>
        </w:rPr>
        <w:t>zdražují</w:t>
      </w:r>
      <w:r>
        <w:t xml:space="preserve">. Správně bychom tedy měli vyjmout ty potraviny, které naopak zlevňují (tedy cukr a rajská jablka). </w:t>
      </w:r>
      <w:r w:rsidRPr="007C6C49">
        <w:rPr>
          <w:b/>
          <w:bCs/>
          <w:u w:val="single"/>
        </w:rPr>
        <w:t>Odpovědí by pak byly banány žluté, které zdražují v průměru o 0.83</w:t>
      </w:r>
      <w:r>
        <w:rPr>
          <w:b/>
          <w:bCs/>
          <w:u w:val="single"/>
        </w:rPr>
        <w:t xml:space="preserve"> </w:t>
      </w:r>
      <w:r w:rsidRPr="007C6C49">
        <w:rPr>
          <w:b/>
          <w:bCs/>
          <w:u w:val="single"/>
        </w:rPr>
        <w:t>% ročně.</w:t>
      </w:r>
    </w:p>
    <w:p w14:paraId="3638CCC5" w14:textId="77777777" w:rsidR="007C6C49" w:rsidRPr="007C6C49" w:rsidRDefault="007C6C49" w:rsidP="007C6C49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r w:rsidRPr="007C6C49">
        <w:rPr>
          <w:b/>
          <w:bCs/>
          <w:u w:val="single"/>
        </w:rPr>
        <w:t>Existuje rok, ve kterém byl meziroční nárůst cen potravin výrazně vyšší než růst mezd (větší než 10 %)?</w:t>
      </w:r>
    </w:p>
    <w:p w14:paraId="4C428EA0" w14:textId="4DBD19CF" w:rsidR="00564E7C" w:rsidRPr="00564E7C" w:rsidRDefault="007C6C49" w:rsidP="007C6C49">
      <w:pPr>
        <w:pStyle w:val="Odstavecseseznamem"/>
        <w:ind w:left="360"/>
        <w:jc w:val="center"/>
      </w:pPr>
      <w:r w:rsidRPr="007C6C49">
        <w:drawing>
          <wp:inline distT="0" distB="0" distL="0" distR="0" wp14:anchorId="6A9400D9" wp14:editId="3EC26518">
            <wp:extent cx="3771900" cy="2102048"/>
            <wp:effectExtent l="152400" t="152400" r="361950" b="355600"/>
            <wp:docPr id="20510697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317" cy="211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9D265" w14:textId="44529779" w:rsidR="00564E7C" w:rsidRDefault="007C6C49" w:rsidP="007C6C49">
      <w:pPr>
        <w:ind w:left="708"/>
      </w:pPr>
      <w:r>
        <w:lastRenderedPageBreak/>
        <w:t xml:space="preserve">ODPOVĚĎ: </w:t>
      </w:r>
      <w:r w:rsidRPr="007C6C49">
        <w:rPr>
          <w:b/>
          <w:bCs/>
          <w:u w:val="single"/>
        </w:rPr>
        <w:t xml:space="preserve">Ne, neexistuje rok, </w:t>
      </w:r>
      <w:r w:rsidRPr="007C6C49">
        <w:rPr>
          <w:b/>
          <w:bCs/>
          <w:u w:val="single"/>
        </w:rPr>
        <w:t>ve kterém byl meziroční nárůst cen potravin výrazně vyšší než růst mezd</w:t>
      </w:r>
      <w:r>
        <w:t>. Nejvyšší rozdíl mezi meziročním růstem cen vůči mzdám byl v roce 2013, kdy činil 6.78 %</w:t>
      </w:r>
    </w:p>
    <w:p w14:paraId="0CCC7047" w14:textId="48F05F3A" w:rsidR="007C6C49" w:rsidRPr="007C6C49" w:rsidRDefault="007C6C49" w:rsidP="007C6C49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r w:rsidRPr="007C6C49">
        <w:rPr>
          <w:b/>
          <w:bCs/>
          <w:u w:val="single"/>
        </w:rPr>
        <w:t>Má výška HDP vliv na změny ve mzdách a cenách potravin? Neboli, pokud HDP vzroste výrazněji v jednom roce, projeví se to na cenách potravin či mzdách ve stejném nebo nás</w:t>
      </w:r>
      <w:r w:rsidRPr="007C6C49">
        <w:rPr>
          <w:b/>
          <w:bCs/>
          <w:u w:val="single"/>
        </w:rPr>
        <w:t>le</w:t>
      </w:r>
      <w:r w:rsidRPr="007C6C49">
        <w:rPr>
          <w:b/>
          <w:bCs/>
          <w:u w:val="single"/>
        </w:rPr>
        <w:t>dujícím roce výraznějším růstem?</w:t>
      </w:r>
    </w:p>
    <w:p w14:paraId="6F8AEBBA" w14:textId="77777777" w:rsidR="007C6C49" w:rsidRDefault="007C6C49" w:rsidP="007C6C49">
      <w:pPr>
        <w:pStyle w:val="Odstavecseseznamem"/>
      </w:pPr>
    </w:p>
    <w:p w14:paraId="2FA02A7F" w14:textId="058AD0B0" w:rsidR="007C6C49" w:rsidRDefault="007C6C49" w:rsidP="007C6C49">
      <w:pPr>
        <w:pStyle w:val="Odstavecseseznamem"/>
      </w:pPr>
      <w:r>
        <w:t xml:space="preserve">Pro účely zodpovězení této otázky jsem použila již dříve vypočítané meziroční změny ve mzdách a cenách potravin, a přidala jsem sloupec s meziročním rozdílem v HDP. Data jsem porovnávala pouze pro Českou </w:t>
      </w:r>
      <w:proofErr w:type="gramStart"/>
      <w:r>
        <w:t>Republiku</w:t>
      </w:r>
      <w:proofErr w:type="gramEnd"/>
      <w:r>
        <w:t xml:space="preserve">, protože k ostatním evropským státům nemám k dispozici data o mzdách ani cenách potravin. </w:t>
      </w:r>
    </w:p>
    <w:p w14:paraId="56077B45" w14:textId="77777777" w:rsidR="007C6C49" w:rsidRDefault="007C6C49" w:rsidP="007C6C49">
      <w:pPr>
        <w:pStyle w:val="Odstavecseseznamem"/>
        <w:ind w:left="0"/>
      </w:pPr>
      <w:r w:rsidRPr="007C6C49">
        <w:drawing>
          <wp:inline distT="0" distB="0" distL="0" distR="0" wp14:anchorId="0A719803" wp14:editId="7E95E00F">
            <wp:extent cx="5760720" cy="1920240"/>
            <wp:effectExtent l="152400" t="152400" r="354330" b="365760"/>
            <wp:docPr id="52466673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6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E05C2" w14:textId="77777777" w:rsidR="007C6C49" w:rsidRDefault="007C6C49" w:rsidP="007C6C49">
      <w:pPr>
        <w:pStyle w:val="Odstavecseseznamem"/>
        <w:ind w:left="708"/>
        <w:jc w:val="center"/>
      </w:pPr>
    </w:p>
    <w:p w14:paraId="185EEBDA" w14:textId="3F347003" w:rsidR="007C6C49" w:rsidRDefault="007C6C49" w:rsidP="007C6C49">
      <w:pPr>
        <w:pStyle w:val="Odstavecseseznamem"/>
        <w:ind w:left="708"/>
        <w:jc w:val="both"/>
      </w:pPr>
      <w:r>
        <w:t>Jak vidíme, meziroční změny HDP se v nadcházejícím roce vždy projevily na růstu mezd. V případě propadu HDP v následujícím roce mzdy rostly oproti předcházejícím letům pomaleji. Naopak v případě rychle rostoucího HDP (například v roce 2015) můžeme v následujícím roce pozorovat veliký nárůst mezd, a to o 5.9</w:t>
      </w:r>
      <w:r>
        <w:t xml:space="preserve"> </w:t>
      </w:r>
      <w:r>
        <w:t>%. Naproti tomu vztah mezi HDP a cenami potravin již tak zřejmý není. V některých letech by se mohlo zdát, že rostoucí</w:t>
      </w:r>
      <w:r>
        <w:t xml:space="preserve"> </w:t>
      </w:r>
      <w:r>
        <w:t>HDP má za důsledek zlevňování (roky 2014 až 2016), nicméně toto nám vyvrací hned rok 2017, kdy je nárůst HDP sice značný, ale ceny vyrostly o více než 7</w:t>
      </w:r>
      <w:r w:rsidR="008B4D9D">
        <w:t xml:space="preserve"> </w:t>
      </w:r>
      <w:r>
        <w:t>%. Zde bych tedy žádnou vazbu na základě těchto dat nehledala.</w:t>
      </w:r>
    </w:p>
    <w:p w14:paraId="4CEFE1BD" w14:textId="663E45B5" w:rsidR="008B4D9D" w:rsidRPr="007C6C49" w:rsidRDefault="008B4D9D" w:rsidP="007C6C49">
      <w:pPr>
        <w:pStyle w:val="Odstavecseseznamem"/>
        <w:ind w:left="708"/>
        <w:jc w:val="both"/>
      </w:pPr>
      <w:r>
        <w:t xml:space="preserve">ODPOVĚĎ: </w:t>
      </w:r>
      <w:r w:rsidRPr="008B4D9D">
        <w:rPr>
          <w:b/>
          <w:bCs/>
          <w:u w:val="single"/>
        </w:rPr>
        <w:t>Výška HDP má vliv na nárůst mezd v následujících letech, zatímco vliv na ceny sledovaných produktů pozorován nebyl.</w:t>
      </w:r>
    </w:p>
    <w:sectPr w:rsidR="008B4D9D" w:rsidRPr="007C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44657"/>
    <w:multiLevelType w:val="hybridMultilevel"/>
    <w:tmpl w:val="B10EF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4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7C"/>
    <w:rsid w:val="003D7E7F"/>
    <w:rsid w:val="00564E7C"/>
    <w:rsid w:val="007C6C49"/>
    <w:rsid w:val="008B4D9D"/>
    <w:rsid w:val="00C81DFA"/>
    <w:rsid w:val="00E30ABE"/>
    <w:rsid w:val="00F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3ED2"/>
  <w15:chartTrackingRefBased/>
  <w15:docId w15:val="{6B7A066A-8BA4-49A9-9353-5E20BB7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Vrazncitt">
    <w:name w:val="Intense Quote"/>
    <w:basedOn w:val="Normln"/>
    <w:next w:val="Normln"/>
    <w:link w:val="VrazncittChar"/>
    <w:uiPriority w:val="30"/>
    <w:qFormat/>
    <w:rsid w:val="00564E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64E7C"/>
    <w:rPr>
      <w:i/>
      <w:iCs/>
      <w:color w:val="4472C4" w:themeColor="accent1"/>
    </w:rPr>
  </w:style>
  <w:style w:type="paragraph" w:styleId="Odstavecseseznamem">
    <w:name w:val="List Paragraph"/>
    <w:basedOn w:val="Normln"/>
    <w:uiPriority w:val="34"/>
    <w:qFormat/>
    <w:rsid w:val="0056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Teršová</dc:creator>
  <cp:keywords/>
  <dc:description/>
  <cp:lastModifiedBy>Kateřina Teršová</cp:lastModifiedBy>
  <cp:revision>1</cp:revision>
  <cp:lastPrinted>2023-12-28T21:47:00Z</cp:lastPrinted>
  <dcterms:created xsi:type="dcterms:W3CDTF">2023-12-28T21:25:00Z</dcterms:created>
  <dcterms:modified xsi:type="dcterms:W3CDTF">2023-12-28T21:49:00Z</dcterms:modified>
</cp:coreProperties>
</file>