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pageBreakBefore w:val="0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pageBreakBefore w:val="0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0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ageBreakBefore w:val="0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pageBreakBefore w:val="0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pageBreakBefore w:val="0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OLD.name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BEGINq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pageBreakBefore w:val="0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pageBreakBefore w:val="0"/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ageBreakBefore w:val="0"/>
      <w:jc w:val="both"/>
      <w:rPr>
        <w:rFonts w:ascii="Roboto" w:cs="Roboto" w:eastAsia="Roboto" w:hAnsi="Roboto"/>
      </w:rPr>
    </w:pPr>
    <w:r w:rsidDel="00000000" w:rsidR="00000000" w:rsidRPr="00000000">
      <w:rPr>
        <w:rFonts w:ascii="Courier New" w:cs="Courier New" w:eastAsia="Courier New" w:hAnsi="Courier New"/>
        <w:color w:val="383a42"/>
        <w:rtl w:val="0"/>
      </w:rPr>
      <w:t xml:space="preserve">ELSEIF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pageBreakBefore w:val="0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pageBreakBefore w:val="0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