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5"/>
        <w:gridCol w:w="2197"/>
      </w:tblGrid>
      <w:tr w:rsidR="002E720C" w:rsidRPr="006B679D" w:rsidTr="008F5112">
        <w:tc>
          <w:tcPr>
            <w:tcW w:w="7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>Tantárgy neve: Az EU integráció alapkérdései</w:t>
            </w:r>
          </w:p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noProof/>
              </w:rPr>
            </w:pPr>
            <w:r w:rsidRPr="006B679D">
              <w:rPr>
                <w:rFonts w:ascii="Arial" w:hAnsi="Arial" w:cs="Arial"/>
                <w:b/>
              </w:rPr>
              <w:t xml:space="preserve">Kódja: 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  <w:b/>
                <w:i/>
              </w:rPr>
            </w:pPr>
            <w:r w:rsidRPr="006B679D">
              <w:rPr>
                <w:rFonts w:ascii="Arial" w:hAnsi="Arial" w:cs="Arial"/>
                <w:b/>
                <w:i/>
              </w:rPr>
              <w:t>NBG_NT203K2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Kreditértéke: </w:t>
            </w:r>
            <w:r w:rsidRPr="006B679D">
              <w:rPr>
                <w:rFonts w:ascii="Arial" w:hAnsi="Arial" w:cs="Arial"/>
                <w:noProof/>
              </w:rPr>
              <w:t>2</w:t>
            </w:r>
          </w:p>
        </w:tc>
      </w:tr>
      <w:tr w:rsidR="002E720C" w:rsidRPr="006B679D" w:rsidTr="008F5112">
        <w:tc>
          <w:tcPr>
            <w:tcW w:w="93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A tantárgy besorolása: </w:t>
            </w:r>
            <w:r w:rsidRPr="006B679D">
              <w:rPr>
                <w:rFonts w:ascii="Arial" w:hAnsi="Arial" w:cs="Arial"/>
                <w:noProof/>
              </w:rPr>
              <w:t>kötelező</w:t>
            </w:r>
          </w:p>
        </w:tc>
      </w:tr>
      <w:tr w:rsidR="002E720C" w:rsidRPr="006B679D" w:rsidTr="008F5112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6B679D">
            <w:pPr>
              <w:suppressAutoHyphens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  <w:b/>
              </w:rPr>
              <w:t xml:space="preserve">A tantárgy elméleti vagy gyakorlati jellegének mértéke, „képzési </w:t>
            </w:r>
            <w:proofErr w:type="gramStart"/>
            <w:r w:rsidRPr="006B679D">
              <w:rPr>
                <w:rFonts w:ascii="Arial" w:hAnsi="Arial" w:cs="Arial"/>
                <w:b/>
              </w:rPr>
              <w:t>karaktere</w:t>
            </w:r>
            <w:proofErr w:type="gramEnd"/>
            <w:r w:rsidRPr="006B679D">
              <w:rPr>
                <w:rFonts w:ascii="Arial" w:hAnsi="Arial" w:cs="Arial"/>
                <w:b/>
              </w:rPr>
              <w:t xml:space="preserve">” (kreditarányos elméleti és gyakorlati ismeretek): </w:t>
            </w:r>
            <w:r w:rsidRPr="006B679D">
              <w:rPr>
                <w:rFonts w:ascii="Arial" w:hAnsi="Arial" w:cs="Arial"/>
                <w:noProof/>
              </w:rPr>
              <w:t xml:space="preserve">elméleti </w:t>
            </w:r>
            <w:r w:rsidR="006B679D" w:rsidRPr="006B679D">
              <w:rPr>
                <w:rFonts w:ascii="Arial" w:hAnsi="Arial" w:cs="Arial"/>
                <w:noProof/>
              </w:rPr>
              <w:t>8</w:t>
            </w:r>
            <w:r w:rsidRPr="006B679D">
              <w:rPr>
                <w:rFonts w:ascii="Arial" w:hAnsi="Arial" w:cs="Arial"/>
                <w:noProof/>
              </w:rPr>
              <w:t xml:space="preserve">0%, gyakorlati </w:t>
            </w:r>
            <w:r w:rsidR="006B679D" w:rsidRPr="006B679D">
              <w:rPr>
                <w:rFonts w:ascii="Arial" w:hAnsi="Arial" w:cs="Arial"/>
                <w:noProof/>
              </w:rPr>
              <w:t>2</w:t>
            </w:r>
            <w:r w:rsidRPr="006B679D">
              <w:rPr>
                <w:rFonts w:ascii="Arial" w:hAnsi="Arial" w:cs="Arial"/>
                <w:noProof/>
              </w:rPr>
              <w:t>0%</w:t>
            </w:r>
          </w:p>
        </w:tc>
      </w:tr>
      <w:tr w:rsidR="002E720C" w:rsidRPr="006B679D" w:rsidTr="008F5112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  <w:b/>
              </w:rPr>
              <w:t xml:space="preserve">A tanóra típusa és heti óraszáma: </w:t>
            </w:r>
            <w:r w:rsidRPr="006B679D">
              <w:rPr>
                <w:rFonts w:ascii="Arial" w:hAnsi="Arial" w:cs="Arial"/>
              </w:rPr>
              <w:t>elmélet</w:t>
            </w:r>
            <w:r w:rsidR="00FB3ACB" w:rsidRPr="006B679D">
              <w:rPr>
                <w:rFonts w:ascii="Arial" w:hAnsi="Arial" w:cs="Arial"/>
              </w:rPr>
              <w:t xml:space="preserve"> </w:t>
            </w:r>
            <w:r w:rsidRPr="006B679D">
              <w:rPr>
                <w:rFonts w:ascii="Arial" w:hAnsi="Arial" w:cs="Arial"/>
                <w:noProof/>
              </w:rPr>
              <w:t>2</w:t>
            </w:r>
            <w:r w:rsidRPr="006B679D">
              <w:rPr>
                <w:rFonts w:ascii="Arial" w:hAnsi="Arial" w:cs="Arial"/>
              </w:rPr>
              <w:t xml:space="preserve"> (levelező tagozaton az összes kontaktóra:</w:t>
            </w:r>
            <w:r w:rsidRPr="006B679D">
              <w:rPr>
                <w:rFonts w:ascii="Arial" w:hAnsi="Arial" w:cs="Arial"/>
                <w:noProof/>
              </w:rPr>
              <w:t>8</w:t>
            </w:r>
            <w:r w:rsidRPr="006B679D">
              <w:rPr>
                <w:rFonts w:ascii="Arial" w:hAnsi="Arial" w:cs="Arial"/>
              </w:rPr>
              <w:t xml:space="preserve"> az adott félévben)</w:t>
            </w:r>
          </w:p>
        </w:tc>
      </w:tr>
      <w:tr w:rsidR="002E720C" w:rsidRPr="006B679D" w:rsidTr="008F5112">
        <w:tc>
          <w:tcPr>
            <w:tcW w:w="93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A </w:t>
            </w:r>
            <w:r w:rsidRPr="006B679D">
              <w:rPr>
                <w:rFonts w:ascii="Arial" w:hAnsi="Arial" w:cs="Arial"/>
                <w:b/>
              </w:rPr>
              <w:t>számonkérés módja:</w:t>
            </w:r>
            <w:r w:rsidRPr="006B679D">
              <w:rPr>
                <w:rFonts w:ascii="Arial" w:hAnsi="Arial" w:cs="Arial"/>
              </w:rPr>
              <w:t xml:space="preserve"> </w:t>
            </w:r>
            <w:r w:rsidRPr="006B679D">
              <w:rPr>
                <w:rFonts w:ascii="Arial" w:hAnsi="Arial" w:cs="Arial"/>
                <w:noProof/>
              </w:rPr>
              <w:t>kollokvium</w:t>
            </w:r>
          </w:p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</w:rPr>
              <w:t xml:space="preserve">Az ismeretellenőrzésben alkalmazandó </w:t>
            </w:r>
            <w:r w:rsidRPr="006B679D">
              <w:rPr>
                <w:rFonts w:ascii="Arial" w:hAnsi="Arial" w:cs="Arial"/>
                <w:b/>
              </w:rPr>
              <w:t xml:space="preserve">további </w:t>
            </w:r>
            <w:r w:rsidRPr="006B679D">
              <w:rPr>
                <w:rFonts w:ascii="Arial" w:hAnsi="Arial" w:cs="Arial"/>
              </w:rPr>
              <w:t>(</w:t>
            </w:r>
            <w:r w:rsidRPr="006B679D">
              <w:rPr>
                <w:rFonts w:ascii="Arial" w:hAnsi="Arial" w:cs="Arial"/>
                <w:i/>
              </w:rPr>
              <w:t>sajátos</w:t>
            </w:r>
            <w:r w:rsidRPr="006B679D">
              <w:rPr>
                <w:rFonts w:ascii="Arial" w:hAnsi="Arial" w:cs="Arial"/>
              </w:rPr>
              <w:t xml:space="preserve">) </w:t>
            </w:r>
            <w:r w:rsidRPr="006B679D">
              <w:rPr>
                <w:rFonts w:ascii="Arial" w:hAnsi="Arial" w:cs="Arial"/>
                <w:b/>
              </w:rPr>
              <w:t xml:space="preserve">módok </w:t>
            </w:r>
            <w:r w:rsidRPr="006B679D">
              <w:rPr>
                <w:rFonts w:ascii="Arial" w:hAnsi="Arial" w:cs="Arial"/>
                <w:i/>
              </w:rPr>
              <w:t>(ha vannak)</w:t>
            </w:r>
            <w:r w:rsidRPr="006B679D">
              <w:rPr>
                <w:rFonts w:ascii="Arial" w:hAnsi="Arial" w:cs="Arial"/>
                <w:b/>
              </w:rPr>
              <w:t xml:space="preserve">: </w:t>
            </w:r>
          </w:p>
        </w:tc>
      </w:tr>
      <w:tr w:rsidR="002E720C" w:rsidRPr="006B679D" w:rsidTr="008F5112">
        <w:tc>
          <w:tcPr>
            <w:tcW w:w="93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AB764A">
            <w:pPr>
              <w:suppressAutoHyphens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  <w:b/>
              </w:rPr>
              <w:t xml:space="preserve">A tantárgy tantervi helye: </w:t>
            </w:r>
            <w:r w:rsidR="00904EE3" w:rsidRPr="006B679D">
              <w:rPr>
                <w:rFonts w:ascii="Arial" w:hAnsi="Arial" w:cs="Arial"/>
                <w:b/>
              </w:rPr>
              <w:t xml:space="preserve">1. / </w:t>
            </w:r>
            <w:r w:rsidR="00AB764A" w:rsidRPr="006B679D">
              <w:rPr>
                <w:rFonts w:ascii="Arial" w:hAnsi="Arial" w:cs="Arial"/>
                <w:noProof/>
              </w:rPr>
              <w:t>2</w:t>
            </w:r>
            <w:r w:rsidRPr="006B679D">
              <w:rPr>
                <w:rFonts w:ascii="Arial" w:hAnsi="Arial" w:cs="Arial"/>
                <w:noProof/>
              </w:rPr>
              <w:t>.</w:t>
            </w:r>
            <w:r w:rsidRPr="006B679D">
              <w:rPr>
                <w:rFonts w:ascii="Arial" w:hAnsi="Arial" w:cs="Arial"/>
              </w:rPr>
              <w:t xml:space="preserve"> félév</w:t>
            </w:r>
          </w:p>
        </w:tc>
      </w:tr>
      <w:tr w:rsidR="002E720C" w:rsidRPr="006B679D" w:rsidTr="008F5112">
        <w:tc>
          <w:tcPr>
            <w:tcW w:w="93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  <w:b/>
              </w:rPr>
              <w:t xml:space="preserve">Előtanulmányi feltételek </w:t>
            </w:r>
            <w:r w:rsidRPr="006B679D">
              <w:rPr>
                <w:rFonts w:ascii="Arial" w:hAnsi="Arial" w:cs="Arial"/>
                <w:b/>
                <w:i/>
              </w:rPr>
              <w:t>(ha vannak)</w:t>
            </w:r>
            <w:r w:rsidRPr="006B679D">
              <w:rPr>
                <w:rFonts w:ascii="Arial" w:hAnsi="Arial" w:cs="Arial"/>
                <w:b/>
              </w:rPr>
              <w:t>:</w:t>
            </w:r>
            <w:r w:rsidRPr="006B679D">
              <w:rPr>
                <w:rFonts w:ascii="Arial" w:hAnsi="Arial" w:cs="Arial"/>
                <w:b/>
                <w:noProof/>
              </w:rPr>
              <w:t xml:space="preserve"> </w:t>
            </w:r>
            <w:r w:rsidRPr="006B679D">
              <w:rPr>
                <w:rFonts w:ascii="Arial" w:hAnsi="Arial" w:cs="Arial"/>
                <w:noProof/>
              </w:rPr>
              <w:t>--</w:t>
            </w:r>
          </w:p>
        </w:tc>
      </w:tr>
    </w:tbl>
    <w:p w:rsidR="002E720C" w:rsidRPr="006B679D" w:rsidRDefault="002E720C" w:rsidP="002E720C">
      <w:pPr>
        <w:suppressAutoHyphens/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2"/>
      </w:tblGrid>
      <w:tr w:rsidR="002E720C" w:rsidRPr="006B679D" w:rsidTr="008F5112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>Tantárgy-leírás</w:t>
            </w:r>
            <w:r w:rsidRPr="006B679D">
              <w:rPr>
                <w:rFonts w:ascii="Arial" w:hAnsi="Arial" w:cs="Arial"/>
              </w:rPr>
              <w:t xml:space="preserve">: az elsajátítandó </w:t>
            </w:r>
            <w:r w:rsidRPr="006B679D">
              <w:rPr>
                <w:rFonts w:ascii="Arial" w:hAnsi="Arial" w:cs="Arial"/>
                <w:b/>
              </w:rPr>
              <w:t xml:space="preserve">ismeretanyag tömör, ugyanakkor </w:t>
            </w:r>
            <w:proofErr w:type="gramStart"/>
            <w:r w:rsidRPr="006B679D">
              <w:rPr>
                <w:rFonts w:ascii="Arial" w:hAnsi="Arial" w:cs="Arial"/>
                <w:b/>
              </w:rPr>
              <w:t>informáló</w:t>
            </w:r>
            <w:proofErr w:type="gramEnd"/>
            <w:r w:rsidRPr="006B679D">
              <w:rPr>
                <w:rFonts w:ascii="Arial" w:hAnsi="Arial" w:cs="Arial"/>
                <w:b/>
              </w:rPr>
              <w:t xml:space="preserve"> leírása</w:t>
            </w:r>
          </w:p>
        </w:tc>
      </w:tr>
      <w:tr w:rsidR="002E720C" w:rsidRPr="006B679D" w:rsidTr="008F5112">
        <w:trPr>
          <w:trHeight w:val="280"/>
        </w:trPr>
        <w:tc>
          <w:tcPr>
            <w:tcW w:w="93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ind w:left="36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A tantárgy célja  </w:t>
            </w:r>
          </w:p>
          <w:p w:rsidR="002E720C" w:rsidRPr="006B679D" w:rsidRDefault="002E720C" w:rsidP="008F5112">
            <w:pPr>
              <w:ind w:left="36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Alapvető célunknak tartjuk, hogy a hallgatóink az integrációval kapcsolatos ismeretek elsajátítsák. A </w:t>
            </w:r>
            <w:proofErr w:type="gramStart"/>
            <w:r w:rsidRPr="006B679D">
              <w:rPr>
                <w:rFonts w:ascii="Arial" w:hAnsi="Arial" w:cs="Arial"/>
              </w:rPr>
              <w:t>kurzus</w:t>
            </w:r>
            <w:proofErr w:type="gramEnd"/>
            <w:r w:rsidRPr="006B679D">
              <w:rPr>
                <w:rFonts w:ascii="Arial" w:hAnsi="Arial" w:cs="Arial"/>
              </w:rPr>
              <w:t xml:space="preserve"> az EU-integráció helyzetével, a főbb integrációs politikák kialakulásával, működésével, reformjaival és azok hatásaival foglalkozik. Az Európai Unió, mint politikai közösség, döntéseivel meghatározza mindennapjainkat és hatással van a nemzeti politika kialakítására. </w:t>
            </w:r>
          </w:p>
          <w:p w:rsidR="002E720C" w:rsidRPr="006B679D" w:rsidRDefault="002E720C" w:rsidP="008F5112">
            <w:pPr>
              <w:ind w:left="36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A tantárgy során a regionális – területi politika fogalmait, folyamatát és</w:t>
            </w:r>
            <w:r w:rsidR="00023D14" w:rsidRPr="006B679D">
              <w:rPr>
                <w:rFonts w:ascii="Arial" w:hAnsi="Arial" w:cs="Arial"/>
              </w:rPr>
              <w:t xml:space="preserve"> alakító szereplőit mutatjuk be, emellett a g</w:t>
            </w:r>
            <w:r w:rsidRPr="006B679D">
              <w:rPr>
                <w:rFonts w:ascii="Arial" w:hAnsi="Arial" w:cs="Arial"/>
              </w:rPr>
              <w:t xml:space="preserve">azdasági- térbeli folyamatok és azok alakításának elveit egyaránt tárgyaljuk. A félév során az európai, az EU-s és az Európán kívüli területi és biztonságpolitikai kérdések elemzésére is lehetőség nyílik. 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</w:rPr>
            </w:pPr>
          </w:p>
          <w:tbl>
            <w:tblPr>
              <w:tblW w:w="9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478"/>
              <w:gridCol w:w="7979"/>
            </w:tblGrid>
            <w:tr w:rsidR="00AB764A" w:rsidRPr="006B679D" w:rsidTr="009A287E">
              <w:trPr>
                <w:trHeight w:val="286"/>
              </w:trPr>
              <w:tc>
                <w:tcPr>
                  <w:tcW w:w="1478" w:type="dxa"/>
                  <w:shd w:val="clear" w:color="auto" w:fill="BFBFBF"/>
                  <w:vAlign w:val="center"/>
                </w:tcPr>
                <w:p w:rsidR="00AB764A" w:rsidRPr="006B679D" w:rsidRDefault="00AB764A" w:rsidP="00AB764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B679D">
                    <w:rPr>
                      <w:rFonts w:ascii="Arial" w:hAnsi="Arial" w:cs="Arial"/>
                      <w:b/>
                      <w:bCs/>
                    </w:rPr>
                    <w:t>Hét</w:t>
                  </w:r>
                </w:p>
              </w:tc>
              <w:tc>
                <w:tcPr>
                  <w:tcW w:w="7979" w:type="dxa"/>
                  <w:shd w:val="clear" w:color="auto" w:fill="BFBFBF"/>
                  <w:vAlign w:val="center"/>
                </w:tcPr>
                <w:p w:rsidR="00AB764A" w:rsidRPr="006B679D" w:rsidRDefault="00AB764A" w:rsidP="00AB764A">
                  <w:pPr>
                    <w:ind w:left="36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B679D">
                    <w:rPr>
                      <w:rFonts w:ascii="Arial" w:hAnsi="Arial" w:cs="Arial"/>
                      <w:b/>
                      <w:bCs/>
                    </w:rPr>
                    <w:t>Tananyag</w:t>
                  </w:r>
                </w:p>
              </w:tc>
            </w:tr>
            <w:tr w:rsidR="00AB764A" w:rsidRPr="006B679D" w:rsidTr="009A287E">
              <w:tc>
                <w:tcPr>
                  <w:tcW w:w="1478" w:type="dxa"/>
                  <w:vAlign w:val="center"/>
                </w:tcPr>
                <w:p w:rsidR="00AB764A" w:rsidRPr="006B679D" w:rsidRDefault="00CF138C" w:rsidP="00CF138C">
                  <w:pPr>
                    <w:rPr>
                      <w:rFonts w:ascii="Arial" w:hAnsi="Arial" w:cs="Arial"/>
                      <w:color w:val="000000"/>
                    </w:rPr>
                  </w:pPr>
                  <w:r w:rsidRPr="006B679D">
                    <w:rPr>
                      <w:rFonts w:ascii="Arial" w:hAnsi="Arial" w:cs="Arial"/>
                      <w:color w:val="000000"/>
                    </w:rPr>
                    <w:t>1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9A287E" w:rsidRPr="006B679D" w:rsidRDefault="00AB764A" w:rsidP="00AB764A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 xml:space="preserve">Bevezetés: Az Európa-eszme kialakulása és az integrációs folyamat </w:t>
                  </w:r>
                </w:p>
                <w:p w:rsidR="00AB764A" w:rsidRPr="006B679D" w:rsidRDefault="00AB764A" w:rsidP="009A287E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főbb állomásai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2. hét</w:t>
                  </w:r>
                </w:p>
              </w:tc>
              <w:tc>
                <w:tcPr>
                  <w:tcW w:w="7979" w:type="dxa"/>
                </w:tcPr>
                <w:p w:rsidR="00CF138C" w:rsidRPr="006B679D" w:rsidRDefault="00CF138C" w:rsidP="00CF138C">
                  <w:pPr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Az EU intézményrendszerének bemutatása – változások az elmúlt év során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3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</w:tcPr>
                <w:p w:rsidR="00CF138C" w:rsidRPr="006B679D" w:rsidRDefault="00CF138C" w:rsidP="00CF138C">
                  <w:pPr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Az EU intézményrendszerének döntési folyamata</w:t>
                  </w:r>
                </w:p>
                <w:p w:rsidR="006B4A4D" w:rsidRPr="006B679D" w:rsidRDefault="006B4A4D" w:rsidP="00CF138C">
                  <w:pPr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Az EP választási szabályai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4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 xml:space="preserve">Az EU három alappillére és </w:t>
                  </w:r>
                  <w:proofErr w:type="gramStart"/>
                  <w:r w:rsidRPr="006B679D">
                    <w:rPr>
                      <w:rFonts w:ascii="Arial" w:hAnsi="Arial" w:cs="Arial"/>
                    </w:rPr>
                    <w:t>strukturális</w:t>
                  </w:r>
                  <w:proofErr w:type="gramEnd"/>
                  <w:r w:rsidRPr="006B679D">
                    <w:rPr>
                      <w:rFonts w:ascii="Arial" w:hAnsi="Arial" w:cs="Arial"/>
                    </w:rPr>
                    <w:t xml:space="preserve"> alapelvei</w:t>
                  </w:r>
                </w:p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5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 xml:space="preserve">A poszt-kommunista országok felzárkózási törekvései, </w:t>
                  </w:r>
                </w:p>
                <w:p w:rsidR="006B4A4D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Magyarország c</w:t>
                  </w:r>
                  <w:r w:rsidR="006B4A4D" w:rsidRPr="006B679D">
                    <w:rPr>
                      <w:rFonts w:ascii="Arial" w:hAnsi="Arial" w:cs="Arial"/>
                    </w:rPr>
                    <w:t>satlakozása az Európai Unióhoz</w:t>
                  </w:r>
                </w:p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V4-ek az EU-ban</w:t>
                  </w:r>
                </w:p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6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 xml:space="preserve">Érdekek, tárgyalások és </w:t>
                  </w:r>
                  <w:proofErr w:type="gramStart"/>
                  <w:r w:rsidRPr="006B679D">
                    <w:rPr>
                      <w:rFonts w:ascii="Arial" w:hAnsi="Arial" w:cs="Arial"/>
                    </w:rPr>
                    <w:t>perspektívák</w:t>
                  </w:r>
                  <w:proofErr w:type="gramEnd"/>
                  <w:r w:rsidRPr="006B679D">
                    <w:rPr>
                      <w:rFonts w:ascii="Arial" w:hAnsi="Arial" w:cs="Arial"/>
                    </w:rPr>
                    <w:t xml:space="preserve"> értékelése</w:t>
                  </w:r>
                </w:p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B679D">
                    <w:rPr>
                      <w:rFonts w:ascii="Arial" w:hAnsi="Arial" w:cs="Arial"/>
                      <w:color w:val="000000" w:themeColor="text1"/>
                    </w:rPr>
                    <w:t xml:space="preserve">Törésvonalak az EU politikákban. </w:t>
                  </w:r>
                </w:p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 xml:space="preserve">Az EU működési mechanizmusának </w:t>
                  </w:r>
                  <w:proofErr w:type="gramStart"/>
                  <w:r w:rsidRPr="006B679D">
                    <w:rPr>
                      <w:rFonts w:ascii="Arial" w:hAnsi="Arial" w:cs="Arial"/>
                    </w:rPr>
                    <w:t>problematikái</w:t>
                  </w:r>
                  <w:proofErr w:type="gramEnd"/>
                  <w:r w:rsidRPr="006B679D">
                    <w:rPr>
                      <w:rFonts w:ascii="Arial" w:hAnsi="Arial" w:cs="Arial"/>
                    </w:rPr>
                    <w:t xml:space="preserve">. </w:t>
                  </w:r>
                </w:p>
              </w:tc>
            </w:tr>
            <w:tr w:rsidR="00CF138C" w:rsidRPr="006B679D" w:rsidTr="009A287E">
              <w:trPr>
                <w:trHeight w:val="232"/>
              </w:trPr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7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Az EU bővítése: a csatlakozásra váró országok lehetőségei.</w:t>
                  </w:r>
                  <w:r w:rsidR="006B4A4D" w:rsidRPr="006B679D">
                    <w:rPr>
                      <w:rFonts w:ascii="Arial" w:hAnsi="Arial" w:cs="Arial"/>
                    </w:rPr>
                    <w:t xml:space="preserve"> 2023-as jelentés </w:t>
                  </w:r>
                </w:p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8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 xml:space="preserve">A </w:t>
                  </w:r>
                  <w:proofErr w:type="spellStart"/>
                  <w:r w:rsidRPr="006B679D">
                    <w:rPr>
                      <w:rFonts w:ascii="Arial" w:hAnsi="Arial" w:cs="Arial"/>
                    </w:rPr>
                    <w:t>brexit</w:t>
                  </w:r>
                  <w:proofErr w:type="spellEnd"/>
                  <w:r w:rsidRPr="006B679D">
                    <w:rPr>
                      <w:rFonts w:ascii="Arial" w:hAnsi="Arial" w:cs="Arial"/>
                    </w:rPr>
                    <w:t xml:space="preserve"> folyamata és hatása.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9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6B679D">
                    <w:rPr>
                      <w:rFonts w:ascii="Arial" w:hAnsi="Arial" w:cs="Arial"/>
                    </w:rPr>
                    <w:t>Szakpolitikák az EU-ban: Regionális politika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10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Szakpolitikák az EU-ban: Innovációs politika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11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Szakpolitikák az EU-ban: Környezetvédelem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12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Szakpolitikák az EU-ban: Biztonságpolitika</w:t>
                  </w:r>
                </w:p>
              </w:tc>
            </w:tr>
            <w:tr w:rsidR="00CF138C" w:rsidRPr="006B679D" w:rsidTr="009A287E">
              <w:tc>
                <w:tcPr>
                  <w:tcW w:w="1478" w:type="dxa"/>
                </w:tcPr>
                <w:p w:rsidR="00CF138C" w:rsidRPr="006B679D" w:rsidRDefault="00CF138C" w:rsidP="00CF138C">
                  <w:r w:rsidRPr="006B679D">
                    <w:rPr>
                      <w:rFonts w:ascii="Arial" w:hAnsi="Arial" w:cs="Arial"/>
                      <w:color w:val="000000"/>
                    </w:rPr>
                    <w:t>13</w:t>
                  </w:r>
                  <w:proofErr w:type="gramStart"/>
                  <w:r w:rsidRPr="006B679D">
                    <w:rPr>
                      <w:rFonts w:ascii="Arial" w:hAnsi="Arial" w:cs="Arial"/>
                      <w:color w:val="000000"/>
                    </w:rPr>
                    <w:t>.hét</w:t>
                  </w:r>
                  <w:proofErr w:type="gramEnd"/>
                </w:p>
              </w:tc>
              <w:tc>
                <w:tcPr>
                  <w:tcW w:w="7979" w:type="dxa"/>
                  <w:vAlign w:val="center"/>
                </w:tcPr>
                <w:p w:rsidR="00CF138C" w:rsidRPr="006B679D" w:rsidRDefault="00CF138C" w:rsidP="00CF138C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6B679D">
                    <w:rPr>
                      <w:rFonts w:ascii="Arial" w:hAnsi="Arial" w:cs="Arial"/>
                    </w:rPr>
                    <w:t>Szakpolitikák az EU-ban: Kisebbségpolitika</w:t>
                  </w:r>
                </w:p>
              </w:tc>
            </w:tr>
            <w:tr w:rsidR="00AB764A" w:rsidRPr="006B679D" w:rsidTr="009A287E">
              <w:tc>
                <w:tcPr>
                  <w:tcW w:w="1478" w:type="dxa"/>
                  <w:vAlign w:val="center"/>
                </w:tcPr>
                <w:p w:rsidR="00AB764A" w:rsidRPr="006B679D" w:rsidRDefault="00AB764A" w:rsidP="00AB764A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7979" w:type="dxa"/>
                  <w:vAlign w:val="center"/>
                </w:tcPr>
                <w:p w:rsidR="00AB764A" w:rsidRPr="006B679D" w:rsidRDefault="00AB764A" w:rsidP="00AB764A">
                  <w:pPr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2E720C" w:rsidRPr="006B679D" w:rsidRDefault="002E720C" w:rsidP="008F511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2E720C" w:rsidRPr="006B679D" w:rsidRDefault="002E720C" w:rsidP="008F5112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2E720C" w:rsidRPr="006B679D" w:rsidTr="008F5112">
        <w:tc>
          <w:tcPr>
            <w:tcW w:w="9356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E720C" w:rsidRPr="006B679D" w:rsidRDefault="002E720C" w:rsidP="008F5112">
            <w:pPr>
              <w:suppressAutoHyphens/>
              <w:ind w:right="-108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</w:rPr>
              <w:t xml:space="preserve">A </w:t>
            </w:r>
            <w:r w:rsidRPr="006B679D">
              <w:rPr>
                <w:rFonts w:ascii="Arial" w:hAnsi="Arial" w:cs="Arial"/>
                <w:b/>
              </w:rPr>
              <w:t>2-5</w:t>
            </w:r>
            <w:r w:rsidRPr="006B679D">
              <w:rPr>
                <w:rFonts w:ascii="Arial" w:hAnsi="Arial" w:cs="Arial"/>
              </w:rPr>
              <w:t xml:space="preserve"> legfontosabb </w:t>
            </w:r>
            <w:r w:rsidRPr="006B679D">
              <w:rPr>
                <w:rFonts w:ascii="Arial" w:hAnsi="Arial" w:cs="Arial"/>
                <w:i/>
              </w:rPr>
              <w:t>kötelező,</w:t>
            </w:r>
            <w:r w:rsidRPr="006B679D">
              <w:rPr>
                <w:rFonts w:ascii="Arial" w:hAnsi="Arial" w:cs="Arial"/>
              </w:rPr>
              <w:t xml:space="preserve"> illetve </w:t>
            </w:r>
            <w:r w:rsidRPr="006B679D">
              <w:rPr>
                <w:rFonts w:ascii="Arial" w:hAnsi="Arial" w:cs="Arial"/>
                <w:i/>
              </w:rPr>
              <w:t>ajánlott</w:t>
            </w:r>
            <w:r w:rsidRPr="006B679D">
              <w:rPr>
                <w:rFonts w:ascii="Arial" w:hAnsi="Arial" w:cs="Arial"/>
                <w:b/>
                <w:i/>
              </w:rPr>
              <w:t xml:space="preserve"> </w:t>
            </w:r>
            <w:r w:rsidRPr="006B679D">
              <w:rPr>
                <w:rFonts w:ascii="Arial" w:hAnsi="Arial" w:cs="Arial"/>
                <w:b/>
              </w:rPr>
              <w:t xml:space="preserve">irodalom </w:t>
            </w:r>
            <w:r w:rsidRPr="006B679D">
              <w:rPr>
                <w:rFonts w:ascii="Arial" w:hAnsi="Arial" w:cs="Arial"/>
              </w:rPr>
              <w:t>(jegyzet, tankönyv) felsorolása bibliográfiai adatokkal (szerző, cím, kiadás adatai, (esetleg oldalak), ISBN)</w:t>
            </w:r>
          </w:p>
        </w:tc>
      </w:tr>
      <w:tr w:rsidR="002E720C" w:rsidRPr="006B679D" w:rsidTr="008F5112">
        <w:tc>
          <w:tcPr>
            <w:tcW w:w="935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2CC"/>
            <w:tcMar>
              <w:top w:w="57" w:type="dxa"/>
              <w:bottom w:w="57" w:type="dxa"/>
            </w:tcMar>
            <w:vAlign w:val="center"/>
          </w:tcPr>
          <w:p w:rsidR="004868DD" w:rsidRPr="006B679D" w:rsidRDefault="004868DD" w:rsidP="008F5112">
            <w:pPr>
              <w:pStyle w:val="ListParagraph1"/>
              <w:ind w:left="0"/>
              <w:jc w:val="both"/>
              <w:rPr>
                <w:rFonts w:ascii="Arial" w:hAnsi="Arial" w:cs="Arial"/>
                <w:i/>
                <w:shd w:val="clear" w:color="auto" w:fill="FFFFFF"/>
              </w:rPr>
            </w:pPr>
            <w:r w:rsidRPr="006B679D">
              <w:rPr>
                <w:rFonts w:ascii="Arial" w:hAnsi="Arial" w:cs="Arial"/>
                <w:i/>
                <w:shd w:val="clear" w:color="auto" w:fill="FFFFFF"/>
              </w:rPr>
              <w:lastRenderedPageBreak/>
              <w:t xml:space="preserve">Az Európai Unió hivatalos honlapja. </w:t>
            </w:r>
          </w:p>
          <w:p w:rsidR="004868DD" w:rsidRPr="006B679D" w:rsidRDefault="006B679D" w:rsidP="008F5112">
            <w:pPr>
              <w:pStyle w:val="ListParagraph1"/>
              <w:ind w:left="0"/>
              <w:jc w:val="both"/>
              <w:rPr>
                <w:rFonts w:ascii="Arial" w:hAnsi="Arial" w:cs="Arial"/>
              </w:rPr>
            </w:pPr>
            <w:hyperlink r:id="rId5" w:history="1">
              <w:r w:rsidR="004868DD" w:rsidRPr="006B679D">
                <w:rPr>
                  <w:rStyle w:val="Hiperhivatkozs"/>
                  <w:rFonts w:ascii="Arial" w:hAnsi="Arial" w:cs="Arial"/>
                </w:rPr>
                <w:t>https://europa.eu/european-union/index_hu</w:t>
              </w:r>
            </w:hyperlink>
          </w:p>
          <w:p w:rsidR="002E720C" w:rsidRPr="006B679D" w:rsidRDefault="002E720C" w:rsidP="008F5112">
            <w:pPr>
              <w:pStyle w:val="ListParagraph1"/>
              <w:ind w:left="0"/>
              <w:jc w:val="both"/>
              <w:rPr>
                <w:rFonts w:ascii="Arial" w:hAnsi="Arial" w:cs="Arial"/>
                <w:i/>
                <w:shd w:val="clear" w:color="auto" w:fill="FFFFFF"/>
              </w:rPr>
            </w:pPr>
            <w:proofErr w:type="spellStart"/>
            <w:r w:rsidRPr="006B679D">
              <w:rPr>
                <w:rFonts w:ascii="Arial" w:hAnsi="Arial" w:cs="Arial"/>
                <w:i/>
                <w:shd w:val="clear" w:color="auto" w:fill="FFFFFF"/>
              </w:rPr>
              <w:t>Rechnitzer</w:t>
            </w:r>
            <w:proofErr w:type="spellEnd"/>
            <w:r w:rsidRPr="006B679D">
              <w:rPr>
                <w:rFonts w:ascii="Arial" w:hAnsi="Arial" w:cs="Arial"/>
                <w:i/>
                <w:shd w:val="clear" w:color="auto" w:fill="FFFFFF"/>
              </w:rPr>
              <w:t xml:space="preserve"> János-</w:t>
            </w:r>
            <w:proofErr w:type="spellStart"/>
            <w:r w:rsidRPr="006B679D">
              <w:rPr>
                <w:rFonts w:ascii="Arial" w:hAnsi="Arial" w:cs="Arial"/>
                <w:i/>
                <w:shd w:val="clear" w:color="auto" w:fill="FFFFFF"/>
              </w:rPr>
              <w:t>Smahó</w:t>
            </w:r>
            <w:proofErr w:type="spellEnd"/>
            <w:r w:rsidRPr="006B679D">
              <w:rPr>
                <w:rFonts w:ascii="Arial" w:hAnsi="Arial" w:cs="Arial"/>
                <w:i/>
                <w:shd w:val="clear" w:color="auto" w:fill="FFFFFF"/>
              </w:rPr>
              <w:t xml:space="preserve"> Melinda: Területi politika (</w:t>
            </w:r>
            <w:proofErr w:type="spellStart"/>
            <w:r w:rsidRPr="006B679D">
              <w:rPr>
                <w:rFonts w:ascii="Arial" w:hAnsi="Arial" w:cs="Arial"/>
                <w:i/>
                <w:shd w:val="clear" w:color="auto" w:fill="FFFFFF"/>
              </w:rPr>
              <w:t>Territorial</w:t>
            </w:r>
            <w:proofErr w:type="spellEnd"/>
            <w:r w:rsidRPr="006B679D">
              <w:rPr>
                <w:rFonts w:ascii="Arial" w:hAnsi="Arial" w:cs="Arial"/>
                <w:i/>
                <w:shd w:val="clear" w:color="auto" w:fill="FFFFFF"/>
              </w:rPr>
              <w:t xml:space="preserve"> </w:t>
            </w:r>
            <w:proofErr w:type="spellStart"/>
            <w:r w:rsidRPr="006B679D">
              <w:rPr>
                <w:rFonts w:ascii="Arial" w:hAnsi="Arial" w:cs="Arial"/>
                <w:i/>
                <w:shd w:val="clear" w:color="auto" w:fill="FFFFFF"/>
              </w:rPr>
              <w:t>Policies</w:t>
            </w:r>
            <w:proofErr w:type="spellEnd"/>
            <w:r w:rsidRPr="006B679D">
              <w:rPr>
                <w:rFonts w:ascii="Arial" w:hAnsi="Arial" w:cs="Arial"/>
                <w:i/>
                <w:shd w:val="clear" w:color="auto" w:fill="FFFFFF"/>
              </w:rPr>
              <w:t>). Akadémiai Kiadó, Budapest, 2011.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</w:rPr>
            </w:pPr>
            <w:proofErr w:type="spellStart"/>
            <w:r w:rsidRPr="006B679D">
              <w:rPr>
                <w:rFonts w:ascii="Arial" w:hAnsi="Arial" w:cs="Arial"/>
              </w:rPr>
              <w:t>Bainbridge</w:t>
            </w:r>
            <w:proofErr w:type="spellEnd"/>
            <w:r w:rsidRPr="006B679D">
              <w:rPr>
                <w:rFonts w:ascii="Arial" w:hAnsi="Arial" w:cs="Arial"/>
              </w:rPr>
              <w:t xml:space="preserve">, </w:t>
            </w:r>
            <w:proofErr w:type="spellStart"/>
            <w:r w:rsidRPr="006B679D">
              <w:rPr>
                <w:rFonts w:ascii="Arial" w:hAnsi="Arial" w:cs="Arial"/>
              </w:rPr>
              <w:t>Timothy</w:t>
            </w:r>
            <w:proofErr w:type="spellEnd"/>
            <w:r w:rsidRPr="006B679D">
              <w:rPr>
                <w:rFonts w:ascii="Arial" w:hAnsi="Arial" w:cs="Arial"/>
              </w:rPr>
              <w:t>: EU mindentudó, HVG, 2004.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Blahó András (szerk.): Európai integrációs alapismeretek. Aula Kiadó, 2004.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Garai Katalin: Az Európai Unió. Corvina Kiadó, 1999.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Kende Tamás-Szűcs Tamás (</w:t>
            </w:r>
            <w:proofErr w:type="spellStart"/>
            <w:r w:rsidRPr="006B679D">
              <w:rPr>
                <w:rFonts w:ascii="Arial" w:hAnsi="Arial" w:cs="Arial"/>
              </w:rPr>
              <w:t>szerk</w:t>
            </w:r>
            <w:proofErr w:type="spellEnd"/>
            <w:r w:rsidRPr="006B679D">
              <w:rPr>
                <w:rFonts w:ascii="Arial" w:hAnsi="Arial" w:cs="Arial"/>
              </w:rPr>
              <w:t>.): Az Európai Unió politikái. Osiris Kiadó, 2002.</w:t>
            </w:r>
          </w:p>
          <w:p w:rsidR="002E720C" w:rsidRPr="006B679D" w:rsidRDefault="002E720C" w:rsidP="008F5112">
            <w:pPr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Kende Tamás-Szűcs Tamás (</w:t>
            </w:r>
            <w:proofErr w:type="spellStart"/>
            <w:r w:rsidRPr="006B679D">
              <w:rPr>
                <w:rFonts w:ascii="Arial" w:hAnsi="Arial" w:cs="Arial"/>
              </w:rPr>
              <w:t>szerk</w:t>
            </w:r>
            <w:proofErr w:type="spellEnd"/>
            <w:r w:rsidRPr="006B679D">
              <w:rPr>
                <w:rFonts w:ascii="Arial" w:hAnsi="Arial" w:cs="Arial"/>
              </w:rPr>
              <w:t>.): Európai közjog és politika. Osiris Kiadó, 2003</w:t>
            </w:r>
          </w:p>
        </w:tc>
      </w:tr>
      <w:tr w:rsidR="002E720C" w:rsidRPr="006B679D" w:rsidTr="008F5112">
        <w:tc>
          <w:tcPr>
            <w:tcW w:w="9356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Azoknak az </w:t>
            </w:r>
            <w:r w:rsidRPr="006B679D">
              <w:rPr>
                <w:rFonts w:ascii="Arial" w:hAnsi="Arial" w:cs="Arial"/>
                <w:b/>
              </w:rPr>
              <w:t>előírt</w:t>
            </w:r>
            <w:r w:rsidRPr="006B679D">
              <w:rPr>
                <w:rFonts w:ascii="Arial" w:hAnsi="Arial" w:cs="Arial"/>
              </w:rPr>
              <w:t xml:space="preserve"> s</w:t>
            </w:r>
            <w:r w:rsidRPr="006B679D">
              <w:rPr>
                <w:rFonts w:ascii="Arial" w:hAnsi="Arial" w:cs="Arial"/>
                <w:b/>
              </w:rPr>
              <w:t xml:space="preserve">zakmai </w:t>
            </w:r>
            <w:proofErr w:type="gramStart"/>
            <w:r w:rsidRPr="006B679D">
              <w:rPr>
                <w:rFonts w:ascii="Arial" w:hAnsi="Arial" w:cs="Arial"/>
                <w:b/>
              </w:rPr>
              <w:t>kompetenciáknak</w:t>
            </w:r>
            <w:proofErr w:type="gramEnd"/>
            <w:r w:rsidRPr="006B679D">
              <w:rPr>
                <w:rFonts w:ascii="Arial" w:hAnsi="Arial" w:cs="Arial"/>
                <w:b/>
              </w:rPr>
              <w:t>, kompetencia-elemeknek</w:t>
            </w:r>
            <w:r w:rsidRPr="006B679D">
              <w:rPr>
                <w:rFonts w:ascii="Arial" w:hAnsi="Arial" w:cs="Arial"/>
              </w:rPr>
              <w:t xml:space="preserve"> </w:t>
            </w:r>
            <w:r w:rsidRPr="006B679D">
              <w:rPr>
                <w:rFonts w:ascii="Arial" w:hAnsi="Arial" w:cs="Arial"/>
                <w:i/>
              </w:rPr>
              <w:t>(tudás, képesség</w:t>
            </w:r>
            <w:r w:rsidRPr="006B679D">
              <w:rPr>
                <w:rFonts w:ascii="Arial" w:hAnsi="Arial" w:cs="Arial"/>
              </w:rPr>
              <w:t xml:space="preserve"> stb., </w:t>
            </w:r>
            <w:r w:rsidRPr="006B679D">
              <w:rPr>
                <w:rFonts w:ascii="Arial" w:hAnsi="Arial" w:cs="Arial"/>
                <w:i/>
              </w:rPr>
              <w:t xml:space="preserve">KKK </w:t>
            </w:r>
            <w:r w:rsidRPr="006B679D">
              <w:rPr>
                <w:rFonts w:ascii="Arial" w:hAnsi="Arial" w:cs="Arial"/>
                <w:b/>
                <w:i/>
              </w:rPr>
              <w:t>7.</w:t>
            </w:r>
            <w:r w:rsidRPr="006B679D">
              <w:rPr>
                <w:rFonts w:ascii="Arial" w:hAnsi="Arial" w:cs="Arial"/>
                <w:i/>
              </w:rPr>
              <w:t xml:space="preserve"> pont</w:t>
            </w:r>
            <w:r w:rsidRPr="006B679D">
              <w:rPr>
                <w:rFonts w:ascii="Arial" w:hAnsi="Arial" w:cs="Arial"/>
              </w:rPr>
              <w:t xml:space="preserve">) a felsorolása, </w:t>
            </w:r>
            <w:r w:rsidRPr="006B679D">
              <w:rPr>
                <w:rFonts w:ascii="Arial" w:hAnsi="Arial" w:cs="Arial"/>
                <w:b/>
              </w:rPr>
              <w:t>amelyek kialakításához a tantárgy jellemzően, érdemben hozzájárul</w:t>
            </w:r>
          </w:p>
        </w:tc>
      </w:tr>
      <w:tr w:rsidR="002E720C" w:rsidRPr="006B679D" w:rsidTr="008F5112">
        <w:trPr>
          <w:trHeight w:val="296"/>
        </w:trPr>
        <w:tc>
          <w:tcPr>
            <w:tcW w:w="935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ind w:left="176" w:hanging="142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>tudása</w:t>
            </w:r>
          </w:p>
          <w:p w:rsidR="002E720C" w:rsidRPr="006B679D" w:rsidRDefault="002E720C" w:rsidP="008F5112">
            <w:pPr>
              <w:tabs>
                <w:tab w:val="left" w:pos="317"/>
              </w:tabs>
              <w:suppressAutoHyphens/>
              <w:ind w:left="176"/>
              <w:rPr>
                <w:rFonts w:ascii="Arial" w:hAnsi="Arial" w:cs="Arial"/>
                <w:b/>
              </w:rPr>
            </w:pP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Tájékozott a magyar és egyetemes politikai, gazdasági, kulturális jelenségek általánosan elfogadott tendenciái, jellemzői, adatai körében.</w:t>
            </w: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- Összefüggéseiben értelmezi a szakterületéhez általában kapcsolódó, nemzetközi, európai és regionális, politikai, jogi, gazdasági és civilizációs ismereteket és eseményeket.</w:t>
            </w:r>
          </w:p>
          <w:p w:rsidR="002E720C" w:rsidRPr="006B679D" w:rsidRDefault="002E720C" w:rsidP="008F5112">
            <w:pPr>
              <w:tabs>
                <w:tab w:val="left" w:pos="317"/>
              </w:tabs>
              <w:suppressAutoHyphens/>
              <w:ind w:left="176"/>
              <w:rPr>
                <w:rFonts w:ascii="Arial" w:hAnsi="Arial" w:cs="Arial"/>
                <w:b/>
              </w:rPr>
            </w:pPr>
          </w:p>
          <w:p w:rsidR="002E720C" w:rsidRPr="006B679D" w:rsidRDefault="002E720C" w:rsidP="008F5112">
            <w:pPr>
              <w:pStyle w:val="Listaszerbekezd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  <w:b/>
              </w:rPr>
              <w:t>képességei</w:t>
            </w:r>
            <w:r w:rsidRPr="006B679D">
              <w:rPr>
                <w:rFonts w:ascii="Arial" w:hAnsi="Arial" w:cs="Arial"/>
              </w:rPr>
              <w:t xml:space="preserve">- </w:t>
            </w: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Képes a nemzetközi összefüggésekben való eligazodásra, folyamatok, változások követésére, megértésére, feldolgozására, mindezek hatékony és eredményes megosztására, és a gyakorlatban történő alkalmazására.</w:t>
            </w:r>
          </w:p>
          <w:p w:rsidR="002E720C" w:rsidRPr="006B679D" w:rsidRDefault="002E720C" w:rsidP="008F5112">
            <w:pPr>
              <w:tabs>
                <w:tab w:val="left" w:pos="317"/>
              </w:tabs>
              <w:suppressAutoHyphens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</w:rPr>
              <w:t xml:space="preserve"> Képes legalább egy Európán kívüli kultúra, eszmerendszer szempontjából a nemzetközi kapcsolatok jelenségeit értelmezni</w:t>
            </w:r>
          </w:p>
          <w:p w:rsidR="002E720C" w:rsidRPr="006B679D" w:rsidRDefault="002E720C" w:rsidP="008F5112">
            <w:pPr>
              <w:tabs>
                <w:tab w:val="left" w:pos="317"/>
              </w:tabs>
              <w:suppressAutoHyphens/>
              <w:ind w:left="176"/>
              <w:rPr>
                <w:rFonts w:ascii="Arial" w:hAnsi="Arial" w:cs="Arial"/>
                <w:b/>
              </w:rPr>
            </w:pPr>
          </w:p>
          <w:p w:rsidR="002E720C" w:rsidRPr="006B679D" w:rsidRDefault="002E720C" w:rsidP="008F5112">
            <w:pPr>
              <w:numPr>
                <w:ilvl w:val="0"/>
                <w:numId w:val="1"/>
              </w:numPr>
              <w:tabs>
                <w:tab w:val="left" w:pos="317"/>
              </w:tabs>
              <w:suppressAutoHyphens/>
              <w:ind w:left="176" w:hanging="142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>attitűdje</w:t>
            </w: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- Érti és elfogadja, hogy a gazdasági, politikai és kulturális jelenségek történetileg és társadalmilag meghatározottak és változók.</w:t>
            </w: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- Képviseli a magyar és az európai </w:t>
            </w:r>
            <w:proofErr w:type="gramStart"/>
            <w:r w:rsidRPr="006B679D">
              <w:rPr>
                <w:rFonts w:ascii="Arial" w:hAnsi="Arial" w:cs="Arial"/>
              </w:rPr>
              <w:t>identitás vallási</w:t>
            </w:r>
            <w:proofErr w:type="gramEnd"/>
            <w:r w:rsidRPr="006B679D">
              <w:rPr>
                <w:rFonts w:ascii="Arial" w:hAnsi="Arial" w:cs="Arial"/>
              </w:rPr>
              <w:t xml:space="preserve"> és társadalmi, történeti és jelenkori sokszínűségét.</w:t>
            </w: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- Igénye van az európai nemzeti kultúrák befogadására és az Európán kívüli kultúrák megismerésére.</w:t>
            </w:r>
          </w:p>
          <w:p w:rsidR="002E720C" w:rsidRPr="006B679D" w:rsidRDefault="002E720C" w:rsidP="008F5112">
            <w:pPr>
              <w:pStyle w:val="Listaszerbekezds"/>
              <w:tabs>
                <w:tab w:val="left" w:pos="317"/>
              </w:tabs>
              <w:suppressAutoHyphens/>
              <w:ind w:left="394"/>
              <w:rPr>
                <w:rFonts w:ascii="Arial" w:hAnsi="Arial" w:cs="Arial"/>
                <w:b/>
              </w:rPr>
            </w:pPr>
          </w:p>
          <w:p w:rsidR="002E720C" w:rsidRPr="006B679D" w:rsidRDefault="002E720C" w:rsidP="008F5112">
            <w:pPr>
              <w:pStyle w:val="Listaszerbekezds"/>
              <w:numPr>
                <w:ilvl w:val="0"/>
                <w:numId w:val="1"/>
              </w:numPr>
              <w:tabs>
                <w:tab w:val="left" w:pos="317"/>
              </w:tabs>
              <w:suppressAutoHyphens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autonómiája és felelőssége </w:t>
            </w:r>
          </w:p>
          <w:p w:rsidR="002E720C" w:rsidRPr="006B679D" w:rsidRDefault="002E720C" w:rsidP="008F5112">
            <w:pPr>
              <w:ind w:firstLine="240"/>
              <w:jc w:val="both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A szakmai kérdések megválaszolása, a </w:t>
            </w:r>
            <w:proofErr w:type="gramStart"/>
            <w:r w:rsidRPr="006B679D">
              <w:rPr>
                <w:rFonts w:ascii="Arial" w:hAnsi="Arial" w:cs="Arial"/>
              </w:rPr>
              <w:t>problémák</w:t>
            </w:r>
            <w:proofErr w:type="gramEnd"/>
            <w:r w:rsidRPr="006B679D">
              <w:rPr>
                <w:rFonts w:ascii="Arial" w:hAnsi="Arial" w:cs="Arial"/>
              </w:rPr>
              <w:t xml:space="preserve"> megoldása önállóan vagy másokkal való kooperációban történik a felelősség egyéni vállalásával, és a szakma etikai normáinak betartásával.</w:t>
            </w:r>
          </w:p>
          <w:p w:rsidR="002E720C" w:rsidRPr="006B679D" w:rsidRDefault="002E720C" w:rsidP="008F5112">
            <w:pPr>
              <w:suppressAutoHyphens/>
              <w:ind w:left="176"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 xml:space="preserve">- Önálló, </w:t>
            </w:r>
            <w:proofErr w:type="gramStart"/>
            <w:r w:rsidRPr="006B679D">
              <w:rPr>
                <w:rFonts w:ascii="Arial" w:hAnsi="Arial" w:cs="Arial"/>
              </w:rPr>
              <w:t>konstruktív</w:t>
            </w:r>
            <w:proofErr w:type="gramEnd"/>
            <w:r w:rsidRPr="006B679D">
              <w:rPr>
                <w:rFonts w:ascii="Arial" w:hAnsi="Arial" w:cs="Arial"/>
              </w:rPr>
              <w:t xml:space="preserve"> és erős érdekérvényesítő az intézményen belüli és kívüli együttműködési formákban</w:t>
            </w:r>
          </w:p>
          <w:p w:rsidR="002E720C" w:rsidRPr="006B679D" w:rsidRDefault="002E720C" w:rsidP="008F5112">
            <w:pPr>
              <w:suppressAutoHyphens/>
              <w:ind w:left="176"/>
              <w:rPr>
                <w:rFonts w:ascii="Arial" w:hAnsi="Arial" w:cs="Arial"/>
              </w:rPr>
            </w:pPr>
          </w:p>
          <w:p w:rsidR="002E720C" w:rsidRPr="006B679D" w:rsidRDefault="002E720C" w:rsidP="007F7FDC">
            <w:pPr>
              <w:tabs>
                <w:tab w:val="left" w:pos="6510"/>
              </w:tabs>
              <w:suppressAutoHyphens/>
              <w:ind w:left="176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Számonkérés módja: </w:t>
            </w:r>
          </w:p>
          <w:p w:rsidR="007F7FDC" w:rsidRPr="006B679D" w:rsidRDefault="007112D0" w:rsidP="007F7FDC">
            <w:pPr>
              <w:ind w:left="360"/>
              <w:rPr>
                <w:rFonts w:ascii="Arial" w:hAnsi="Arial" w:cs="Arial"/>
                <w:b/>
                <w:color w:val="FF0000"/>
              </w:rPr>
            </w:pPr>
            <w:r w:rsidRPr="006B679D">
              <w:rPr>
                <w:rFonts w:ascii="Arial" w:hAnsi="Arial" w:cs="Arial"/>
                <w:b/>
                <w:color w:val="FF0000"/>
              </w:rPr>
              <w:t>Írásbeli dolgozat. (nem beadandó)</w:t>
            </w:r>
          </w:p>
          <w:p w:rsidR="009E5889" w:rsidRPr="006B679D" w:rsidRDefault="009E5889" w:rsidP="009E5889">
            <w:pPr>
              <w:ind w:left="360"/>
              <w:jc w:val="both"/>
              <w:rPr>
                <w:color w:val="FF0000"/>
              </w:rPr>
            </w:pPr>
            <w:r w:rsidRPr="006B679D">
              <w:rPr>
                <w:color w:val="FF0000"/>
              </w:rPr>
              <w:t xml:space="preserve">Szóbeli vizsga is kérhető külön egyeztetés alapján. (ebben az </w:t>
            </w:r>
            <w:proofErr w:type="gramStart"/>
            <w:r w:rsidRPr="006B679D">
              <w:rPr>
                <w:color w:val="FF0000"/>
              </w:rPr>
              <w:t>esetben</w:t>
            </w:r>
            <w:proofErr w:type="gramEnd"/>
            <w:r w:rsidRPr="006B679D">
              <w:rPr>
                <w:color w:val="FF0000"/>
              </w:rPr>
              <w:t xml:space="preserve"> a tematikában szereplő témák tételcímként szerepelnek)</w:t>
            </w:r>
          </w:p>
          <w:p w:rsidR="007112D0" w:rsidRPr="006B679D" w:rsidRDefault="006B679D" w:rsidP="007112D0">
            <w:pPr>
              <w:suppressAutoHyphens/>
              <w:jc w:val="both"/>
              <w:rPr>
                <w:rFonts w:ascii="Arial" w:hAnsi="Arial" w:cs="Arial"/>
                <w:b/>
              </w:rPr>
            </w:pPr>
            <w:hyperlink r:id="rId6" w:history="1">
              <w:r w:rsidR="007112D0" w:rsidRPr="006B679D">
                <w:rPr>
                  <w:rStyle w:val="Hiperhivatkozs"/>
                  <w:rFonts w:ascii="Arial" w:hAnsi="Arial" w:cs="Arial"/>
                  <w:b/>
                </w:rPr>
                <w:t>dobo.mariann@uni-eszterhazy.hu</w:t>
              </w:r>
            </w:hyperlink>
            <w:r w:rsidR="007112D0" w:rsidRPr="006B679D">
              <w:rPr>
                <w:rFonts w:ascii="Arial" w:hAnsi="Arial" w:cs="Arial"/>
                <w:b/>
              </w:rPr>
              <w:t xml:space="preserve"> </w:t>
            </w:r>
          </w:p>
          <w:p w:rsidR="007112D0" w:rsidRPr="006B679D" w:rsidRDefault="007112D0" w:rsidP="007112D0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Bármilyen kérdés </w:t>
            </w:r>
            <w:proofErr w:type="gramStart"/>
            <w:r w:rsidRPr="006B679D">
              <w:rPr>
                <w:rFonts w:ascii="Arial" w:hAnsi="Arial" w:cs="Arial"/>
                <w:b/>
              </w:rPr>
              <w:t>esetén</w:t>
            </w:r>
            <w:proofErr w:type="gramEnd"/>
            <w:r w:rsidRPr="006B679D">
              <w:rPr>
                <w:rFonts w:ascii="Arial" w:hAnsi="Arial" w:cs="Arial"/>
                <w:b/>
              </w:rPr>
              <w:t xml:space="preserve"> a félév során keressenek</w:t>
            </w:r>
            <w:r w:rsidR="003C6DC7" w:rsidRPr="006B679D">
              <w:rPr>
                <w:rFonts w:ascii="Arial" w:hAnsi="Arial" w:cs="Arial"/>
                <w:b/>
              </w:rPr>
              <w:t xml:space="preserve"> ezen</w:t>
            </w:r>
            <w:r w:rsidR="00812DA7" w:rsidRPr="006B679D">
              <w:rPr>
                <w:rFonts w:ascii="Arial" w:hAnsi="Arial" w:cs="Arial"/>
                <w:b/>
              </w:rPr>
              <w:t xml:space="preserve"> a címen</w:t>
            </w:r>
            <w:r w:rsidRPr="006B679D">
              <w:rPr>
                <w:rFonts w:ascii="Arial" w:hAnsi="Arial" w:cs="Arial"/>
                <w:b/>
              </w:rPr>
              <w:t xml:space="preserve">. </w:t>
            </w:r>
          </w:p>
          <w:p w:rsidR="007112D0" w:rsidRPr="006B679D" w:rsidRDefault="007112D0" w:rsidP="007112D0">
            <w:pPr>
              <w:suppressAutoHyphens/>
              <w:jc w:val="both"/>
              <w:rPr>
                <w:rFonts w:ascii="Arial" w:hAnsi="Arial" w:cs="Arial"/>
                <w:b/>
              </w:rPr>
            </w:pPr>
          </w:p>
          <w:p w:rsidR="007112D0" w:rsidRPr="006B679D" w:rsidRDefault="007112D0" w:rsidP="007112D0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Fogadóórám </w:t>
            </w:r>
          </w:p>
          <w:p w:rsidR="007112D0" w:rsidRPr="006B679D" w:rsidRDefault="006B4A4D" w:rsidP="007112D0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>Szerda: 10.30 – 11.50.</w:t>
            </w:r>
          </w:p>
          <w:p w:rsidR="007112D0" w:rsidRPr="006B679D" w:rsidRDefault="007112D0" w:rsidP="007112D0">
            <w:pPr>
              <w:suppressAutoHyphens/>
              <w:jc w:val="both"/>
              <w:rPr>
                <w:rFonts w:ascii="Arial" w:hAnsi="Arial" w:cs="Arial"/>
                <w:b/>
              </w:rPr>
            </w:pPr>
          </w:p>
          <w:p w:rsidR="002E720C" w:rsidRPr="006B679D" w:rsidRDefault="00812DA7" w:rsidP="002E720C">
            <w:pPr>
              <w:suppressAutoHyphens/>
              <w:rPr>
                <w:rFonts w:ascii="Arial" w:hAnsi="Arial" w:cs="Arial"/>
              </w:rPr>
            </w:pPr>
            <w:r w:rsidRPr="006B679D">
              <w:rPr>
                <w:rFonts w:ascii="Arial" w:hAnsi="Arial" w:cs="Arial"/>
              </w:rPr>
              <w:t>Kiegészítő tananyag (az órán el nem hangzott), illetve a bemutatott diagrammok, térképek elérhetők lesznek az e-</w:t>
            </w:r>
            <w:proofErr w:type="spellStart"/>
            <w:r w:rsidRPr="006B679D">
              <w:rPr>
                <w:rFonts w:ascii="Arial" w:hAnsi="Arial" w:cs="Arial"/>
              </w:rPr>
              <w:t>learning</w:t>
            </w:r>
            <w:proofErr w:type="spellEnd"/>
            <w:r w:rsidRPr="006B679D">
              <w:rPr>
                <w:rFonts w:ascii="Arial" w:hAnsi="Arial" w:cs="Arial"/>
              </w:rPr>
              <w:t xml:space="preserve"> felületen. Itt a feltöltés folyamatos lesz. A kiegészítő tananyag a vizsga szerves részét képezi. </w:t>
            </w:r>
          </w:p>
        </w:tc>
      </w:tr>
    </w:tbl>
    <w:p w:rsidR="002E720C" w:rsidRPr="006B679D" w:rsidRDefault="002E720C" w:rsidP="002E720C">
      <w:pPr>
        <w:suppressAutoHyphens/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2"/>
      </w:tblGrid>
      <w:tr w:rsidR="002E720C" w:rsidRPr="006B679D" w:rsidTr="008F5112">
        <w:trPr>
          <w:trHeight w:val="338"/>
        </w:trPr>
        <w:tc>
          <w:tcPr>
            <w:tcW w:w="9356" w:type="dxa"/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Tantárgy felelőse: </w:t>
            </w:r>
            <w:r w:rsidRPr="006B679D">
              <w:rPr>
                <w:rFonts w:ascii="Arial" w:hAnsi="Arial" w:cs="Arial"/>
                <w:b/>
                <w:noProof/>
              </w:rPr>
              <w:t>Dr. Dobó Marianna</w:t>
            </w:r>
            <w:r w:rsidRPr="006B679D">
              <w:rPr>
                <w:rFonts w:ascii="Arial" w:hAnsi="Arial" w:cs="Arial"/>
                <w:b/>
              </w:rPr>
              <w:t xml:space="preserve">, </w:t>
            </w:r>
            <w:r w:rsidRPr="006B679D">
              <w:rPr>
                <w:rFonts w:ascii="Arial" w:hAnsi="Arial" w:cs="Arial"/>
                <w:b/>
                <w:noProof/>
              </w:rPr>
              <w:t>főiskolai docens</w:t>
            </w:r>
          </w:p>
        </w:tc>
      </w:tr>
      <w:tr w:rsidR="002E720C" w:rsidRPr="006B679D" w:rsidTr="008F5112">
        <w:trPr>
          <w:trHeight w:val="337"/>
        </w:trPr>
        <w:tc>
          <w:tcPr>
            <w:tcW w:w="9356" w:type="dxa"/>
            <w:shd w:val="clear" w:color="auto" w:fill="auto"/>
            <w:tcMar>
              <w:top w:w="57" w:type="dxa"/>
              <w:bottom w:w="57" w:type="dxa"/>
            </w:tcMar>
          </w:tcPr>
          <w:p w:rsidR="002E720C" w:rsidRPr="006B679D" w:rsidRDefault="002E720C" w:rsidP="008F5112">
            <w:pPr>
              <w:suppressAutoHyphens/>
              <w:jc w:val="both"/>
              <w:rPr>
                <w:rFonts w:ascii="Arial" w:hAnsi="Arial" w:cs="Arial"/>
                <w:b/>
              </w:rPr>
            </w:pPr>
            <w:r w:rsidRPr="006B679D">
              <w:rPr>
                <w:rFonts w:ascii="Arial" w:hAnsi="Arial" w:cs="Arial"/>
                <w:b/>
              </w:rPr>
              <w:t xml:space="preserve">Tantárgy oktatásába bevont </w:t>
            </w:r>
            <w:proofErr w:type="gramStart"/>
            <w:r w:rsidRPr="006B679D">
              <w:rPr>
                <w:rFonts w:ascii="Arial" w:hAnsi="Arial" w:cs="Arial"/>
                <w:b/>
              </w:rPr>
              <w:t>oktató(</w:t>
            </w:r>
            <w:proofErr w:type="gramEnd"/>
            <w:r w:rsidRPr="006B679D">
              <w:rPr>
                <w:rFonts w:ascii="Arial" w:hAnsi="Arial" w:cs="Arial"/>
                <w:b/>
              </w:rPr>
              <w:t xml:space="preserve">k), </w:t>
            </w:r>
            <w:r w:rsidRPr="006B679D">
              <w:rPr>
                <w:rFonts w:ascii="Arial" w:hAnsi="Arial" w:cs="Arial"/>
              </w:rPr>
              <w:t>ha van(</w:t>
            </w:r>
            <w:proofErr w:type="spellStart"/>
            <w:r w:rsidRPr="006B679D">
              <w:rPr>
                <w:rFonts w:ascii="Arial" w:hAnsi="Arial" w:cs="Arial"/>
              </w:rPr>
              <w:t>nak</w:t>
            </w:r>
            <w:proofErr w:type="spellEnd"/>
            <w:r w:rsidRPr="006B679D">
              <w:rPr>
                <w:rFonts w:ascii="Arial" w:hAnsi="Arial" w:cs="Arial"/>
              </w:rPr>
              <w:t>)</w:t>
            </w:r>
            <w:r w:rsidRPr="006B679D">
              <w:rPr>
                <w:rFonts w:ascii="Arial" w:hAnsi="Arial" w:cs="Arial"/>
                <w:b/>
              </w:rPr>
              <w:t xml:space="preserve">: </w:t>
            </w:r>
            <w:r w:rsidRPr="006B679D">
              <w:rPr>
                <w:rFonts w:ascii="Arial" w:hAnsi="Arial" w:cs="Arial"/>
                <w:b/>
                <w:noProof/>
              </w:rPr>
              <w:t>Dr. Dobó Marianna</w:t>
            </w:r>
            <w:r w:rsidRPr="006B679D">
              <w:rPr>
                <w:rFonts w:ascii="Arial" w:hAnsi="Arial" w:cs="Arial"/>
                <w:b/>
              </w:rPr>
              <w:t xml:space="preserve">, </w:t>
            </w:r>
            <w:r w:rsidRPr="006B679D">
              <w:rPr>
                <w:rFonts w:ascii="Arial" w:hAnsi="Arial" w:cs="Arial"/>
                <w:b/>
                <w:noProof/>
              </w:rPr>
              <w:t>főiskolai docens</w:t>
            </w:r>
          </w:p>
        </w:tc>
      </w:tr>
    </w:tbl>
    <w:p w:rsidR="00D60971" w:rsidRPr="006B679D" w:rsidRDefault="00D60971" w:rsidP="006B679D">
      <w:pPr>
        <w:rPr>
          <w:rFonts w:ascii="Arial" w:hAnsi="Arial" w:cs="Arial"/>
        </w:rPr>
      </w:pPr>
      <w:bookmarkStart w:id="0" w:name="_GoBack"/>
      <w:bookmarkEnd w:id="0"/>
    </w:p>
    <w:sectPr w:rsidR="00D60971" w:rsidRPr="006B6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6939"/>
    <w:multiLevelType w:val="hybridMultilevel"/>
    <w:tmpl w:val="DD2450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9191A"/>
    <w:multiLevelType w:val="hybridMultilevel"/>
    <w:tmpl w:val="1AC08FF2"/>
    <w:lvl w:ilvl="0" w:tplc="C6AEA0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A2EF0"/>
    <w:multiLevelType w:val="hybridMultilevel"/>
    <w:tmpl w:val="67E05D26"/>
    <w:lvl w:ilvl="0" w:tplc="B9ACA5A6">
      <w:start w:val="1"/>
      <w:numFmt w:val="lowerLetter"/>
      <w:lvlText w:val="%1)"/>
      <w:lvlJc w:val="left"/>
      <w:pPr>
        <w:ind w:left="5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56" w:hanging="360"/>
      </w:pPr>
    </w:lvl>
    <w:lvl w:ilvl="2" w:tplc="040E001B" w:tentative="1">
      <w:start w:val="1"/>
      <w:numFmt w:val="lowerRoman"/>
      <w:lvlText w:val="%3."/>
      <w:lvlJc w:val="right"/>
      <w:pPr>
        <w:ind w:left="1976" w:hanging="180"/>
      </w:pPr>
    </w:lvl>
    <w:lvl w:ilvl="3" w:tplc="040E000F" w:tentative="1">
      <w:start w:val="1"/>
      <w:numFmt w:val="decimal"/>
      <w:lvlText w:val="%4."/>
      <w:lvlJc w:val="left"/>
      <w:pPr>
        <w:ind w:left="2696" w:hanging="360"/>
      </w:pPr>
    </w:lvl>
    <w:lvl w:ilvl="4" w:tplc="040E0019" w:tentative="1">
      <w:start w:val="1"/>
      <w:numFmt w:val="lowerLetter"/>
      <w:lvlText w:val="%5."/>
      <w:lvlJc w:val="left"/>
      <w:pPr>
        <w:ind w:left="3416" w:hanging="360"/>
      </w:pPr>
    </w:lvl>
    <w:lvl w:ilvl="5" w:tplc="040E001B" w:tentative="1">
      <w:start w:val="1"/>
      <w:numFmt w:val="lowerRoman"/>
      <w:lvlText w:val="%6."/>
      <w:lvlJc w:val="right"/>
      <w:pPr>
        <w:ind w:left="4136" w:hanging="180"/>
      </w:pPr>
    </w:lvl>
    <w:lvl w:ilvl="6" w:tplc="040E000F" w:tentative="1">
      <w:start w:val="1"/>
      <w:numFmt w:val="decimal"/>
      <w:lvlText w:val="%7."/>
      <w:lvlJc w:val="left"/>
      <w:pPr>
        <w:ind w:left="4856" w:hanging="360"/>
      </w:pPr>
    </w:lvl>
    <w:lvl w:ilvl="7" w:tplc="040E0019" w:tentative="1">
      <w:start w:val="1"/>
      <w:numFmt w:val="lowerLetter"/>
      <w:lvlText w:val="%8."/>
      <w:lvlJc w:val="left"/>
      <w:pPr>
        <w:ind w:left="5576" w:hanging="360"/>
      </w:pPr>
    </w:lvl>
    <w:lvl w:ilvl="8" w:tplc="040E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6F41709E"/>
    <w:multiLevelType w:val="hybridMultilevel"/>
    <w:tmpl w:val="A6B85AB6"/>
    <w:lvl w:ilvl="0" w:tplc="EFFC4698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14" w:hanging="360"/>
      </w:pPr>
    </w:lvl>
    <w:lvl w:ilvl="2" w:tplc="040E001B" w:tentative="1">
      <w:start w:val="1"/>
      <w:numFmt w:val="lowerRoman"/>
      <w:lvlText w:val="%3."/>
      <w:lvlJc w:val="right"/>
      <w:pPr>
        <w:ind w:left="1834" w:hanging="180"/>
      </w:pPr>
    </w:lvl>
    <w:lvl w:ilvl="3" w:tplc="040E000F" w:tentative="1">
      <w:start w:val="1"/>
      <w:numFmt w:val="decimal"/>
      <w:lvlText w:val="%4."/>
      <w:lvlJc w:val="left"/>
      <w:pPr>
        <w:ind w:left="2554" w:hanging="360"/>
      </w:pPr>
    </w:lvl>
    <w:lvl w:ilvl="4" w:tplc="040E0019" w:tentative="1">
      <w:start w:val="1"/>
      <w:numFmt w:val="lowerLetter"/>
      <w:lvlText w:val="%5."/>
      <w:lvlJc w:val="left"/>
      <w:pPr>
        <w:ind w:left="3274" w:hanging="360"/>
      </w:pPr>
    </w:lvl>
    <w:lvl w:ilvl="5" w:tplc="040E001B" w:tentative="1">
      <w:start w:val="1"/>
      <w:numFmt w:val="lowerRoman"/>
      <w:lvlText w:val="%6."/>
      <w:lvlJc w:val="right"/>
      <w:pPr>
        <w:ind w:left="3994" w:hanging="180"/>
      </w:pPr>
    </w:lvl>
    <w:lvl w:ilvl="6" w:tplc="040E000F" w:tentative="1">
      <w:start w:val="1"/>
      <w:numFmt w:val="decimal"/>
      <w:lvlText w:val="%7."/>
      <w:lvlJc w:val="left"/>
      <w:pPr>
        <w:ind w:left="4714" w:hanging="360"/>
      </w:pPr>
    </w:lvl>
    <w:lvl w:ilvl="7" w:tplc="040E0019" w:tentative="1">
      <w:start w:val="1"/>
      <w:numFmt w:val="lowerLetter"/>
      <w:lvlText w:val="%8."/>
      <w:lvlJc w:val="left"/>
      <w:pPr>
        <w:ind w:left="5434" w:hanging="360"/>
      </w:pPr>
    </w:lvl>
    <w:lvl w:ilvl="8" w:tplc="040E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0C"/>
    <w:rsid w:val="00023D14"/>
    <w:rsid w:val="001D5495"/>
    <w:rsid w:val="002E720C"/>
    <w:rsid w:val="003C6DC7"/>
    <w:rsid w:val="003E50B0"/>
    <w:rsid w:val="004868DD"/>
    <w:rsid w:val="00591E96"/>
    <w:rsid w:val="00603EE6"/>
    <w:rsid w:val="00684E72"/>
    <w:rsid w:val="006B4A4D"/>
    <w:rsid w:val="006B679D"/>
    <w:rsid w:val="007112D0"/>
    <w:rsid w:val="007F7FDC"/>
    <w:rsid w:val="00812DA7"/>
    <w:rsid w:val="008402C9"/>
    <w:rsid w:val="008C0C3F"/>
    <w:rsid w:val="00904EE3"/>
    <w:rsid w:val="00970A65"/>
    <w:rsid w:val="009A287E"/>
    <w:rsid w:val="009E5889"/>
    <w:rsid w:val="00AB764A"/>
    <w:rsid w:val="00BC4BAB"/>
    <w:rsid w:val="00CF138C"/>
    <w:rsid w:val="00D60971"/>
    <w:rsid w:val="00E041C6"/>
    <w:rsid w:val="00E50B56"/>
    <w:rsid w:val="00E61E47"/>
    <w:rsid w:val="00F45C1B"/>
    <w:rsid w:val="00F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9CB9"/>
  <w15:docId w15:val="{6F82ABE9-C7FC-4208-A982-850C0841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E7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720C"/>
    <w:pPr>
      <w:ind w:left="720"/>
      <w:contextualSpacing/>
    </w:pPr>
  </w:style>
  <w:style w:type="paragraph" w:customStyle="1" w:styleId="ListParagraph1">
    <w:name w:val="List Paragraph1"/>
    <w:basedOn w:val="Norml"/>
    <w:uiPriority w:val="99"/>
    <w:rsid w:val="002E720C"/>
    <w:pPr>
      <w:ind w:left="720"/>
    </w:pPr>
    <w:rPr>
      <w:rFonts w:eastAsia="Calibri"/>
    </w:rPr>
  </w:style>
  <w:style w:type="character" w:styleId="Hiperhivatkozs">
    <w:name w:val="Hyperlink"/>
    <w:basedOn w:val="Bekezdsalapbettpusa"/>
    <w:uiPriority w:val="99"/>
    <w:semiHidden/>
    <w:unhideWhenUsed/>
    <w:rsid w:val="0048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bo.mariann@uni-eszterhazy.hu" TargetMode="External"/><Relationship Id="rId5" Type="http://schemas.openxmlformats.org/officeDocument/2006/relationships/hyperlink" Target="https://europa.eu/european-union/index_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675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EKF</dc:creator>
  <cp:keywords/>
  <dc:description/>
  <cp:lastModifiedBy>dobo.mariann</cp:lastModifiedBy>
  <cp:revision>18</cp:revision>
  <dcterms:created xsi:type="dcterms:W3CDTF">2020-09-08T20:39:00Z</dcterms:created>
  <dcterms:modified xsi:type="dcterms:W3CDTF">2023-09-06T12:37:00Z</dcterms:modified>
</cp:coreProperties>
</file>