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EPT Order-Level Summary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37"/>
        <w:gridCol w:w="1927"/>
        <w:gridCol w:w="1707"/>
        <w:gridCol w:w="1707"/>
        <w:gridCol w:w="1707"/>
      </w:tblGrid>
      <w:tr>
        <w:trPr>
          <w:trHeight w:val="775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Dataset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Ephemeroptera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Observations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Plecoptera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Observations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Trichoptera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Observations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EPT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Observations</w:t>
            </w:r>
          </w:p>
        </w:tc>
      </w:tr>
      <w:tr>
        <w:trPr>
          <w:trHeight w:val="60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Raw Global EPT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217,432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89,297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297,707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604,436</w:t>
            </w:r>
          </w:p>
        </w:tc>
      </w:tr>
      <w:tr>
        <w:trPr>
          <w:trHeight w:val="60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Raw ETF 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74,365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32,438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90,780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197,583</w:t>
            </w:r>
          </w:p>
        </w:tc>
      </w:tr>
      <w:tr>
        <w:trPr>
          <w:trHeight w:val="60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Clean ETF 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29,776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38,394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81,784</w:t>
            </w:r>
          </w:p>
        </w:tc>
      </w:tr>
      <w:tr>
        <w:trPr>
          <w:trHeight w:val="600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Final ETF EPT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28,478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13,130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36,650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78,258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2026-10-06T06:46:14Z</dcterms:modified>
  <cp:category/>
</cp:coreProperties>
</file>