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4291" w14:textId="04422DDC" w:rsidR="00230CF1" w:rsidRPr="00230CF1" w:rsidRDefault="00230CF1" w:rsidP="00230CF1">
      <w:pPr>
        <w:rPr>
          <w:rFonts w:asciiTheme="majorHAnsi" w:eastAsiaTheme="majorHAnsi" w:hAnsiTheme="majorHAnsi" w:hint="eastAsia"/>
          <w:sz w:val="20"/>
          <w:szCs w:val="20"/>
        </w:rPr>
      </w:pPr>
      <w:r w:rsidRPr="00230CF1">
        <w:rPr>
          <w:rFonts w:asciiTheme="majorHAnsi" w:eastAsiaTheme="majorHAnsi" w:hAnsiTheme="majorHAnsi"/>
          <w:sz w:val="20"/>
          <w:szCs w:val="20"/>
        </w:rPr>
        <w:t>NLP</w:t>
      </w:r>
      <w:r w:rsidRPr="00230CF1">
        <w:rPr>
          <w:rFonts w:asciiTheme="majorHAnsi" w:eastAsiaTheme="majorHAnsi" w:hAnsiTheme="majorHAnsi" w:hint="eastAsia"/>
          <w:sz w:val="20"/>
          <w:szCs w:val="20"/>
        </w:rPr>
        <w:t xml:space="preserve"> 1주차 과제 예시 | </w:t>
      </w:r>
      <w:r w:rsidRPr="00230CF1">
        <w:rPr>
          <w:rFonts w:asciiTheme="majorHAnsi" w:eastAsiaTheme="majorHAnsi" w:hAnsiTheme="majorHAnsi"/>
          <w:sz w:val="20"/>
          <w:szCs w:val="20"/>
        </w:rPr>
        <w:t>21</w:t>
      </w:r>
      <w:r w:rsidRPr="00230CF1">
        <w:rPr>
          <w:rFonts w:asciiTheme="majorHAnsi" w:eastAsiaTheme="majorHAnsi" w:hAnsiTheme="majorHAnsi" w:hint="eastAsia"/>
          <w:sz w:val="20"/>
          <w:szCs w:val="20"/>
        </w:rPr>
        <w:t>기 강준석</w:t>
      </w:r>
    </w:p>
    <w:p w14:paraId="2A359DF4" w14:textId="30C8088F" w:rsidR="00230CF1" w:rsidRPr="00230CF1" w:rsidRDefault="00230CF1" w:rsidP="00230CF1">
      <w:pPr>
        <w:rPr>
          <w:rFonts w:asciiTheme="majorHAnsi" w:eastAsiaTheme="majorHAnsi" w:hAnsiTheme="majorHAnsi"/>
          <w:b/>
          <w:bCs/>
          <w:sz w:val="20"/>
          <w:szCs w:val="20"/>
        </w:rPr>
      </w:pPr>
      <w:r w:rsidRPr="00230CF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논문: </w:t>
      </w:r>
      <w:r w:rsidRPr="00230CF1">
        <w:rPr>
          <w:rFonts w:asciiTheme="majorHAnsi" w:eastAsiaTheme="majorHAnsi" w:hAnsiTheme="majorHAnsi"/>
          <w:b/>
          <w:bCs/>
          <w:sz w:val="20"/>
          <w:szCs w:val="20"/>
        </w:rPr>
        <w:br/>
      </w:r>
      <w:proofErr w:type="spellStart"/>
      <w:r w:rsidRPr="00230CF1">
        <w:rPr>
          <w:rFonts w:asciiTheme="majorHAnsi" w:eastAsiaTheme="majorHAnsi" w:hAnsiTheme="majorHAnsi"/>
          <w:b/>
          <w:bCs/>
          <w:sz w:val="20"/>
          <w:szCs w:val="20"/>
        </w:rPr>
        <w:t>SimCSE</w:t>
      </w:r>
      <w:proofErr w:type="spellEnd"/>
      <w:r w:rsidRPr="00230CF1">
        <w:rPr>
          <w:rFonts w:asciiTheme="majorHAnsi" w:eastAsiaTheme="majorHAnsi" w:hAnsiTheme="majorHAnsi"/>
          <w:b/>
          <w:bCs/>
          <w:sz w:val="20"/>
          <w:szCs w:val="20"/>
        </w:rPr>
        <w:t>: Simple Contrastive Learning of Sentence Embeddings (Gao et al., EMNLP 2021)</w:t>
      </w:r>
    </w:p>
    <w:p w14:paraId="28B9E1F1" w14:textId="6377C6D3" w:rsidR="00230CF1" w:rsidRPr="00230CF1" w:rsidRDefault="00230CF1" w:rsidP="00230CF1">
      <w:pPr>
        <w:rPr>
          <w:rFonts w:asciiTheme="majorHAnsi" w:eastAsiaTheme="majorHAnsi" w:hAnsiTheme="majorHAnsi" w:hint="eastAsia"/>
          <w:sz w:val="20"/>
          <w:szCs w:val="20"/>
        </w:rPr>
      </w:pPr>
      <w:r w:rsidRPr="00230CF1">
        <w:rPr>
          <w:rFonts w:asciiTheme="majorHAnsi" w:eastAsiaTheme="majorHAnsi" w:hAnsiTheme="majorHAnsi"/>
          <w:b/>
          <w:bCs/>
          <w:sz w:val="20"/>
          <w:szCs w:val="20"/>
        </w:rPr>
        <w:t>Main contributions</w:t>
      </w:r>
      <w:r w:rsidRPr="00230CF1">
        <w:rPr>
          <w:rFonts w:asciiTheme="majorHAnsi" w:eastAsiaTheme="majorHAnsi" w:hAnsiTheme="majorHAnsi" w:hint="eastAsia"/>
          <w:b/>
          <w:bCs/>
          <w:sz w:val="20"/>
          <w:szCs w:val="20"/>
        </w:rPr>
        <w:t>:</w:t>
      </w:r>
      <w:r w:rsidRPr="00230CF1">
        <w:rPr>
          <w:rFonts w:asciiTheme="majorHAnsi" w:eastAsiaTheme="majorHAnsi" w:hAnsiTheme="majorHAnsi"/>
          <w:b/>
          <w:bCs/>
          <w:sz w:val="20"/>
          <w:szCs w:val="20"/>
        </w:rPr>
        <w:br/>
      </w:r>
      <w:proofErr w:type="spellStart"/>
      <w:r w:rsidRPr="00230CF1">
        <w:rPr>
          <w:rFonts w:asciiTheme="majorHAnsi" w:eastAsiaTheme="majorHAnsi" w:hAnsiTheme="majorHAnsi"/>
          <w:sz w:val="20"/>
          <w:szCs w:val="20"/>
        </w:rPr>
        <w:t>SimCSE</w:t>
      </w:r>
      <w:proofErr w:type="spellEnd"/>
      <w:r w:rsidRPr="00230CF1">
        <w:rPr>
          <w:rFonts w:asciiTheme="majorHAnsi" w:eastAsiaTheme="majorHAnsi" w:hAnsiTheme="majorHAnsi"/>
          <w:sz w:val="20"/>
          <w:szCs w:val="20"/>
        </w:rPr>
        <w:t xml:space="preserve">는 문장 </w:t>
      </w:r>
      <w:proofErr w:type="spellStart"/>
      <w:r w:rsidRPr="00230CF1">
        <w:rPr>
          <w:rFonts w:asciiTheme="majorHAnsi" w:eastAsiaTheme="majorHAnsi" w:hAnsiTheme="majorHAnsi"/>
          <w:sz w:val="20"/>
          <w:szCs w:val="20"/>
        </w:rPr>
        <w:t>임베딩을</w:t>
      </w:r>
      <w:proofErr w:type="spellEnd"/>
      <w:r w:rsidRPr="00230CF1">
        <w:rPr>
          <w:rFonts w:asciiTheme="majorHAnsi" w:eastAsiaTheme="majorHAnsi" w:hAnsiTheme="majorHAnsi"/>
          <w:sz w:val="20"/>
          <w:szCs w:val="20"/>
        </w:rPr>
        <w:t xml:space="preserve"> 대조학습(contrastive learning)</w:t>
      </w:r>
      <w:proofErr w:type="spellStart"/>
      <w:r w:rsidRPr="00230CF1">
        <w:rPr>
          <w:rFonts w:asciiTheme="majorHAnsi" w:eastAsiaTheme="majorHAnsi" w:hAnsiTheme="majorHAnsi"/>
          <w:sz w:val="20"/>
          <w:szCs w:val="20"/>
        </w:rPr>
        <w:t>으로</w:t>
      </w:r>
      <w:proofErr w:type="spellEnd"/>
      <w:r w:rsidRPr="00230CF1">
        <w:rPr>
          <w:rFonts w:asciiTheme="majorHAnsi" w:eastAsiaTheme="majorHAnsi" w:hAnsiTheme="majorHAnsi"/>
          <w:sz w:val="20"/>
          <w:szCs w:val="20"/>
        </w:rPr>
        <w:t xml:space="preserve"> 학습하는 프레임워크다. 비지도 방식은 동일 문장을 서로 다른 dropout 마스크로 두 번 인코딩해 얻은 두 표현을 positive pair로 사용하고, 지도 방식은 NLI 데이터의 entailment 쌍을 positive로, contradiction 쌍을 hard negative로 활용한다. 별도의 데이터 증강 없이 dropout</w:t>
      </w:r>
      <w:proofErr w:type="spellStart"/>
      <w:r w:rsidRPr="00230CF1">
        <w:rPr>
          <w:rFonts w:asciiTheme="majorHAnsi" w:eastAsiaTheme="majorHAnsi" w:hAnsiTheme="majorHAnsi"/>
          <w:sz w:val="20"/>
          <w:szCs w:val="20"/>
        </w:rPr>
        <w:t>에</w:t>
      </w:r>
      <w:proofErr w:type="spellEnd"/>
      <w:r w:rsidRPr="00230CF1">
        <w:rPr>
          <w:rFonts w:asciiTheme="majorHAnsi" w:eastAsiaTheme="majorHAnsi" w:hAnsiTheme="majorHAnsi"/>
          <w:sz w:val="20"/>
          <w:szCs w:val="20"/>
        </w:rPr>
        <w:t xml:space="preserve"> 의한 최소 교란만으로 STS 벤치마크에서 당시 </w:t>
      </w:r>
      <w:proofErr w:type="spellStart"/>
      <w:r w:rsidRPr="00230CF1">
        <w:rPr>
          <w:rFonts w:asciiTheme="majorHAnsi" w:eastAsiaTheme="majorHAnsi" w:hAnsiTheme="majorHAnsi"/>
          <w:sz w:val="20"/>
          <w:szCs w:val="20"/>
        </w:rPr>
        <w:t>sota를</w:t>
      </w:r>
      <w:proofErr w:type="spellEnd"/>
      <w:r w:rsidRPr="00230CF1">
        <w:rPr>
          <w:rFonts w:asciiTheme="majorHAnsi" w:eastAsiaTheme="majorHAnsi" w:hAnsiTheme="majorHAnsi"/>
          <w:sz w:val="20"/>
          <w:szCs w:val="20"/>
        </w:rPr>
        <w:t xml:space="preserve"> 달성했다.</w:t>
      </w:r>
    </w:p>
    <w:p w14:paraId="5212C559" w14:textId="722D914E" w:rsidR="00230CF1" w:rsidRPr="00230CF1" w:rsidRDefault="00230CF1" w:rsidP="00230CF1">
      <w:pPr>
        <w:rPr>
          <w:sz w:val="20"/>
          <w:szCs w:val="20"/>
        </w:rPr>
      </w:pPr>
      <w:r w:rsidRPr="00230CF1">
        <w:rPr>
          <w:rFonts w:asciiTheme="majorHAnsi" w:eastAsiaTheme="majorHAnsi" w:hAnsiTheme="majorHAnsi"/>
          <w:b/>
          <w:bCs/>
          <w:sz w:val="20"/>
          <w:szCs w:val="20"/>
        </w:rPr>
        <w:t>Strengths &amp; weaknesses</w:t>
      </w:r>
      <w:r w:rsidRPr="00230CF1">
        <w:rPr>
          <w:rFonts w:asciiTheme="majorHAnsi" w:eastAsiaTheme="majorHAnsi" w:hAnsiTheme="majorHAnsi" w:hint="eastAsia"/>
          <w:b/>
          <w:bCs/>
          <w:sz w:val="20"/>
          <w:szCs w:val="20"/>
        </w:rPr>
        <w:t>:</w:t>
      </w:r>
      <w:r w:rsidRPr="00230CF1">
        <w:rPr>
          <w:rFonts w:asciiTheme="majorHAnsi" w:eastAsiaTheme="majorHAnsi" w:hAnsiTheme="majorHAnsi"/>
          <w:sz w:val="20"/>
          <w:szCs w:val="20"/>
        </w:rPr>
        <w:br/>
      </w:r>
      <w:r w:rsidRPr="00230CF1">
        <w:rPr>
          <w:rFonts w:asciiTheme="majorHAnsi" w:eastAsiaTheme="majorHAnsi" w:hAnsiTheme="majorHAnsi"/>
          <w:sz w:val="20"/>
          <w:szCs w:val="20"/>
        </w:rPr>
        <w:t xml:space="preserve">dropout이 증강 역할을 한다는 경험적 관찰을 트릭 수준에서 멈추지 않고 그 작동 원리까지 규명하였다. </w:t>
      </w:r>
      <w:r w:rsidRPr="00230CF1">
        <w:rPr>
          <w:sz w:val="20"/>
          <w:szCs w:val="20"/>
        </w:rPr>
        <w:t xml:space="preserve">저자들은 학습 과정에서 alignment와 uniformity가 어떻게 변하는지 추적해, </w:t>
      </w:r>
      <w:r w:rsidR="00AC0A01" w:rsidRPr="00AC0A01">
        <w:rPr>
          <w:sz w:val="20"/>
          <w:szCs w:val="20"/>
        </w:rPr>
        <w:t>비지도 설정에서 dropout이 만드는 노이즈가 alignment</w:t>
      </w:r>
      <w:proofErr w:type="spellStart"/>
      <w:r w:rsidR="00AC0A01" w:rsidRPr="00AC0A01">
        <w:rPr>
          <w:sz w:val="20"/>
          <w:szCs w:val="20"/>
        </w:rPr>
        <w:t>를</w:t>
      </w:r>
      <w:proofErr w:type="spellEnd"/>
      <w:r w:rsidR="00AC0A01" w:rsidRPr="00AC0A01">
        <w:rPr>
          <w:sz w:val="20"/>
          <w:szCs w:val="20"/>
        </w:rPr>
        <w:t xml:space="preserve"> 지탱하며 uniformity</w:t>
      </w:r>
      <w:proofErr w:type="spellStart"/>
      <w:r w:rsidR="00AC0A01" w:rsidRPr="00AC0A01">
        <w:rPr>
          <w:sz w:val="20"/>
          <w:szCs w:val="20"/>
        </w:rPr>
        <w:t>를</w:t>
      </w:r>
      <w:proofErr w:type="spellEnd"/>
      <w:r w:rsidR="00AC0A01" w:rsidRPr="00AC0A01">
        <w:rPr>
          <w:sz w:val="20"/>
          <w:szCs w:val="20"/>
        </w:rPr>
        <w:t xml:space="preserve"> 개선함을 보인다</w:t>
      </w:r>
      <w:r w:rsidRPr="00230CF1">
        <w:rPr>
          <w:sz w:val="20"/>
          <w:szCs w:val="20"/>
        </w:rPr>
        <w:t>. 다만 평가의 중심이 STS</w:t>
      </w:r>
      <w:proofErr w:type="spellStart"/>
      <w:r w:rsidRPr="00230CF1">
        <w:rPr>
          <w:sz w:val="20"/>
          <w:szCs w:val="20"/>
        </w:rPr>
        <w:t>에</w:t>
      </w:r>
      <w:proofErr w:type="spellEnd"/>
      <w:r w:rsidRPr="00230CF1">
        <w:rPr>
          <w:sz w:val="20"/>
          <w:szCs w:val="20"/>
        </w:rPr>
        <w:t xml:space="preserve"> 지나치게 놓여있다. 논문은 7개 전이(transfer) 태스크도 평가하지만 이를 부록에 두고 STS</w:t>
      </w:r>
      <w:proofErr w:type="spellStart"/>
      <w:r w:rsidRPr="00230CF1">
        <w:rPr>
          <w:sz w:val="20"/>
          <w:szCs w:val="20"/>
        </w:rPr>
        <w:t>를</w:t>
      </w:r>
      <w:proofErr w:type="spellEnd"/>
      <w:r w:rsidRPr="00230CF1">
        <w:rPr>
          <w:sz w:val="20"/>
          <w:szCs w:val="20"/>
        </w:rPr>
        <w:t xml:space="preserve"> 핵심 기준으로 삼는데, 정작 전이 결과에서는 STS나 uniformity의 개선이 </w:t>
      </w:r>
      <w:proofErr w:type="spellStart"/>
      <w:r w:rsidRPr="00230CF1">
        <w:rPr>
          <w:sz w:val="20"/>
          <w:szCs w:val="20"/>
        </w:rPr>
        <w:t>다운스트림</w:t>
      </w:r>
      <w:proofErr w:type="spellEnd"/>
      <w:r w:rsidRPr="00230CF1">
        <w:rPr>
          <w:sz w:val="20"/>
          <w:szCs w:val="20"/>
        </w:rPr>
        <w:t xml:space="preserve"> 성능으로 일관되게 이어지지 않</w:t>
      </w:r>
      <w:r w:rsidRPr="00230CF1">
        <w:rPr>
          <w:rFonts w:hint="eastAsia"/>
          <w:sz w:val="20"/>
          <w:szCs w:val="20"/>
        </w:rPr>
        <w:t>는다.</w:t>
      </w:r>
    </w:p>
    <w:p w14:paraId="08EECA55" w14:textId="33F4F16F" w:rsidR="00230CF1" w:rsidRPr="00230CF1" w:rsidRDefault="00230CF1" w:rsidP="00230CF1">
      <w:pPr>
        <w:rPr>
          <w:rFonts w:asciiTheme="majorHAnsi" w:eastAsiaTheme="majorHAnsi" w:hAnsiTheme="majorHAnsi"/>
          <w:sz w:val="20"/>
          <w:szCs w:val="20"/>
        </w:rPr>
      </w:pPr>
      <w:r w:rsidRPr="00230CF1">
        <w:rPr>
          <w:rFonts w:asciiTheme="majorHAnsi" w:eastAsiaTheme="majorHAnsi" w:hAnsiTheme="majorHAnsi"/>
          <w:b/>
          <w:bCs/>
          <w:sz w:val="20"/>
          <w:szCs w:val="20"/>
        </w:rPr>
        <w:t>Questions / discussion items</w:t>
      </w:r>
      <w:r w:rsidRPr="00230CF1">
        <w:rPr>
          <w:rFonts w:asciiTheme="majorHAnsi" w:eastAsiaTheme="majorHAnsi" w:hAnsiTheme="majorHAnsi" w:hint="eastAsia"/>
          <w:b/>
          <w:bCs/>
          <w:sz w:val="20"/>
          <w:szCs w:val="20"/>
        </w:rPr>
        <w:t>:</w:t>
      </w:r>
      <w:r w:rsidRPr="00230CF1">
        <w:rPr>
          <w:rFonts w:asciiTheme="majorHAnsi" w:eastAsiaTheme="majorHAnsi" w:hAnsiTheme="majorHAnsi"/>
          <w:sz w:val="20"/>
          <w:szCs w:val="20"/>
        </w:rPr>
        <w:br/>
      </w:r>
      <w:r w:rsidR="00AC0A01" w:rsidRPr="00AC0A01">
        <w:rPr>
          <w:rFonts w:asciiTheme="majorHAnsi" w:eastAsiaTheme="majorHAnsi" w:hAnsiTheme="majorHAnsi"/>
          <w:sz w:val="20"/>
          <w:szCs w:val="20"/>
        </w:rPr>
        <w:t xml:space="preserve">dropout 비율은 기본값(0.1) 부근이 최적이고 인접 값에서는 소폭, </w:t>
      </w:r>
      <w:proofErr w:type="spellStart"/>
      <w:r w:rsidR="00AC0A01" w:rsidRPr="00AC0A01">
        <w:rPr>
          <w:rFonts w:asciiTheme="majorHAnsi" w:eastAsiaTheme="majorHAnsi" w:hAnsiTheme="majorHAnsi"/>
          <w:sz w:val="20"/>
          <w:szCs w:val="20"/>
        </w:rPr>
        <w:t>극단값에서</w:t>
      </w:r>
      <w:proofErr w:type="spellEnd"/>
      <w:r w:rsidR="00AC0A01" w:rsidRPr="00AC0A01">
        <w:rPr>
          <w:rFonts w:asciiTheme="majorHAnsi" w:eastAsiaTheme="majorHAnsi" w:hAnsiTheme="majorHAnsi"/>
          <w:sz w:val="20"/>
          <w:szCs w:val="20"/>
        </w:rPr>
        <w:t xml:space="preserve"> 크게 저하되는데, 이 지점이 최적인 이유에 대한 설명</w:t>
      </w:r>
      <w:r w:rsidR="00AC0A01">
        <w:rPr>
          <w:rFonts w:asciiTheme="majorHAnsi" w:eastAsiaTheme="majorHAnsi" w:hAnsiTheme="majorHAnsi" w:hint="eastAsia"/>
          <w:sz w:val="20"/>
          <w:szCs w:val="20"/>
        </w:rPr>
        <w:t>이</w:t>
      </w:r>
      <w:r w:rsidR="00AC0A01" w:rsidRPr="00AC0A01">
        <w:rPr>
          <w:rFonts w:asciiTheme="majorHAnsi" w:eastAsiaTheme="majorHAnsi" w:hAnsiTheme="majorHAnsi"/>
          <w:sz w:val="20"/>
          <w:szCs w:val="20"/>
        </w:rPr>
        <w:t xml:space="preserve"> 부족하다.</w:t>
      </w:r>
    </w:p>
    <w:sectPr w:rsidR="00230CF1" w:rsidRPr="00230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F1"/>
    <w:rsid w:val="00230CF1"/>
    <w:rsid w:val="00644C7B"/>
    <w:rsid w:val="00AC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51984"/>
  <w15:chartTrackingRefBased/>
  <w15:docId w15:val="{83AE2E98-12BC-7D49-A9FC-A8E594839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C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C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C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C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C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C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C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C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C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C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C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C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C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C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C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C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C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C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C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C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0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강준석[ 학부재학 / 통계학과 ]</dc:creator>
  <cp:keywords/>
  <dc:description/>
  <cp:lastModifiedBy>강준석[ 학부재학 / 통계학과 ]</cp:lastModifiedBy>
  <cp:revision>1</cp:revision>
  <dcterms:created xsi:type="dcterms:W3CDTF">2026-07-11T14:07:00Z</dcterms:created>
  <dcterms:modified xsi:type="dcterms:W3CDTF">2026-07-11T14:22:00Z</dcterms:modified>
</cp:coreProperties>
</file>