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to use the nitrogen flow model</w:t>
      </w:r>
    </w:p>
    <w:p>
      <w:pPr/>
      <w:r>
        <w:t>Yuto Osugi | Updated 22 October 2026</w:t>
      </w:r>
    </w:p>
    <w:p>
      <w:pPr/>
      <w:r>
        <w:t>This guide describes how to run the agricultural nitrogen-flow model and the linked riverine nitrogen-load calculations used in the GMD study. The model uses processed inputs from AIM-Hub, AIM-PLUM, GEOS-Chem and VISIT, and calculates riverine nitrogen loads with VISIToRN.</w:t>
      </w:r>
    </w:p>
    <w:p>
      <w:pPr>
        <w:pStyle w:val="Heading1"/>
      </w:pPr>
      <w:r>
        <w:t>1 Study settings</w:t>
      </w:r>
    </w:p>
    <w:p>
      <w:pPr/>
      <w:r>
        <w:t>The GMD study uses the following two scenarios.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5040"/>
        <w:gridCol w:w="3053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8EEF4"/>
          </w:tcPr>
          <w:p>
            <w:pPr>
              <w:keepNext/>
              <w:spacing w:after="80" w:before="60"/>
            </w:pPr>
            <w:r>
              <w:rPr>
                <w:b/>
                <w:sz w:val="19"/>
              </w:rPr>
              <w:t>Study scenario</w:t>
            </w:r>
          </w:p>
        </w:tc>
        <w:tc>
          <w:tcPr>
            <w:tcW w:type="dxa" w:w="504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8EEF4"/>
          </w:tcPr>
          <w:p>
            <w:pPr>
              <w:keepNext/>
              <w:spacing w:after="80" w:before="60"/>
            </w:pPr>
            <w:r>
              <w:rPr>
                <w:b/>
                <w:sz w:val="19"/>
              </w:rPr>
              <w:t>Input scenario identifier</w:t>
            </w:r>
          </w:p>
        </w:tc>
        <w:tc>
          <w:tcPr>
            <w:tcW w:type="dxa" w:w="30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8EEF4"/>
          </w:tcPr>
          <w:p>
            <w:pPr>
              <w:keepNext/>
              <w:spacing w:after="80" w:before="60"/>
            </w:pPr>
            <w:r>
              <w:rPr>
                <w:b/>
                <w:sz w:val="19"/>
              </w:rPr>
              <w:t>Main analysis years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Baseline or BaU</w:t>
            </w:r>
          </w:p>
        </w:tc>
        <w:tc>
          <w:tcPr>
            <w:tcW w:type="dxa" w:w="504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SSP2_BaU_NoCC</w:t>
            </w:r>
            <w:r>
              <w:rPr>
                <w:sz w:val="19"/>
              </w:rPr>
            </w:r>
          </w:p>
        </w:tc>
        <w:tc>
          <w:tcPr>
            <w:tcW w:type="dxa" w:w="30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2010, 2030, 2050, 2100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500C</w:t>
            </w:r>
          </w:p>
        </w:tc>
        <w:tc>
          <w:tcPr>
            <w:tcW w:type="dxa" w:w="504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SSP2_500C_CACN_NoCC</w:t>
            </w:r>
            <w:r>
              <w:rPr>
                <w:sz w:val="19"/>
              </w:rPr>
            </w:r>
          </w:p>
        </w:tc>
        <w:tc>
          <w:tcPr>
            <w:tcW w:type="dxa" w:w="30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2030, 2050, 2100</w:t>
            </w:r>
          </w:p>
        </w:tc>
      </w:tr>
    </w:tbl>
    <w:p>
      <w:pPr>
        <w:spacing w:after="0"/>
      </w:pPr>
    </w:p>
    <w:p>
      <w:pPr/>
      <w:r>
        <w:t>Both scenarios share Baseline 2010 as the reference. Baseline 2020 is also calculated for the ammonia-emission comparison.</w:t>
      </w:r>
    </w:p>
    <w:p>
      <w:pPr>
        <w:pStyle w:val="Heading1"/>
      </w:pPr>
      <w:r>
        <w:t>2 Required software</w:t>
      </w:r>
    </w:p>
    <w:p>
      <w:pPr>
        <w:keepNext/>
      </w:pPr>
      <w:r>
        <w:t xml:space="preserve">Install R, GAMS with a compatible </w:t>
      </w:r>
      <w:r>
        <w:rPr>
          <w:rFonts w:ascii="Consolas" w:hAnsi="Consolas"/>
          <w:sz w:val="18"/>
        </w:rPr>
        <w:t>gdxrrw</w:t>
      </w:r>
      <w:r>
        <w:t xml:space="preserve"> R interface, and a C++ compiler compatible with R. On Windows, use the corresponding Rtools version. Install the following R packages: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>install.packages(c(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 xml:space="preserve">  "dplyr", "tidyr", "tibble", "purrr", "readr", "stringr",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 xml:space="preserve">  "ggplot2", "scales", "patchwork", "cowplot", "ggrepel",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 xml:space="preserve">  "forcats", "ncdf4", "terra", "sf", "rnaturalearth",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 xml:space="preserve">  "rnaturalearthdata", "Amelia", "maps", "inline",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 xml:space="preserve">  "Rcpp", "RcppArmadillo"</w:t>
      </w:r>
    </w:p>
    <w:p>
      <w:pPr>
        <w:keepNext w:val="0"/>
        <w:spacing w:after="140" w:line="240" w:lineRule="auto"/>
      </w:pPr>
      <w:r>
        <w:rPr>
          <w:rFonts w:ascii="Consolas" w:hAnsi="Consolas"/>
          <w:sz w:val="17"/>
        </w:rPr>
        <w:t>))</w:t>
      </w:r>
    </w:p>
    <w:p>
      <w:pPr/>
      <w:r>
        <w:t xml:space="preserve">Install </w:t>
      </w:r>
      <w:r>
        <w:rPr>
          <w:rFonts w:ascii="Consolas" w:hAnsi="Consolas"/>
          <w:sz w:val="18"/>
        </w:rPr>
        <w:t>gdxrrw</w:t>
      </w:r>
      <w:r>
        <w:t xml:space="preserve"> separately for the GAMS installation in use. Set </w:t>
      </w:r>
      <w:r>
        <w:rPr>
          <w:rFonts w:ascii="Consolas" w:hAnsi="Consolas"/>
          <w:sz w:val="18"/>
        </w:rPr>
        <w:t>GAMS_DIR</w:t>
      </w:r>
      <w:r>
        <w:t xml:space="preserve"> in the shell commands below. Also set </w:t>
      </w:r>
      <w:r>
        <w:rPr>
          <w:rFonts w:ascii="Consolas" w:hAnsi="Consolas"/>
          <w:sz w:val="18"/>
        </w:rPr>
        <w:t>gams_dir</w:t>
      </w:r>
      <w:r>
        <w:t xml:space="preserve"> near the beginning of </w:t>
      </w:r>
      <w:r>
        <w:rPr>
          <w:rFonts w:ascii="Consolas" w:hAnsi="Consolas"/>
          <w:sz w:val="18"/>
        </w:rPr>
        <w:t>NflowModel/R/VISIToRN_input.r</w:t>
      </w:r>
      <w:r>
        <w:t xml:space="preserve"> to the same installation path; that script contains a separate path setting.</w:t>
      </w:r>
    </w:p>
    <w:p>
      <w:pPr>
        <w:pStyle w:val="Heading1"/>
      </w:pPr>
      <w:r>
        <w:t>3 Input data</w:t>
      </w:r>
    </w:p>
    <w:p>
      <w:pPr/>
      <w:r>
        <w:t>The repository includes auxiliary inputs, but the following processed files must be obtained separately from the study authors or the relevant data providers.</w:t>
      </w:r>
    </w:p>
    <w:p>
      <w:pPr>
        <w:keepNext/>
      </w:pPr>
      <w:r>
        <w:t xml:space="preserve">Place these four files in </w:t>
      </w:r>
      <w:r>
        <w:rPr>
          <w:rFonts w:ascii="Consolas" w:hAnsi="Consolas"/>
          <w:sz w:val="18"/>
        </w:rPr>
        <w:t>NflowModel/data/</w:t>
      </w:r>
      <w:r>
        <w:t>:</w:t>
      </w:r>
    </w:p>
    <w:p>
      <w:pPr>
        <w:pStyle w:val="ListBullet"/>
      </w:pPr>
      <w:r/>
      <w:r>
        <w:rPr>
          <w:rFonts w:ascii="Consolas" w:hAnsi="Consolas"/>
          <w:sz w:val="18"/>
        </w:rPr>
        <w:t>livdis_SSP2_BaU_NoCC.nc</w:t>
      </w:r>
      <w:r/>
    </w:p>
    <w:p>
      <w:pPr>
        <w:pStyle w:val="ListBullet"/>
      </w:pPr>
      <w:r/>
      <w:r>
        <w:rPr>
          <w:rFonts w:ascii="Consolas" w:hAnsi="Consolas"/>
          <w:sz w:val="18"/>
        </w:rPr>
        <w:t>livdis_SSP2_500C_CACN_NoCC.nc</w:t>
      </w:r>
      <w:r/>
    </w:p>
    <w:p>
      <w:pPr>
        <w:pStyle w:val="ListBullet"/>
      </w:pPr>
      <w:r/>
      <w:r>
        <w:rPr>
          <w:rFonts w:ascii="Consolas" w:hAnsi="Consolas"/>
          <w:sz w:val="18"/>
        </w:rPr>
        <w:t>results_SSP2_BaU_NoCC.gdx</w:t>
      </w:r>
      <w:r/>
    </w:p>
    <w:p>
      <w:pPr>
        <w:pStyle w:val="ListBullet"/>
      </w:pPr>
      <w:r/>
      <w:r>
        <w:rPr>
          <w:rFonts w:ascii="Consolas" w:hAnsi="Consolas"/>
          <w:sz w:val="18"/>
        </w:rPr>
        <w:t>results_SSP2_500C_CACN_NoCC.gdx</w:t>
      </w:r>
      <w:r/>
    </w:p>
    <w:p>
      <w:pPr>
        <w:keepNext/>
      </w:pPr>
      <w:r>
        <w:t xml:space="preserve">Place the same two </w:t>
      </w:r>
      <w:r>
        <w:rPr>
          <w:rFonts w:ascii="Consolas" w:hAnsi="Consolas"/>
          <w:sz w:val="18"/>
        </w:rPr>
        <w:t>results_*.gdx</w:t>
      </w:r>
      <w:r>
        <w:t xml:space="preserve"> files in </w:t>
      </w:r>
      <w:r>
        <w:rPr>
          <w:rFonts w:ascii="Consolas" w:hAnsi="Consolas"/>
          <w:sz w:val="18"/>
        </w:rPr>
        <w:t>VISIToRN/</w:t>
      </w:r>
      <w:r>
        <w:t>, together with:</w:t>
      </w:r>
    </w:p>
    <w:p>
      <w:pPr>
        <w:pStyle w:val="ListBullet"/>
      </w:pPr>
      <w:r/>
      <w:r>
        <w:rPr>
          <w:rFonts w:ascii="Consolas" w:hAnsi="Consolas"/>
          <w:sz w:val="18"/>
        </w:rPr>
        <w:t>visit_20260311_atmosclus_NMIP3_TEST_fNleach_natonly.nc</w:t>
      </w:r>
      <w:r/>
    </w:p>
    <w:p>
      <w:pPr>
        <w:pStyle w:val="ListBullet"/>
      </w:pPr>
      <w:r/>
      <w:r>
        <w:rPr>
          <w:rFonts w:ascii="Consolas" w:hAnsi="Consolas"/>
          <w:sz w:val="18"/>
        </w:rPr>
        <w:t>visit_20260311_atmosclus_NMIP3_TEST_fNleach_agronly.nc</w:t>
      </w:r>
      <w:r/>
    </w:p>
    <w:p>
      <w:pPr>
        <w:keepNext/>
      </w:pPr>
      <w:r>
        <w:t>The other input files are stored as follows: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7445"/>
      </w:tblGrid>
      <w:tr>
        <w:trPr>
          <w:cantSplit/>
          <w:tblHeader/>
        </w:trPr>
        <w:tc>
          <w:tcPr>
            <w:tcW w:type="dxa" w:w="24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8EEF4"/>
          </w:tcPr>
          <w:p>
            <w:pPr>
              <w:keepNext/>
              <w:spacing w:after="80" w:before="60"/>
            </w:pPr>
            <w:r>
              <w:rPr>
                <w:b/>
                <w:sz w:val="19"/>
              </w:rPr>
              <w:t>Input group</w:t>
            </w:r>
          </w:p>
        </w:tc>
        <w:tc>
          <w:tcPr>
            <w:tcW w:type="dxa" w:w="744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8EEF4"/>
          </w:tcPr>
          <w:p>
            <w:pPr>
              <w:keepNext/>
              <w:spacing w:after="80" w:before="60"/>
            </w:pPr>
            <w:r>
              <w:rPr>
                <w:b/>
                <w:sz w:val="19"/>
              </w:rPr>
              <w:t>Location and files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AIM-Hub agricultural activity</w:t>
            </w:r>
          </w:p>
        </w:tc>
        <w:tc>
          <w:tcPr>
            <w:tcW w:type="dxa" w:w="744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NflowModel/data/global_17_IAMC.gdx</w:t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Grid and regional mappings</w:t>
            </w:r>
          </w:p>
        </w:tc>
        <w:tc>
          <w:tcPr>
            <w:tcW w:type="dxa" w:w="744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NflowModel/data/data_prep.gdx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VISIToRN/data_prep.gdx</w:t>
            </w:r>
            <w:r>
              <w:rPr>
                <w:sz w:val="19"/>
              </w:rPr>
              <w:t>, and the supplied mapping files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Livestock body weights</w:t>
            </w:r>
          </w:p>
        </w:tc>
        <w:tc>
          <w:tcPr>
            <w:tcW w:type="dxa" w:w="744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NflowModel/data/BW_map_BaU.csv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sz w:val="17"/>
              </w:rPr>
              <w:t>BW_map_500C.csv</w:t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Atmospheric deposition</w:t>
            </w:r>
          </w:p>
        </w:tc>
        <w:tc>
          <w:tcPr>
            <w:tcW w:type="dxa" w:w="744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0505NDRYMON_*.nc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sz w:val="17"/>
              </w:rPr>
              <w:t>0505NWETMON_*.nc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NflowModel/data/</w:t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Agricultural statistics and soil data</w:t>
            </w:r>
          </w:p>
        </w:tc>
        <w:tc>
          <w:tcPr>
            <w:tcW w:type="dxa" w:w="744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 xml:space="preserve">The supplied FAOSTAT, IFA, FUBC and coefficient tables, </w:t>
            </w:r>
            <w:r>
              <w:rPr>
                <w:rFonts w:ascii="Consolas" w:hAnsi="Consolas"/>
                <w:sz w:val="17"/>
              </w:rPr>
              <w:t>resampled_df.rdat</w:t>
            </w:r>
            <w:r>
              <w:rPr>
                <w:sz w:val="19"/>
              </w:rPr>
              <w:t xml:space="preserve">, and </w:t>
            </w:r>
            <w:r>
              <w:rPr>
                <w:rFonts w:ascii="Consolas" w:hAnsi="Consolas"/>
                <w:sz w:val="17"/>
              </w:rPr>
              <w:t>0505PRECTOT_test.nc4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NflowModel/data/</w:t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Routing and population</w:t>
            </w:r>
          </w:p>
        </w:tc>
        <w:tc>
          <w:tcPr>
            <w:tcW w:type="dxa" w:w="744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 xml:space="preserve">Static arrays and population data in </w:t>
            </w:r>
            <w:r>
              <w:rPr>
                <w:rFonts w:ascii="Consolas" w:hAnsi="Consolas"/>
                <w:sz w:val="17"/>
              </w:rPr>
              <w:t>VISIToRN/Data_pd/</w:t>
            </w:r>
            <w:r>
              <w:rPr>
                <w:sz w:val="19"/>
              </w:rPr>
              <w:t xml:space="preserve">; TRIP and basin files in </w:t>
            </w:r>
            <w:r>
              <w:rPr>
                <w:rFonts w:ascii="Consolas" w:hAnsi="Consolas"/>
                <w:sz w:val="17"/>
              </w:rPr>
              <w:t>VISIToRN/</w:t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>Evaluation data</w:t>
            </w:r>
          </w:p>
        </w:tc>
        <w:tc>
          <w:tcPr>
            <w:tcW w:type="dxa" w:w="744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 w:before="60"/>
            </w:pPr>
            <w:r>
              <w:rPr>
                <w:sz w:val="19"/>
              </w:rPr>
              <w:t xml:space="preserve">CEDS ammonia data in </w:t>
            </w:r>
            <w:r>
              <w:rPr>
                <w:rFonts w:ascii="Consolas" w:hAnsi="Consolas"/>
                <w:sz w:val="17"/>
              </w:rPr>
              <w:t>NflowModel/data/</w:t>
            </w:r>
            <w:r>
              <w:rPr>
                <w:sz w:val="19"/>
              </w:rPr>
              <w:t xml:space="preserve">, EDGAR data in </w:t>
            </w:r>
            <w:r>
              <w:rPr>
                <w:rFonts w:ascii="Consolas" w:hAnsi="Consolas"/>
                <w:sz w:val="17"/>
              </w:rPr>
              <w:t>VISIToRN/Data_pd/</w:t>
            </w:r>
            <w:r>
              <w:rPr>
                <w:sz w:val="19"/>
              </w:rPr>
              <w:t xml:space="preserve">, and river observations in </w:t>
            </w:r>
            <w:r>
              <w:rPr>
                <w:rFonts w:ascii="Consolas" w:hAnsi="Consolas"/>
                <w:sz w:val="17"/>
              </w:rPr>
              <w:t>VISIToRN/</w:t>
            </w:r>
            <w:r>
              <w:rPr>
                <w:sz w:val="19"/>
              </w:rPr>
            </w:r>
          </w:p>
        </w:tc>
      </w:tr>
    </w:tbl>
    <w:p>
      <w:pPr>
        <w:spacing w:after="0"/>
      </w:pPr>
    </w:p>
    <w:p>
      <w:pPr/>
      <w:r>
        <w:t xml:space="preserve">For deposition, the filename suffixes are </w:t>
      </w:r>
      <w:r>
        <w:rPr>
          <w:rFonts w:ascii="Consolas" w:hAnsi="Consolas"/>
          <w:sz w:val="18"/>
        </w:rPr>
        <w:t>Base2010</w:t>
      </w:r>
      <w:r>
        <w:t xml:space="preserve">, </w:t>
      </w:r>
      <w:r>
        <w:rPr>
          <w:rFonts w:ascii="Consolas" w:hAnsi="Consolas"/>
          <w:sz w:val="18"/>
        </w:rPr>
        <w:t>Base2020</w:t>
      </w:r>
      <w:r>
        <w:t xml:space="preserve">, </w:t>
      </w:r>
      <w:r>
        <w:rPr>
          <w:rFonts w:ascii="Consolas" w:hAnsi="Consolas"/>
          <w:sz w:val="18"/>
        </w:rPr>
        <w:t>Base2030</w:t>
      </w:r>
      <w:r>
        <w:t xml:space="preserve">, </w:t>
      </w:r>
      <w:r>
        <w:rPr>
          <w:rFonts w:ascii="Consolas" w:hAnsi="Consolas"/>
          <w:sz w:val="18"/>
        </w:rPr>
        <w:t>Base2050</w:t>
      </w:r>
      <w:r>
        <w:t xml:space="preserve">, </w:t>
      </w:r>
      <w:r>
        <w:rPr>
          <w:rFonts w:ascii="Consolas" w:hAnsi="Consolas"/>
          <w:sz w:val="18"/>
        </w:rPr>
        <w:t>Base2100</w:t>
      </w:r>
      <w:r>
        <w:t xml:space="preserve">, </w:t>
      </w:r>
      <w:r>
        <w:rPr>
          <w:rFonts w:ascii="Consolas" w:hAnsi="Consolas"/>
          <w:sz w:val="18"/>
        </w:rPr>
        <w:t>500C2030</w:t>
      </w:r>
      <w:r>
        <w:t xml:space="preserve">, </w:t>
      </w:r>
      <w:r>
        <w:rPr>
          <w:rFonts w:ascii="Consolas" w:hAnsi="Consolas"/>
          <w:sz w:val="18"/>
        </w:rPr>
        <w:t>500C2050</w:t>
      </w:r>
      <w:r>
        <w:t xml:space="preserve"> and </w:t>
      </w:r>
      <w:r>
        <w:rPr>
          <w:rFonts w:ascii="Consolas" w:hAnsi="Consolas"/>
          <w:sz w:val="18"/>
        </w:rPr>
        <w:t>500C2100</w:t>
      </w:r>
      <w:r>
        <w:t>. Each requires both a dry and a wet deposition file.</w:t>
      </w:r>
    </w:p>
    <w:p>
      <w:pPr>
        <w:pStyle w:val="Heading1"/>
      </w:pPr>
      <w:r>
        <w:t>4 Run the model</w:t>
      </w:r>
    </w:p>
    <w:p>
      <w:pPr>
        <w:keepNext/>
      </w:pPr>
      <w:r>
        <w:t xml:space="preserve">The shell script </w:t>
      </w:r>
      <w:r>
        <w:rPr>
          <w:rFonts w:ascii="Consolas" w:hAnsi="Consolas"/>
          <w:sz w:val="18"/>
        </w:rPr>
        <w:t>run_gmd.sh</w:t>
      </w:r>
      <w:r>
        <w:t xml:space="preserve"> runs the agricultural calculations, river routing, plotting and factor decomposition. Replace the repository and GAMS paths below, then execute these commands in Bash: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>#!/usr/bin/env bash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>set -euo pipefail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>cd /path/to/NflowModel_Int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>export GAMS_DIR=/path/to/gams</w:t>
      </w:r>
    </w:p>
    <w:p>
      <w:pPr>
        <w:keepNext/>
        <w:spacing w:after="0" w:line="240" w:lineRule="auto"/>
      </w:pPr>
      <w:r>
        <w:rPr>
          <w:rFonts w:ascii="Consolas" w:hAnsi="Consolas"/>
          <w:sz w:val="17"/>
        </w:rPr>
        <w:t>unset VISITORN_CASES VISITORN_ARRAY_ONLY VISITORN_ARRAY_OUTPUT_DIR</w:t>
      </w:r>
    </w:p>
    <w:p>
      <w:pPr>
        <w:keepNext w:val="0"/>
        <w:spacing w:after="140" w:line="240" w:lineRule="auto"/>
      </w:pPr>
      <w:r>
        <w:rPr>
          <w:rFonts w:ascii="Consolas" w:hAnsi="Consolas"/>
          <w:sz w:val="17"/>
        </w:rPr>
        <w:t>bash run_gmd.sh</w:t>
      </w:r>
    </w:p>
    <w:p>
      <w:pPr>
        <w:pStyle w:val="Heading1"/>
      </w:pPr>
      <w:r>
        <w:t>5 Main outputs</w:t>
      </w:r>
    </w:p>
    <w:p>
      <w:pPr>
        <w:keepNext/>
      </w:pPr>
      <w:r>
        <w:t xml:space="preserve">The following tables and figures are saved in </w:t>
      </w:r>
      <w:r>
        <w:rPr>
          <w:rFonts w:ascii="Consolas" w:hAnsi="Consolas"/>
          <w:sz w:val="18"/>
        </w:rPr>
        <w:t>NflowModel/output/</w:t>
      </w:r>
      <w:r>
        <w:t>:</w:t>
      </w:r>
    </w:p>
    <w:p>
      <w:pPr>
        <w:pStyle w:val="ListBullet"/>
      </w:pPr>
      <w:r/>
      <w:r>
        <w:rPr>
          <w:rFonts w:ascii="Consolas" w:hAnsi="Consolas"/>
          <w:sz w:val="18"/>
        </w:rPr>
        <w:t>Result.csv</w:t>
      </w:r>
      <w:r>
        <w:t>: global nitrogen inputs and outputs.</w:t>
      </w:r>
    </w:p>
    <w:p>
      <w:pPr>
        <w:pStyle w:val="ListBullet"/>
      </w:pPr>
      <w:r/>
      <w:r>
        <w:rPr>
          <w:rFonts w:ascii="Consolas" w:hAnsi="Consolas"/>
          <w:sz w:val="18"/>
        </w:rPr>
        <w:t>OUTgas_species*.csv</w:t>
      </w:r>
      <w:r>
        <w:t>: gaseous nitrogen emissions by species and region.</w:t>
      </w:r>
    </w:p>
    <w:p>
      <w:pPr>
        <w:pStyle w:val="ListBullet"/>
      </w:pPr>
      <w:r/>
      <w:r>
        <w:rPr>
          <w:rFonts w:ascii="Consolas" w:hAnsi="Consolas"/>
          <w:sz w:val="18"/>
        </w:rPr>
        <w:t>plot1_finalrep.png</w:t>
      </w:r>
      <w:r>
        <w:t>: global nitrogen flows.</w:t>
      </w:r>
    </w:p>
    <w:p>
      <w:pPr>
        <w:pStyle w:val="ListBullet"/>
      </w:pPr>
      <w:r/>
      <w:r>
        <w:rPr>
          <w:rFonts w:ascii="Consolas" w:hAnsi="Consolas"/>
          <w:sz w:val="18"/>
        </w:rPr>
        <w:t>Input_17_stacked_components*.png</w:t>
      </w:r>
      <w:r>
        <w:t xml:space="preserve"> and </w:t>
      </w:r>
      <w:r>
        <w:rPr>
          <w:rFonts w:ascii="Consolas" w:hAnsi="Consolas"/>
          <w:sz w:val="18"/>
        </w:rPr>
        <w:t>Output_17_finalrep*.png</w:t>
      </w:r>
      <w:r>
        <w:t>: regional nitrogen inputs and outputs.</w:t>
      </w:r>
    </w:p>
    <w:p>
      <w:pPr>
        <w:pStyle w:val="ListBullet"/>
      </w:pPr>
      <w:r/>
      <w:r>
        <w:rPr>
          <w:rFonts w:ascii="Consolas" w:hAnsi="Consolas"/>
          <w:sz w:val="18"/>
        </w:rPr>
        <w:t>Input_combined_rev.png</w:t>
      </w:r>
      <w:r>
        <w:t xml:space="preserve"> and </w:t>
      </w:r>
      <w:r>
        <w:rPr>
          <w:rFonts w:ascii="Consolas" w:hAnsi="Consolas"/>
          <w:sz w:val="18"/>
        </w:rPr>
        <w:t>Outgas_combined.png</w:t>
      </w:r>
      <w:r>
        <w:t>: maps of nitrogen inputs and gaseous losses.</w:t>
      </w:r>
    </w:p>
    <w:p>
      <w:pPr>
        <w:pStyle w:val="ListBullet"/>
      </w:pPr>
      <w:r/>
      <w:r>
        <w:rPr>
          <w:rFonts w:ascii="Consolas" w:hAnsi="Consolas"/>
          <w:sz w:val="18"/>
        </w:rPr>
        <w:t>NH3_emiRegion_2010.png</w:t>
      </w:r>
      <w:r>
        <w:t xml:space="preserve"> and </w:t>
      </w:r>
      <w:r>
        <w:rPr>
          <w:rFonts w:ascii="Consolas" w:hAnsi="Consolas"/>
          <w:sz w:val="18"/>
        </w:rPr>
        <w:t>NH3_emiRegion_2020.png</w:t>
      </w:r>
      <w:r>
        <w:t>: regional ammonia-emission comparisons.</w:t>
      </w:r>
    </w:p>
    <w:p>
      <w:pPr>
        <w:keepNext/>
      </w:pPr>
      <w:r>
        <w:t xml:space="preserve">The following results are saved in </w:t>
      </w:r>
      <w:r>
        <w:rPr>
          <w:rFonts w:ascii="Consolas" w:hAnsi="Consolas"/>
          <w:sz w:val="18"/>
        </w:rPr>
        <w:t>VISIToRN/output/</w:t>
      </w:r>
      <w:r>
        <w:t>:</w:t>
      </w:r>
    </w:p>
    <w:p>
      <w:pPr>
        <w:pStyle w:val="ListBullet"/>
      </w:pPr>
      <w:r/>
      <w:r>
        <w:rPr>
          <w:rFonts w:ascii="Consolas" w:hAnsi="Consolas"/>
          <w:sz w:val="18"/>
        </w:rPr>
        <w:t>Obs_compare_NMIP3.png</w:t>
      </w:r>
      <w:r>
        <w:t>: comparison of modelled and observed river nitrogen loads.</w:t>
      </w:r>
    </w:p>
    <w:p>
      <w:pPr>
        <w:pStyle w:val="ListBullet"/>
      </w:pPr>
      <w:r/>
      <w:r>
        <w:rPr>
          <w:rFonts w:ascii="Consolas" w:hAnsi="Consolas"/>
          <w:sz w:val="18"/>
        </w:rPr>
        <w:t>River_Nload_top14_NMIP3.png</w:t>
      </w:r>
      <w:r>
        <w:t>: nitrogen-load trends for major river basins and the global total.</w:t>
      </w:r>
    </w:p>
    <w:p>
      <w:pPr>
        <w:pStyle w:val="ListBullet"/>
      </w:pPr>
      <w:r/>
      <w:r>
        <w:rPr>
          <w:rFonts w:ascii="Consolas" w:hAnsi="Consolas"/>
          <w:sz w:val="18"/>
        </w:rPr>
        <w:t>C_fw_analysis_*_NMIP3.rdat</w:t>
      </w:r>
      <w:r>
        <w:t xml:space="preserve"> and </w:t>
      </w:r>
      <w:r>
        <w:rPr>
          <w:rFonts w:ascii="Consolas" w:hAnsi="Consolas"/>
          <w:sz w:val="18"/>
        </w:rPr>
        <w:t>C_fw_summary_*_NMIP3.csv</w:t>
      </w:r>
      <w:r>
        <w:t>: river nitrogen concentrations and summary statistics.</w:t>
      </w:r>
    </w:p>
    <w:p>
      <w:pPr>
        <w:pStyle w:val="ListBullet"/>
      </w:pPr>
      <w:r/>
      <w:r>
        <w:rPr>
          <w:rFonts w:ascii="Consolas" w:hAnsi="Consolas"/>
          <w:sz w:val="18"/>
        </w:rPr>
        <w:t>LMDI_Nload_decomposition_BaU_top14_absNload2010.png</w:t>
      </w:r>
      <w:r>
        <w:t xml:space="preserve"> and </w:t>
      </w:r>
      <w:r>
        <w:rPr>
          <w:rFonts w:ascii="Consolas" w:hAnsi="Consolas"/>
          <w:sz w:val="18"/>
        </w:rPr>
        <w:t>LMDI_Nload_decomposition_500C_top14_absNload2010.png</w:t>
      </w:r>
      <w:r>
        <w:t>: factor decomposition of river nitrogen-load changes.</w:t>
      </w:r>
    </w:p>
    <w:sectPr w:rsidR="00FC693F" w:rsidRPr="0006063C" w:rsidSect="00034616"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nitrogen flow model</dc:title>
  <dc:subject>Setup, input data, execution and outputs for the GMD study</dc:subject>
  <dc:creator>Yuto Osugi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