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Reproducing the GMD nitrogen flow study</w:t>
      </w:r>
    </w:p>
    <w:p>
      <w:pPr/>
      <w:r>
        <w:t>Yuto Osugi | Updated 22 October 2026</w:t>
      </w:r>
    </w:p>
    <w:p>
      <w:pPr/>
      <w:r>
        <w:t>This guide describes how to run the agricultural nitrogen-flow model and the linked riverine nitrogen-load calculations used in the GMD study. The framework uses socioeconomic and agricultural inputs from AIM-Hub, spatial land-use and livestock inputs from AIM-PLUM, atmospheric deposition from GEOS-Chem, and leaching and hydrological inputs from the existing VISIT vegetation model. VISIToRN routes nitrogen through river networks.</w:t>
      </w:r>
    </w:p>
    <w:p>
      <w:pPr/>
      <w:r>
        <w:t xml:space="preserve">The instructions cover the retained programs in the root </w:t>
      </w:r>
      <w:r>
        <w:rPr>
          <w:rFonts w:ascii="Consolas" w:hAnsi="Consolas"/>
          <w:sz w:val="18"/>
        </w:rPr>
        <w:t>NflowModel/</w:t>
      </w:r>
      <w:r>
        <w:t xml:space="preserve"> and </w:t>
      </w:r>
      <w:r>
        <w:rPr>
          <w:rFonts w:ascii="Consolas" w:hAnsi="Consolas"/>
          <w:sz w:val="18"/>
        </w:rPr>
        <w:t>VISIToRN/</w:t>
      </w:r>
      <w:r>
        <w:t xml:space="preserve"> directories: input preparation, nitrogen-flow calculations, river routing, evaluation against observations, and factor decomposition. They start from processed upstream-model outputs; they do not run AIM-Hub, AIM-PLUM, GEOS-Chem or VISIT. A repository clone alone is not sufficient for a complete rerun because some required inputs are distributed separately.</w:t>
      </w:r>
    </w:p>
    <w:p>
      <w:pPr>
        <w:pStyle w:val="Heading1"/>
      </w:pPr>
      <w:r>
        <w:t>1 Study settings and directory structure</w:t>
      </w:r>
    </w:p>
    <w:p>
      <w:pPr/>
      <w:r>
        <w:t xml:space="preserve">Use the original study inputs for the two scenarios below. Do not substitute a newer policy pathway or add a trailing </w:t>
      </w:r>
      <w:r>
        <w:rPr>
          <w:rFonts w:ascii="Consolas" w:hAnsi="Consolas"/>
          <w:sz w:val="18"/>
        </w:rPr>
        <w:t>_No</w:t>
      </w:r>
      <w:r>
        <w:t xml:space="preserve"> to either scenario name.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5040"/>
        <w:gridCol w:w="3053"/>
      </w:tblGrid>
      <w:tr>
        <w:trPr>
          <w:cantSplit/>
          <w:tblHeader/>
        </w:trPr>
        <w:tc>
          <w:tcPr>
            <w:tcW w:type="dxa" w:w="1800"/>
            <w:vAlign w:val="center"/>
            <w:tcMar>
              <w:top w:w="80" w:type="dxa"/>
              <w:bottom w:w="80" w:type="dxa"/>
              <w:left w:w="100" w:type="dxa"/>
              <w:right w:w="100" w:type="dxa"/>
            </w:tcMar>
            <w:shd w:fill="E8EEF4"/>
          </w:tcPr>
          <w:p>
            <w:pPr>
              <w:spacing w:after="80" w:before="60"/>
            </w:pPr>
            <w:r>
              <w:rPr>
                <w:b/>
                <w:sz w:val="19"/>
              </w:rPr>
              <w:t>Study scenario</w:t>
            </w:r>
          </w:p>
        </w:tc>
        <w:tc>
          <w:tcPr>
            <w:tcW w:type="dxa" w:w="5040"/>
            <w:vAlign w:val="center"/>
            <w:tcMar>
              <w:top w:w="80" w:type="dxa"/>
              <w:bottom w:w="80" w:type="dxa"/>
              <w:left w:w="100" w:type="dxa"/>
              <w:right w:w="100" w:type="dxa"/>
            </w:tcMar>
            <w:shd w:fill="E8EEF4"/>
          </w:tcPr>
          <w:p>
            <w:pPr>
              <w:spacing w:after="80" w:before="60"/>
            </w:pPr>
            <w:r>
              <w:rPr>
                <w:b/>
                <w:sz w:val="19"/>
              </w:rPr>
              <w:t>Input scenario identifier</w:t>
            </w:r>
          </w:p>
        </w:tc>
        <w:tc>
          <w:tcPr>
            <w:tcW w:type="dxa" w:w="3053"/>
            <w:vAlign w:val="center"/>
            <w:tcMar>
              <w:top w:w="80" w:type="dxa"/>
              <w:bottom w:w="80" w:type="dxa"/>
              <w:left w:w="100" w:type="dxa"/>
              <w:right w:w="100" w:type="dxa"/>
            </w:tcMar>
            <w:shd w:fill="E8EEF4"/>
          </w:tcPr>
          <w:p>
            <w:pPr>
              <w:spacing w:after="80" w:before="60"/>
            </w:pPr>
            <w:r>
              <w:rPr>
                <w:b/>
                <w:sz w:val="19"/>
              </w:rPr>
              <w:t>Main analysis years</w:t>
            </w:r>
          </w:p>
        </w:tc>
      </w:tr>
      <w:tr>
        <w:trPr>
          <w:cantSplit/>
        </w:trPr>
        <w:tc>
          <w:tcPr>
            <w:tcW w:type="dxa" w:w="1800"/>
            <w:vAlign w:val="center"/>
            <w:tcMar>
              <w:top w:w="80" w:type="dxa"/>
              <w:bottom w:w="80" w:type="dxa"/>
              <w:left w:w="100" w:type="dxa"/>
              <w:right w:w="100" w:type="dxa"/>
            </w:tcMar>
          </w:tcPr>
          <w:p>
            <w:pPr>
              <w:spacing w:after="80" w:before="60"/>
            </w:pPr>
            <w:r>
              <w:rPr>
                <w:sz w:val="19"/>
              </w:rPr>
              <w:t>Baseline or BaU</w:t>
            </w:r>
          </w:p>
        </w:tc>
        <w:tc>
          <w:tcPr>
            <w:tcW w:type="dxa" w:w="5040"/>
            <w:vAlign w:val="center"/>
            <w:tcMar>
              <w:top w:w="80" w:type="dxa"/>
              <w:bottom w:w="80" w:type="dxa"/>
              <w:left w:w="100" w:type="dxa"/>
              <w:right w:w="100" w:type="dxa"/>
            </w:tcMar>
          </w:tcPr>
          <w:p>
            <w:pPr>
              <w:spacing w:after="80" w:before="60"/>
            </w:pPr>
            <w:r>
              <w:rPr>
                <w:sz w:val="19"/>
              </w:rPr>
            </w:r>
            <w:r>
              <w:rPr>
                <w:rFonts w:ascii="Consolas" w:hAnsi="Consolas"/>
                <w:sz w:val="17"/>
              </w:rPr>
              <w:t>SSP2_BaU_NoCC</w:t>
            </w:r>
            <w:r>
              <w:rPr>
                <w:sz w:val="19"/>
              </w:rPr>
            </w:r>
          </w:p>
        </w:tc>
        <w:tc>
          <w:tcPr>
            <w:tcW w:type="dxa" w:w="3053"/>
            <w:vAlign w:val="center"/>
            <w:tcMar>
              <w:top w:w="80" w:type="dxa"/>
              <w:bottom w:w="80" w:type="dxa"/>
              <w:left w:w="100" w:type="dxa"/>
              <w:right w:w="100" w:type="dxa"/>
            </w:tcMar>
          </w:tcPr>
          <w:p>
            <w:pPr>
              <w:spacing w:after="80" w:before="60"/>
            </w:pPr>
            <w:r>
              <w:rPr>
                <w:sz w:val="19"/>
              </w:rPr>
              <w:t>2010, 2030, 2050, 2100</w:t>
            </w:r>
          </w:p>
        </w:tc>
      </w:tr>
      <w:tr>
        <w:trPr>
          <w:cantSplit/>
        </w:trPr>
        <w:tc>
          <w:tcPr>
            <w:tcW w:type="dxa" w:w="1800"/>
            <w:vAlign w:val="center"/>
            <w:tcMar>
              <w:top w:w="80" w:type="dxa"/>
              <w:bottom w:w="80" w:type="dxa"/>
              <w:left w:w="100" w:type="dxa"/>
              <w:right w:w="100" w:type="dxa"/>
            </w:tcMar>
          </w:tcPr>
          <w:p>
            <w:pPr>
              <w:spacing w:after="80" w:before="60"/>
            </w:pPr>
            <w:r>
              <w:rPr>
                <w:sz w:val="19"/>
              </w:rPr>
              <w:t>500C</w:t>
            </w:r>
          </w:p>
        </w:tc>
        <w:tc>
          <w:tcPr>
            <w:tcW w:type="dxa" w:w="5040"/>
            <w:vAlign w:val="center"/>
            <w:tcMar>
              <w:top w:w="80" w:type="dxa"/>
              <w:bottom w:w="80" w:type="dxa"/>
              <w:left w:w="100" w:type="dxa"/>
              <w:right w:w="100" w:type="dxa"/>
            </w:tcMar>
          </w:tcPr>
          <w:p>
            <w:pPr>
              <w:spacing w:after="80" w:before="60"/>
            </w:pPr>
            <w:r>
              <w:rPr>
                <w:sz w:val="19"/>
              </w:rPr>
            </w:r>
            <w:r>
              <w:rPr>
                <w:rFonts w:ascii="Consolas" w:hAnsi="Consolas"/>
                <w:sz w:val="17"/>
              </w:rPr>
              <w:t>SSP2_500C_CACN_NoCC</w:t>
            </w:r>
            <w:r>
              <w:rPr>
                <w:sz w:val="19"/>
              </w:rPr>
            </w:r>
          </w:p>
        </w:tc>
        <w:tc>
          <w:tcPr>
            <w:tcW w:type="dxa" w:w="3053"/>
            <w:vAlign w:val="center"/>
            <w:tcMar>
              <w:top w:w="80" w:type="dxa"/>
              <w:bottom w:w="80" w:type="dxa"/>
              <w:left w:w="100" w:type="dxa"/>
              <w:right w:w="100" w:type="dxa"/>
            </w:tcMar>
          </w:tcPr>
          <w:p>
            <w:pPr>
              <w:spacing w:after="80" w:before="60"/>
            </w:pPr>
            <w:r>
              <w:rPr>
                <w:sz w:val="19"/>
              </w:rPr>
              <w:t>2030, 2050, 2100</w:t>
            </w:r>
          </w:p>
        </w:tc>
      </w:tr>
    </w:tbl>
    <w:p>
      <w:pPr>
        <w:spacing w:after="0"/>
      </w:pPr>
    </w:p>
    <w:p>
      <w:pPr/>
      <w:r>
        <w:t>Both scenarios share Baseline 2010 as the reference. The agricultural driver also calculates Baseline 2020 for the ammonia-emission comparison; this year is not part of the seven-case main result table. Supply 2020 inputs as well.</w:t>
      </w:r>
    </w:p>
    <w:p>
      <w:pPr>
        <w:pStyle w:val="ListBullet"/>
      </w:pPr>
      <w:r/>
      <w:r>
        <w:rPr>
          <w:rFonts w:ascii="Consolas" w:hAnsi="Consolas"/>
          <w:sz w:val="18"/>
        </w:rPr>
        <w:t>NflowModel/R/</w:t>
      </w:r>
      <w:r>
        <w:t>: agricultural nitrogen calculations, figures, river-input preparation and decomposition scripts.</w:t>
      </w:r>
    </w:p>
    <w:p>
      <w:pPr>
        <w:pStyle w:val="ListBullet"/>
      </w:pPr>
      <w:r/>
      <w:r>
        <w:rPr>
          <w:rFonts w:ascii="Consolas" w:hAnsi="Consolas"/>
          <w:sz w:val="18"/>
        </w:rPr>
        <w:t>NflowModel/data/</w:t>
      </w:r>
      <w:r>
        <w:t>: agricultural inputs and some generated tables.</w:t>
      </w:r>
    </w:p>
    <w:p>
      <w:pPr>
        <w:pStyle w:val="ListBullet"/>
      </w:pPr>
      <w:r/>
      <w:r>
        <w:rPr>
          <w:rFonts w:ascii="Consolas" w:hAnsi="Consolas"/>
          <w:sz w:val="18"/>
        </w:rPr>
        <w:t>NflowModel/output/</w:t>
      </w:r>
      <w:r>
        <w:t>: agricultural result tables, figures and diagnostics.</w:t>
      </w:r>
    </w:p>
    <w:p>
      <w:pPr>
        <w:pStyle w:val="ListBullet"/>
      </w:pPr>
      <w:r/>
      <w:r>
        <w:rPr>
          <w:rFonts w:ascii="Consolas" w:hAnsi="Consolas"/>
          <w:sz w:val="18"/>
        </w:rPr>
        <w:t>VISIToRN/</w:t>
      </w:r>
      <w:r>
        <w:t>: river-routing programs, basin definitions, observations and external VISIT/PLUM files.</w:t>
      </w:r>
    </w:p>
    <w:p>
      <w:pPr>
        <w:pStyle w:val="ListBullet"/>
      </w:pPr>
      <w:r/>
      <w:r>
        <w:rPr>
          <w:rFonts w:ascii="Consolas" w:hAnsi="Consolas"/>
          <w:sz w:val="18"/>
        </w:rPr>
        <w:t>VISIToRN/Data_pd/</w:t>
      </w:r>
      <w:r>
        <w:t>: routing inputs, generated arrays and decomposition tables.</w:t>
      </w:r>
    </w:p>
    <w:p>
      <w:pPr>
        <w:pStyle w:val="ListBullet"/>
      </w:pPr>
      <w:r/>
      <w:r>
        <w:rPr>
          <w:rFonts w:ascii="Consolas" w:hAnsi="Consolas"/>
          <w:sz w:val="18"/>
        </w:rPr>
        <w:t>VISIToRN/output/</w:t>
      </w:r>
      <w:r>
        <w:t>: river-load figures and concentration results.</w:t>
      </w:r>
    </w:p>
    <w:p>
      <w:pPr/>
      <w:r>
        <w:t xml:space="preserve">Use a dedicated working copy. Several scripts overwrite generated files in </w:t>
      </w:r>
      <w:r>
        <w:rPr>
          <w:rFonts w:ascii="Consolas" w:hAnsi="Consolas"/>
          <w:sz w:val="18"/>
        </w:rPr>
        <w:t>data/</w:t>
      </w:r>
      <w:r>
        <w:t xml:space="preserve"> and </w:t>
      </w:r>
      <w:r>
        <w:rPr>
          <w:rFonts w:ascii="Consolas" w:hAnsi="Consolas"/>
          <w:sz w:val="18"/>
        </w:rPr>
        <w:t>Data_pd/</w:t>
      </w:r>
      <w:r>
        <w:t>, including files already tracked in the repository. Keep an untouched copy of the study data and record the Git commit used.</w:t>
      </w:r>
    </w:p>
    <w:p>
      <w:pPr>
        <w:pStyle w:val="Heading1"/>
      </w:pPr>
      <w:r>
        <w:t>2 Required software</w:t>
      </w:r>
    </w:p>
    <w:p>
      <w:pPr/>
      <w:r>
        <w:t xml:space="preserve">Install R, GAMS with a compatible </w:t>
      </w:r>
      <w:r>
        <w:rPr>
          <w:rFonts w:ascii="Consolas" w:hAnsi="Consolas"/>
          <w:sz w:val="18"/>
        </w:rPr>
        <w:t>gdxrrw</w:t>
      </w:r>
      <w:r>
        <w:t xml:space="preserve"> R interface, and a C++ compiler compatible with R. VISIToRN compiles its routing function through </w:t>
      </w:r>
      <w:r>
        <w:rPr>
          <w:rFonts w:ascii="Consolas" w:hAnsi="Consolas"/>
          <w:sz w:val="18"/>
        </w:rPr>
        <w:t>inline</w:t>
      </w:r>
      <w:r>
        <w:t xml:space="preserve"> and </w:t>
      </w:r>
      <w:r>
        <w:rPr>
          <w:rFonts w:ascii="Consolas" w:hAnsi="Consolas"/>
          <w:sz w:val="18"/>
        </w:rPr>
        <w:t>RcppArmadillo</w:t>
      </w:r>
      <w:r>
        <w:t>. On Windows, use the R-compatible Rtools toolchain. On Linux, the spatial and NetCDF R packages may also require system development libraries. The GMD calculation does not require Python.</w:t>
      </w:r>
    </w:p>
    <w:p>
      <w:pPr>
        <w:keepNext/>
      </w:pPr>
      <w:r>
        <w:t>The scripts use these R packages:</w:t>
      </w:r>
    </w:p>
    <w:p>
      <w:pPr>
        <w:keepNext/>
        <w:spacing w:after="0" w:line="240" w:lineRule="auto"/>
      </w:pPr>
      <w:r>
        <w:rPr>
          <w:rFonts w:ascii="Consolas" w:hAnsi="Consolas"/>
          <w:sz w:val="17"/>
        </w:rPr>
        <w:t>install.packages(c(</w:t>
      </w:r>
    </w:p>
    <w:p>
      <w:pPr>
        <w:keepNext/>
        <w:spacing w:after="0" w:line="240" w:lineRule="auto"/>
      </w:pPr>
      <w:r>
        <w:rPr>
          <w:rFonts w:ascii="Consolas" w:hAnsi="Consolas"/>
          <w:sz w:val="17"/>
        </w:rPr>
        <w:t xml:space="preserve">  "dplyr", "tidyr", "tibble", "purrr", "readr", "stringr",</w:t>
      </w:r>
    </w:p>
    <w:p>
      <w:pPr>
        <w:keepNext/>
        <w:spacing w:after="0" w:line="240" w:lineRule="auto"/>
      </w:pPr>
      <w:r>
        <w:rPr>
          <w:rFonts w:ascii="Consolas" w:hAnsi="Consolas"/>
          <w:sz w:val="17"/>
        </w:rPr>
        <w:t xml:space="preserve">  "ggplot2", "scales", "patchwork", "cowplot", "ggrepel",</w:t>
      </w:r>
    </w:p>
    <w:p>
      <w:pPr>
        <w:keepNext/>
        <w:spacing w:after="0" w:line="240" w:lineRule="auto"/>
      </w:pPr>
      <w:r>
        <w:rPr>
          <w:rFonts w:ascii="Consolas" w:hAnsi="Consolas"/>
          <w:sz w:val="17"/>
        </w:rPr>
        <w:t xml:space="preserve">  "forcats", "ncdf4", "terra", "sf", "rnaturalearth",</w:t>
      </w:r>
    </w:p>
    <w:p>
      <w:pPr>
        <w:keepNext/>
        <w:spacing w:after="0" w:line="240" w:lineRule="auto"/>
      </w:pPr>
      <w:r>
        <w:rPr>
          <w:rFonts w:ascii="Consolas" w:hAnsi="Consolas"/>
          <w:sz w:val="17"/>
        </w:rPr>
        <w:t xml:space="preserve">  "rnaturalearthdata", "Amelia", "maps", "inline",</w:t>
      </w:r>
    </w:p>
    <w:p>
      <w:pPr>
        <w:keepNext/>
        <w:spacing w:after="0" w:line="240" w:lineRule="auto"/>
      </w:pPr>
      <w:r>
        <w:rPr>
          <w:rFonts w:ascii="Consolas" w:hAnsi="Consolas"/>
          <w:sz w:val="17"/>
        </w:rPr>
        <w:t xml:space="preserve">  "Rcpp", "RcppArmadillo"</w:t>
      </w:r>
    </w:p>
    <w:p>
      <w:pPr>
        <w:keepNext w:val="0"/>
        <w:spacing w:after="140" w:line="240" w:lineRule="auto"/>
      </w:pPr>
      <w:r>
        <w:rPr>
          <w:rFonts w:ascii="Consolas" w:hAnsi="Consolas"/>
          <w:sz w:val="17"/>
        </w:rPr>
        <w:t>))</w:t>
      </w:r>
    </w:p>
    <w:p>
      <w:pPr/>
      <w:r>
        <w:t xml:space="preserve">Install </w:t>
      </w:r>
      <w:r>
        <w:rPr>
          <w:rFonts w:ascii="Consolas" w:hAnsi="Consolas"/>
          <w:sz w:val="18"/>
        </w:rPr>
        <w:t>gdxrrw</w:t>
      </w:r>
      <w:r>
        <w:t xml:space="preserve"> separately for the GAMS installation in use. The optional MCMC diagnostic script also requires </w:t>
      </w:r>
      <w:r>
        <w:rPr>
          <w:rFonts w:ascii="Consolas" w:hAnsi="Consolas"/>
          <w:sz w:val="18"/>
        </w:rPr>
        <w:t>coda</w:t>
      </w:r>
      <w:r>
        <w:t xml:space="preserve"> and Cairo graphics support. Record R and package versions with </w:t>
      </w:r>
      <w:r>
        <w:rPr>
          <w:rFonts w:ascii="Consolas" w:hAnsi="Consolas"/>
          <w:sz w:val="18"/>
        </w:rPr>
        <w:t>sessionInfo()</w:t>
      </w:r>
      <w:r>
        <w:t>; no complete locked software environment for the original study is supplied.</w:t>
      </w:r>
    </w:p>
    <w:p>
      <w:pPr>
        <w:keepNext/>
      </w:pPr>
      <w:r>
        <w:t>Set the GAMS path before launching R:</w:t>
      </w:r>
    </w:p>
    <w:p>
      <w:pPr>
        <w:keepNext/>
        <w:spacing w:after="0" w:line="240" w:lineRule="auto"/>
      </w:pPr>
      <w:r>
        <w:rPr>
          <w:rFonts w:ascii="Consolas" w:hAnsi="Consolas"/>
          <w:sz w:val="17"/>
        </w:rPr>
        <w:t>export GAMS_DIR=/path/to/gams</w:t>
      </w:r>
    </w:p>
    <w:p>
      <w:pPr>
        <w:keepNext w:val="0"/>
        <w:spacing w:after="140" w:line="240" w:lineRule="auto"/>
      </w:pPr>
      <w:r>
        <w:rPr>
          <w:rFonts w:ascii="Consolas" w:hAnsi="Consolas"/>
          <w:sz w:val="17"/>
        </w:rPr>
        <w:t>Rscript -e 'gdxrrw::igdx(Sys.getenv("GAMS_DIR"))'</w:t>
      </w:r>
    </w:p>
    <w:p>
      <w:pPr/>
      <w:r/>
      <w:r>
        <w:rPr>
          <w:b/>
        </w:rPr>
        <w:t>Check the second GAMS path setting too.</w:t>
      </w:r>
      <w:r>
        <w:t xml:space="preserve"> The retained </w:t>
      </w:r>
      <w:r>
        <w:rPr>
          <w:rFonts w:ascii="Consolas" w:hAnsi="Consolas"/>
          <w:sz w:val="18"/>
        </w:rPr>
        <w:t>NflowModel/R/VISIToRN_input.r</w:t>
      </w:r>
      <w:r>
        <w:t xml:space="preserve"> sets its own </w:t>
      </w:r>
      <w:r>
        <w:rPr>
          <w:rFonts w:ascii="Consolas" w:hAnsi="Consolas"/>
          <w:sz w:val="18"/>
        </w:rPr>
        <w:t>gams_dir</w:t>
      </w:r>
      <w:r>
        <w:t xml:space="preserve"> near the beginning: </w:t>
      </w:r>
      <w:r>
        <w:rPr>
          <w:rFonts w:ascii="Consolas" w:hAnsi="Consolas"/>
          <w:sz w:val="18"/>
        </w:rPr>
        <w:t>C:/GAMS/53</w:t>
      </w:r>
      <w:r>
        <w:t xml:space="preserve"> on Windows, or </w:t>
      </w:r>
      <w:r>
        <w:rPr>
          <w:rFonts w:ascii="Consolas" w:hAnsi="Consolas"/>
          <w:sz w:val="18"/>
        </w:rPr>
        <w:t>~/gams39.3_linux_x64_64_sfx</w:t>
      </w:r>
      <w:r>
        <w:t xml:space="preserve"> on Linux. If necessary, change only this installation path in the working copy. Setting </w:t>
      </w:r>
      <w:r>
        <w:rPr>
          <w:rFonts w:ascii="Consolas" w:hAnsi="Consolas"/>
          <w:sz w:val="18"/>
        </w:rPr>
        <w:t>GAMS_DIR</w:t>
      </w:r>
      <w:r>
        <w:t xml:space="preserve"> alone does not override that setting.</w:t>
      </w:r>
    </w:p>
    <w:p>
      <w:pPr/>
      <w:r>
        <w:t>Use a compute-node allocation for global calculations on an HPC system. The routing arrays require substantial memory; no full-run runtime or memory benchmark is provided here. Use a short, ASCII-only working path if R or GAMS has trouble with spaces or non-ASCII characters.</w:t>
      </w:r>
    </w:p>
    <w:p>
      <w:pPr>
        <w:pStyle w:val="Heading1"/>
      </w:pPr>
      <w:r>
        <w:t>3 Assemble the study inputs</w:t>
      </w:r>
    </w:p>
    <w:p>
      <w:pPr/>
      <w:r>
        <w:t>Retain the supplied auxiliary files in their original locations. The following processed files are external requirements, not files generated by the launcher.</w:t>
      </w:r>
    </w:p>
    <w:p>
      <w:pPr>
        <w:keepNext/>
      </w:pPr>
      <w:r>
        <w:t xml:space="preserve">Place these four files in </w:t>
      </w:r>
      <w:r>
        <w:rPr>
          <w:rFonts w:ascii="Consolas" w:hAnsi="Consolas"/>
          <w:sz w:val="18"/>
        </w:rPr>
        <w:t>NflowModel/data/</w:t>
      </w:r>
      <w:r>
        <w:t>:</w:t>
      </w:r>
    </w:p>
    <w:p>
      <w:pPr>
        <w:pStyle w:val="ListBullet"/>
      </w:pPr>
      <w:r/>
      <w:r>
        <w:rPr>
          <w:rFonts w:ascii="Consolas" w:hAnsi="Consolas"/>
          <w:sz w:val="18"/>
        </w:rPr>
        <w:t>livdis_SSP2_BaU_NoCC.nc</w:t>
      </w:r>
      <w:r/>
    </w:p>
    <w:p>
      <w:pPr>
        <w:pStyle w:val="ListBullet"/>
      </w:pPr>
      <w:r/>
      <w:r>
        <w:rPr>
          <w:rFonts w:ascii="Consolas" w:hAnsi="Consolas"/>
          <w:sz w:val="18"/>
        </w:rPr>
        <w:t>livdis_SSP2_500C_CACN_NoCC.nc</w:t>
      </w:r>
      <w:r/>
    </w:p>
    <w:p>
      <w:pPr>
        <w:pStyle w:val="ListBullet"/>
      </w:pPr>
      <w:r/>
      <w:r>
        <w:rPr>
          <w:rFonts w:ascii="Consolas" w:hAnsi="Consolas"/>
          <w:sz w:val="18"/>
        </w:rPr>
        <w:t>results_SSP2_BaU_NoCC.gdx</w:t>
      </w:r>
      <w:r/>
    </w:p>
    <w:p>
      <w:pPr>
        <w:pStyle w:val="ListBullet"/>
      </w:pPr>
      <w:r/>
      <w:r>
        <w:rPr>
          <w:rFonts w:ascii="Consolas" w:hAnsi="Consolas"/>
          <w:sz w:val="18"/>
        </w:rPr>
        <w:t>results_SSP2_500C_CACN_NoCC.gdx</w:t>
      </w:r>
      <w:r/>
    </w:p>
    <w:p>
      <w:pPr>
        <w:keepNext/>
      </w:pPr>
      <w:r>
        <w:t xml:space="preserve">Place the same two </w:t>
      </w:r>
      <w:r>
        <w:rPr>
          <w:rFonts w:ascii="Consolas" w:hAnsi="Consolas"/>
          <w:sz w:val="18"/>
        </w:rPr>
        <w:t>results_*.gdx</w:t>
      </w:r>
      <w:r>
        <w:t xml:space="preserve"> files in </w:t>
      </w:r>
      <w:r>
        <w:rPr>
          <w:rFonts w:ascii="Consolas" w:hAnsi="Consolas"/>
          <w:sz w:val="18"/>
        </w:rPr>
        <w:t>VISIToRN/</w:t>
      </w:r>
      <w:r>
        <w:t>, together with:</w:t>
      </w:r>
    </w:p>
    <w:p>
      <w:pPr>
        <w:pStyle w:val="ListBullet"/>
      </w:pPr>
      <w:r/>
      <w:r>
        <w:rPr>
          <w:rFonts w:ascii="Consolas" w:hAnsi="Consolas"/>
          <w:sz w:val="18"/>
        </w:rPr>
        <w:t>visit_20260311_atmosclus_NMIP3_TEST_fNleach_natonly.nc</w:t>
      </w:r>
      <w:r/>
    </w:p>
    <w:p>
      <w:pPr>
        <w:pStyle w:val="ListBullet"/>
      </w:pPr>
      <w:r/>
      <w:r>
        <w:rPr>
          <w:rFonts w:ascii="Consolas" w:hAnsi="Consolas"/>
          <w:sz w:val="18"/>
        </w:rPr>
        <w:t>visit_20260311_atmosclus_NMIP3_TEST_fNleach_agronly.nc</w:t>
      </w:r>
      <w:r/>
    </w:p>
    <w:p>
      <w:pPr/>
      <w:r>
        <w:t>Obtain the exact processed study files from the study authors or the relevant data providers, subject to their access and redistribution conditions. Public source datasets alone are not a substitute for the model-specific GDX, NetCDF and R-array products. No automatic download procedure for these external files is provided.</w:t>
      </w:r>
    </w:p>
    <w:p>
      <w:pPr>
        <w:keepNext/>
      </w:pPr>
      <w:r>
        <w:t>The supplied inputs serve the following roles: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445"/>
      </w:tblGrid>
      <w:tr>
        <w:trPr>
          <w:cantSplit/>
          <w:tblHeader/>
        </w:trPr>
        <w:tc>
          <w:tcPr>
            <w:tcW w:type="dxa" w:w="2448"/>
            <w:vAlign w:val="center"/>
            <w:tcMar>
              <w:top w:w="80" w:type="dxa"/>
              <w:bottom w:w="80" w:type="dxa"/>
              <w:left w:w="100" w:type="dxa"/>
              <w:right w:w="100" w:type="dxa"/>
            </w:tcMar>
            <w:shd w:fill="E8EEF4"/>
          </w:tcPr>
          <w:p>
            <w:pPr>
              <w:spacing w:after="80" w:before="60"/>
            </w:pPr>
            <w:r>
              <w:rPr>
                <w:b/>
                <w:sz w:val="19"/>
              </w:rPr>
              <w:t>Input group</w:t>
            </w:r>
          </w:p>
        </w:tc>
        <w:tc>
          <w:tcPr>
            <w:tcW w:type="dxa" w:w="7445"/>
            <w:vAlign w:val="center"/>
            <w:tcMar>
              <w:top w:w="80" w:type="dxa"/>
              <w:bottom w:w="80" w:type="dxa"/>
              <w:left w:w="100" w:type="dxa"/>
              <w:right w:w="100" w:type="dxa"/>
            </w:tcMar>
            <w:shd w:fill="E8EEF4"/>
          </w:tcPr>
          <w:p>
            <w:pPr>
              <w:spacing w:after="80" w:before="60"/>
            </w:pPr>
            <w:r>
              <w:rPr>
                <w:b/>
                <w:sz w:val="19"/>
              </w:rPr>
              <w:t>Location and files</w:t>
            </w:r>
          </w:p>
        </w:tc>
      </w:tr>
      <w:tr>
        <w:trPr>
          <w:cantSplit/>
        </w:trPr>
        <w:tc>
          <w:tcPr>
            <w:tcW w:type="dxa" w:w="2448"/>
            <w:vAlign w:val="center"/>
            <w:tcMar>
              <w:top w:w="80" w:type="dxa"/>
              <w:bottom w:w="80" w:type="dxa"/>
              <w:left w:w="100" w:type="dxa"/>
              <w:right w:w="100" w:type="dxa"/>
            </w:tcMar>
          </w:tcPr>
          <w:p>
            <w:pPr>
              <w:spacing w:after="80" w:before="60"/>
            </w:pPr>
            <w:r>
              <w:rPr>
                <w:sz w:val="19"/>
              </w:rPr>
              <w:t>AIM-Hub agricultural activity</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NflowModel/data/global_17_IAMC.gdx</w:t>
            </w:r>
            <w:r>
              <w:rPr>
                <w:sz w:val="19"/>
              </w:rPr>
              <w:t>, containing the two study scenario records</w:t>
            </w:r>
          </w:p>
        </w:tc>
      </w:tr>
      <w:tr>
        <w:trPr>
          <w:cantSplit/>
        </w:trPr>
        <w:tc>
          <w:tcPr>
            <w:tcW w:type="dxa" w:w="2448"/>
            <w:vAlign w:val="center"/>
            <w:tcMar>
              <w:top w:w="80" w:type="dxa"/>
              <w:bottom w:w="80" w:type="dxa"/>
              <w:left w:w="100" w:type="dxa"/>
              <w:right w:w="100" w:type="dxa"/>
            </w:tcMar>
          </w:tcPr>
          <w:p>
            <w:pPr>
              <w:spacing w:after="80" w:before="60"/>
            </w:pPr>
            <w:r>
              <w:rPr>
                <w:sz w:val="19"/>
              </w:rPr>
              <w:t>Grid and regional mappings</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data_prep.gdx</w:t>
            </w:r>
            <w:r>
              <w:rPr>
                <w:sz w:val="19"/>
              </w:rPr>
              <w:t xml:space="preserve"> in both model directories; the mapping files supplied with each directory</w:t>
            </w:r>
          </w:p>
        </w:tc>
      </w:tr>
      <w:tr>
        <w:trPr>
          <w:cantSplit/>
        </w:trPr>
        <w:tc>
          <w:tcPr>
            <w:tcW w:type="dxa" w:w="2448"/>
            <w:vAlign w:val="center"/>
            <w:tcMar>
              <w:top w:w="80" w:type="dxa"/>
              <w:bottom w:w="80" w:type="dxa"/>
              <w:left w:w="100" w:type="dxa"/>
              <w:right w:w="100" w:type="dxa"/>
            </w:tcMar>
          </w:tcPr>
          <w:p>
            <w:pPr>
              <w:spacing w:after="80" w:before="60"/>
            </w:pPr>
            <w:r>
              <w:rPr>
                <w:sz w:val="19"/>
              </w:rPr>
              <w:t>Livestock body weights</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NflowModel/data/BW_map_BaU.csv</w:t>
            </w:r>
            <w:r>
              <w:rPr>
                <w:sz w:val="19"/>
              </w:rPr>
              <w:t xml:space="preserve"> and </w:t>
            </w:r>
            <w:r>
              <w:rPr>
                <w:rFonts w:ascii="Consolas" w:hAnsi="Consolas"/>
                <w:sz w:val="17"/>
              </w:rPr>
              <w:t>BW_map_500C.csv</w:t>
            </w:r>
            <w:r>
              <w:rPr>
                <w:sz w:val="19"/>
              </w:rPr>
            </w:r>
          </w:p>
        </w:tc>
      </w:tr>
      <w:tr>
        <w:trPr>
          <w:cantSplit/>
        </w:trPr>
        <w:tc>
          <w:tcPr>
            <w:tcW w:type="dxa" w:w="2448"/>
            <w:vAlign w:val="center"/>
            <w:tcMar>
              <w:top w:w="80" w:type="dxa"/>
              <w:bottom w:w="80" w:type="dxa"/>
              <w:left w:w="100" w:type="dxa"/>
              <w:right w:w="100" w:type="dxa"/>
            </w:tcMar>
          </w:tcPr>
          <w:p>
            <w:pPr>
              <w:spacing w:after="80" w:before="60"/>
            </w:pPr>
            <w:r>
              <w:rPr>
                <w:sz w:val="19"/>
              </w:rPr>
              <w:t>Atmospheric deposition</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0505NDRYMON_*.nc</w:t>
            </w:r>
            <w:r>
              <w:rPr>
                <w:sz w:val="19"/>
              </w:rPr>
              <w:t xml:space="preserve"> and </w:t>
            </w:r>
            <w:r>
              <w:rPr>
                <w:rFonts w:ascii="Consolas" w:hAnsi="Consolas"/>
                <w:sz w:val="17"/>
              </w:rPr>
              <w:t>0505NWETMON_*.nc</w:t>
            </w:r>
            <w:r>
              <w:rPr>
                <w:sz w:val="19"/>
              </w:rPr>
              <w:t xml:space="preserve"> in </w:t>
            </w:r>
            <w:r>
              <w:rPr>
                <w:rFonts w:ascii="Consolas" w:hAnsi="Consolas"/>
                <w:sz w:val="17"/>
              </w:rPr>
              <w:t>NflowModel/data/</w:t>
            </w:r>
            <w:r>
              <w:rPr>
                <w:sz w:val="19"/>
              </w:rPr>
            </w:r>
          </w:p>
        </w:tc>
      </w:tr>
      <w:tr>
        <w:trPr>
          <w:cantSplit/>
        </w:trPr>
        <w:tc>
          <w:tcPr>
            <w:tcW w:type="dxa" w:w="2448"/>
            <w:vAlign w:val="center"/>
            <w:tcMar>
              <w:top w:w="80" w:type="dxa"/>
              <w:bottom w:w="80" w:type="dxa"/>
              <w:left w:w="100" w:type="dxa"/>
              <w:right w:w="100" w:type="dxa"/>
            </w:tcMar>
          </w:tcPr>
          <w:p>
            <w:pPr>
              <w:spacing w:after="80" w:before="60"/>
            </w:pPr>
            <w:r>
              <w:rPr>
                <w:sz w:val="19"/>
              </w:rPr>
              <w:t>Agricultural statistics and soil data</w:t>
            </w:r>
          </w:p>
        </w:tc>
        <w:tc>
          <w:tcPr>
            <w:tcW w:type="dxa" w:w="7445"/>
            <w:vAlign w:val="center"/>
            <w:tcMar>
              <w:top w:w="80" w:type="dxa"/>
              <w:bottom w:w="80" w:type="dxa"/>
              <w:left w:w="100" w:type="dxa"/>
              <w:right w:w="100" w:type="dxa"/>
            </w:tcMar>
          </w:tcPr>
          <w:p>
            <w:pPr>
              <w:spacing w:after="80" w:before="60"/>
            </w:pPr>
            <w:r>
              <w:rPr>
                <w:sz w:val="19"/>
              </w:rPr>
              <w:t xml:space="preserve">The supplied FAOSTAT, IFA, FUBC and coefficient tables, </w:t>
            </w:r>
            <w:r>
              <w:rPr>
                <w:rFonts w:ascii="Consolas" w:hAnsi="Consolas"/>
                <w:sz w:val="17"/>
              </w:rPr>
              <w:t>resampled_df.rdat</w:t>
            </w:r>
            <w:r>
              <w:rPr>
                <w:sz w:val="19"/>
              </w:rPr>
              <w:t xml:space="preserve">, and </w:t>
            </w:r>
            <w:r>
              <w:rPr>
                <w:rFonts w:ascii="Consolas" w:hAnsi="Consolas"/>
                <w:sz w:val="17"/>
              </w:rPr>
              <w:t>0505PRECTOT_test.nc4</w:t>
            </w:r>
            <w:r>
              <w:rPr>
                <w:sz w:val="19"/>
              </w:rPr>
              <w:t xml:space="preserve"> in </w:t>
            </w:r>
            <w:r>
              <w:rPr>
                <w:rFonts w:ascii="Consolas" w:hAnsi="Consolas"/>
                <w:sz w:val="17"/>
              </w:rPr>
              <w:t>NflowModel/data/</w:t>
            </w:r>
            <w:r>
              <w:rPr>
                <w:sz w:val="19"/>
              </w:rPr>
            </w:r>
          </w:p>
        </w:tc>
      </w:tr>
      <w:tr>
        <w:trPr>
          <w:cantSplit/>
        </w:trPr>
        <w:tc>
          <w:tcPr>
            <w:tcW w:type="dxa" w:w="2448"/>
            <w:vAlign w:val="center"/>
            <w:tcMar>
              <w:top w:w="80" w:type="dxa"/>
              <w:bottom w:w="80" w:type="dxa"/>
              <w:left w:w="100" w:type="dxa"/>
              <w:right w:w="100" w:type="dxa"/>
            </w:tcMar>
          </w:tcPr>
          <w:p>
            <w:pPr>
              <w:spacing w:after="80" w:before="60"/>
            </w:pPr>
            <w:r>
              <w:rPr>
                <w:sz w:val="19"/>
              </w:rPr>
              <w:t>Routing and population</w:t>
            </w:r>
          </w:p>
        </w:tc>
        <w:tc>
          <w:tcPr>
            <w:tcW w:type="dxa" w:w="7445"/>
            <w:vAlign w:val="center"/>
            <w:tcMar>
              <w:top w:w="80" w:type="dxa"/>
              <w:bottom w:w="80" w:type="dxa"/>
              <w:left w:w="100" w:type="dxa"/>
              <w:right w:w="100" w:type="dxa"/>
            </w:tcMar>
          </w:tcPr>
          <w:p>
            <w:pPr>
              <w:spacing w:after="80" w:before="60"/>
            </w:pPr>
            <w:r>
              <w:rPr>
                <w:sz w:val="19"/>
              </w:rPr>
              <w:t xml:space="preserve">Static arrays and population data in </w:t>
            </w:r>
            <w:r>
              <w:rPr>
                <w:rFonts w:ascii="Consolas" w:hAnsi="Consolas"/>
                <w:sz w:val="17"/>
              </w:rPr>
              <w:t>VISIToRN/Data_pd/</w:t>
            </w:r>
            <w:r>
              <w:rPr>
                <w:sz w:val="19"/>
              </w:rPr>
              <w:t xml:space="preserve">; TRIP and basin files in </w:t>
            </w:r>
            <w:r>
              <w:rPr>
                <w:rFonts w:ascii="Consolas" w:hAnsi="Consolas"/>
                <w:sz w:val="17"/>
              </w:rPr>
              <w:t>VISIToRN/</w:t>
            </w:r>
            <w:r>
              <w:rPr>
                <w:sz w:val="19"/>
              </w:rPr>
            </w:r>
          </w:p>
        </w:tc>
      </w:tr>
      <w:tr>
        <w:trPr>
          <w:cantSplit/>
        </w:trPr>
        <w:tc>
          <w:tcPr>
            <w:tcW w:type="dxa" w:w="2448"/>
            <w:vAlign w:val="center"/>
            <w:tcMar>
              <w:top w:w="80" w:type="dxa"/>
              <w:bottom w:w="80" w:type="dxa"/>
              <w:left w:w="100" w:type="dxa"/>
              <w:right w:w="100" w:type="dxa"/>
            </w:tcMar>
          </w:tcPr>
          <w:p>
            <w:pPr>
              <w:spacing w:after="80" w:before="60"/>
            </w:pPr>
            <w:r>
              <w:rPr>
                <w:sz w:val="19"/>
              </w:rPr>
              <w:t>Evaluation data</w:t>
            </w:r>
          </w:p>
        </w:tc>
        <w:tc>
          <w:tcPr>
            <w:tcW w:type="dxa" w:w="7445"/>
            <w:vAlign w:val="center"/>
            <w:tcMar>
              <w:top w:w="80" w:type="dxa"/>
              <w:bottom w:w="80" w:type="dxa"/>
              <w:left w:w="100" w:type="dxa"/>
              <w:right w:w="100" w:type="dxa"/>
            </w:tcMar>
          </w:tcPr>
          <w:p>
            <w:pPr>
              <w:spacing w:after="80" w:before="60"/>
            </w:pPr>
            <w:r>
              <w:rPr>
                <w:sz w:val="19"/>
              </w:rPr>
              <w:t xml:space="preserve">CEDS ammonia data in </w:t>
            </w:r>
            <w:r>
              <w:rPr>
                <w:rFonts w:ascii="Consolas" w:hAnsi="Consolas"/>
                <w:sz w:val="17"/>
              </w:rPr>
              <w:t>NflowModel/data/</w:t>
            </w:r>
            <w:r>
              <w:rPr>
                <w:sz w:val="19"/>
              </w:rPr>
              <w:t xml:space="preserve">, EDGAR data in </w:t>
            </w:r>
            <w:r>
              <w:rPr>
                <w:rFonts w:ascii="Consolas" w:hAnsi="Consolas"/>
                <w:sz w:val="17"/>
              </w:rPr>
              <w:t>VISIToRN/Data_pd/</w:t>
            </w:r>
            <w:r>
              <w:rPr>
                <w:sz w:val="19"/>
              </w:rPr>
              <w:t xml:space="preserve">, and river observations in </w:t>
            </w:r>
            <w:r>
              <w:rPr>
                <w:rFonts w:ascii="Consolas" w:hAnsi="Consolas"/>
                <w:sz w:val="17"/>
              </w:rPr>
              <w:t>VISIToRN/</w:t>
            </w:r>
            <w:r>
              <w:rPr>
                <w:sz w:val="19"/>
              </w:rPr>
            </w:r>
          </w:p>
        </w:tc>
      </w:tr>
    </w:tbl>
    <w:p>
      <w:pPr>
        <w:spacing w:after="0"/>
      </w:pPr>
    </w:p>
    <w:p>
      <w:pPr/>
      <w:r>
        <w:t xml:space="preserve">For deposition, the filename suffixes are </w:t>
      </w:r>
      <w:r>
        <w:rPr>
          <w:rFonts w:ascii="Consolas" w:hAnsi="Consolas"/>
          <w:sz w:val="18"/>
        </w:rPr>
        <w:t>Base2010</w:t>
      </w:r>
      <w:r>
        <w:t xml:space="preserve">, </w:t>
      </w:r>
      <w:r>
        <w:rPr>
          <w:rFonts w:ascii="Consolas" w:hAnsi="Consolas"/>
          <w:sz w:val="18"/>
        </w:rPr>
        <w:t>Base2020</w:t>
      </w:r>
      <w:r>
        <w:t xml:space="preserve">, </w:t>
      </w:r>
      <w:r>
        <w:rPr>
          <w:rFonts w:ascii="Consolas" w:hAnsi="Consolas"/>
          <w:sz w:val="18"/>
        </w:rPr>
        <w:t>Base2030</w:t>
      </w:r>
      <w:r>
        <w:t xml:space="preserve">, </w:t>
      </w:r>
      <w:r>
        <w:rPr>
          <w:rFonts w:ascii="Consolas" w:hAnsi="Consolas"/>
          <w:sz w:val="18"/>
        </w:rPr>
        <w:t>Base2050</w:t>
      </w:r>
      <w:r>
        <w:t xml:space="preserve">, </w:t>
      </w:r>
      <w:r>
        <w:rPr>
          <w:rFonts w:ascii="Consolas" w:hAnsi="Consolas"/>
          <w:sz w:val="18"/>
        </w:rPr>
        <w:t>Base2100</w:t>
      </w:r>
      <w:r>
        <w:t xml:space="preserve">, </w:t>
      </w:r>
      <w:r>
        <w:rPr>
          <w:rFonts w:ascii="Consolas" w:hAnsi="Consolas"/>
          <w:sz w:val="18"/>
        </w:rPr>
        <w:t>500C2030</w:t>
      </w:r>
      <w:r>
        <w:t xml:space="preserve">, </w:t>
      </w:r>
      <w:r>
        <w:rPr>
          <w:rFonts w:ascii="Consolas" w:hAnsi="Consolas"/>
          <w:sz w:val="18"/>
        </w:rPr>
        <w:t>500C2050</w:t>
      </w:r>
      <w:r>
        <w:t xml:space="preserve"> and </w:t>
      </w:r>
      <w:r>
        <w:rPr>
          <w:rFonts w:ascii="Consolas" w:hAnsi="Consolas"/>
          <w:sz w:val="18"/>
        </w:rPr>
        <w:t>500C2100</w:t>
      </w:r>
      <w:r>
        <w:t>. Each requires both a dry and a wet deposition file.</w:t>
      </w:r>
    </w:p>
    <w:p>
      <w:pPr>
        <w:keepNext/>
      </w:pPr>
      <w:r>
        <w:t>Before execution, check the data contents as well as filenames:</w:t>
      </w:r>
    </w:p>
    <w:p>
      <w:pPr>
        <w:pStyle w:val="ListBullet"/>
      </w:pPr>
      <w:r>
        <w:t xml:space="preserve">AIM-Hub must provide </w:t>
      </w:r>
      <w:r>
        <w:rPr>
          <w:rFonts w:ascii="Consolas" w:hAnsi="Consolas"/>
          <w:sz w:val="18"/>
        </w:rPr>
        <w:t>IAMC_Template</w:t>
      </w:r>
      <w:r>
        <w:t xml:space="preserve"> records for the requested scenarios and years. PLUM files must contain </w:t>
      </w:r>
      <w:r>
        <w:rPr>
          <w:rFonts w:ascii="Consolas" w:hAnsi="Consolas"/>
          <w:sz w:val="18"/>
        </w:rPr>
        <w:t>VY_load</w:t>
      </w:r>
      <w:r>
        <w:t xml:space="preserve"> for river-input preparation; the agricultural reader also accepts </w:t>
      </w:r>
      <w:r>
        <w:rPr>
          <w:rFonts w:ascii="Consolas" w:hAnsi="Consolas"/>
          <w:sz w:val="18"/>
        </w:rPr>
        <w:t>VYL</w:t>
      </w:r>
      <w:r>
        <w:t>, but the river-input reader does not.</w:t>
      </w:r>
    </w:p>
    <w:p>
      <w:pPr>
        <w:pStyle w:val="ListBullet"/>
      </w:pPr>
      <w:r>
        <w:t xml:space="preserve">Livestock files must contain </w:t>
      </w:r>
      <w:r>
        <w:rPr>
          <w:rFonts w:ascii="Consolas" w:hAnsi="Consolas"/>
          <w:sz w:val="18"/>
        </w:rPr>
        <w:t>Livestock_number</w:t>
      </w:r>
      <w:r>
        <w:t xml:space="preserve"> with dimensions in the order </w:t>
      </w:r>
      <w:r>
        <w:rPr>
          <w:rFonts w:ascii="Consolas" w:hAnsi="Consolas"/>
          <w:sz w:val="18"/>
        </w:rPr>
        <w:t>lon, lat, slnum, time</w:t>
      </w:r>
      <w:r>
        <w:t>, including the required years and the 2010 slice.</w:t>
      </w:r>
    </w:p>
    <w:p>
      <w:pPr>
        <w:pStyle w:val="ListBullet"/>
      </w:pPr>
      <w:r>
        <w:t xml:space="preserve">The VISIT files must match the supplied 720 by 360 grid and the reader's </w:t>
      </w:r>
      <w:r>
        <w:rPr>
          <w:rFonts w:ascii="Consolas" w:hAnsi="Consolas"/>
          <w:sz w:val="18"/>
        </w:rPr>
        <w:t>n_leach</w:t>
      </w:r>
      <w:r>
        <w:t xml:space="preserve"> layout. The retained implementation uses the 2010 monthly VISIT slice and combines it with each scenario year's land use. Do not replace this with future climate forcing when reproducing the study.</w:t>
      </w:r>
    </w:p>
    <w:p>
      <w:pPr>
        <w:pStyle w:val="ListBullet"/>
      </w:pPr>
      <w:r>
        <w:t xml:space="preserve">Keep the seven static routing arrays: </w:t>
      </w:r>
      <w:r>
        <w:rPr>
          <w:rFonts w:ascii="Consolas" w:hAnsi="Consolas"/>
          <w:sz w:val="18"/>
        </w:rPr>
        <w:t>LandMask_Loop.rdat</w:t>
      </w:r>
      <w:r>
        <w:t xml:space="preserve">, </w:t>
      </w:r>
      <w:r>
        <w:rPr>
          <w:rFonts w:ascii="Consolas" w:hAnsi="Consolas"/>
          <w:sz w:val="18"/>
        </w:rPr>
        <w:t>DistMat.rdat</w:t>
      </w:r>
      <w:r>
        <w:t xml:space="preserve">, </w:t>
      </w:r>
      <w:r>
        <w:rPr>
          <w:rFonts w:ascii="Consolas" w:hAnsi="Consolas"/>
          <w:sz w:val="18"/>
        </w:rPr>
        <w:t>VISITro_nat_ag.rdat</w:t>
      </w:r>
      <w:r>
        <w:t xml:space="preserve">, </w:t>
      </w:r>
      <w:r>
        <w:rPr>
          <w:rFonts w:ascii="Consolas" w:hAnsi="Consolas"/>
          <w:sz w:val="18"/>
        </w:rPr>
        <w:t>RivArea.rdat</w:t>
      </w:r>
      <w:r>
        <w:t xml:space="preserve">, </w:t>
      </w:r>
      <w:r>
        <w:rPr>
          <w:rFonts w:ascii="Consolas" w:hAnsi="Consolas"/>
          <w:sz w:val="18"/>
        </w:rPr>
        <w:t>HumanN_future.rdat</w:t>
      </w:r>
      <w:r>
        <w:t xml:space="preserve">, </w:t>
      </w:r>
      <w:r>
        <w:rPr>
          <w:rFonts w:ascii="Consolas" w:hAnsi="Consolas"/>
          <w:sz w:val="18"/>
        </w:rPr>
        <w:t>dat_tas.rdat</w:t>
      </w:r>
      <w:r>
        <w:t xml:space="preserve"> and </w:t>
      </w:r>
      <w:r>
        <w:rPr>
          <w:rFonts w:ascii="Consolas" w:hAnsi="Consolas"/>
          <w:sz w:val="18"/>
        </w:rPr>
        <w:t>dat_dir.rdat</w:t>
      </w:r>
      <w:r>
        <w:t xml:space="preserve">. Decomposition also uses </w:t>
      </w:r>
      <w:r>
        <w:rPr>
          <w:rFonts w:ascii="Consolas" w:hAnsi="Consolas"/>
          <w:sz w:val="18"/>
        </w:rPr>
        <w:t>SSP_update.gdx</w:t>
      </w:r>
      <w:r>
        <w:t xml:space="preserve"> and </w:t>
      </w:r>
      <w:r>
        <w:rPr>
          <w:rFonts w:ascii="Consolas" w:hAnsi="Consolas"/>
          <w:sz w:val="18"/>
        </w:rPr>
        <w:t>regionSSP.map</w:t>
      </w:r>
      <w:r>
        <w:t>.</w:t>
      </w:r>
    </w:p>
    <w:p>
      <w:pPr>
        <w:pStyle w:val="ListBullet"/>
      </w:pPr>
      <w:r>
        <w:t xml:space="preserve">Keep </w:t>
      </w:r>
      <w:r>
        <w:rPr>
          <w:rFonts w:ascii="Consolas" w:hAnsi="Consolas"/>
          <w:sz w:val="18"/>
        </w:rPr>
        <w:t>River_Nitrogen_Load_Data.csv</w:t>
      </w:r>
      <w:r>
        <w:t xml:space="preserve"> and </w:t>
      </w:r>
      <w:r>
        <w:rPr>
          <w:rFonts w:ascii="Consolas" w:hAnsi="Consolas"/>
          <w:sz w:val="18"/>
        </w:rPr>
        <w:t>River_obs_analysis.txt</w:t>
      </w:r>
      <w:r>
        <w:t xml:space="preserve"> for the observation comparison. Preserve the supplied basin IDs and name matching.</w:t>
      </w:r>
    </w:p>
    <w:p>
      <w:pPr>
        <w:pStyle w:val="Heading1"/>
      </w:pPr>
      <w:r>
        <w:t>4 Run the calculations and figures</w:t>
      </w:r>
    </w:p>
    <w:p>
      <w:pPr>
        <w:keepNext/>
      </w:pPr>
      <w:r>
        <w:t>From the repository root, after preparing software and data:</w:t>
      </w:r>
    </w:p>
    <w:p>
      <w:pPr>
        <w:keepNext/>
        <w:spacing w:after="0" w:line="240" w:lineRule="auto"/>
      </w:pPr>
      <w:r>
        <w:rPr>
          <w:rFonts w:ascii="Consolas" w:hAnsi="Consolas"/>
          <w:sz w:val="17"/>
        </w:rPr>
        <w:t>export GAMS_DIR=/path/to/gams</w:t>
      </w:r>
    </w:p>
    <w:p>
      <w:pPr>
        <w:keepNext/>
        <w:spacing w:after="0" w:line="240" w:lineRule="auto"/>
      </w:pPr>
      <w:r>
        <w:rPr>
          <w:rFonts w:ascii="Consolas" w:hAnsi="Consolas"/>
          <w:sz w:val="17"/>
        </w:rPr>
        <w:t>unset VISITORN_CASES VISITORN_ARRAY_ONLY VISITORN_ARRAY_OUTPUT_DIR</w:t>
      </w:r>
    </w:p>
    <w:p>
      <w:pPr>
        <w:keepNext w:val="0"/>
        <w:spacing w:after="140" w:line="240" w:lineRule="auto"/>
      </w:pPr>
      <w:r>
        <w:rPr>
          <w:rFonts w:ascii="Consolas" w:hAnsi="Consolas"/>
          <w:sz w:val="17"/>
        </w:rPr>
        <w:t>bash run_gmd.sh</w:t>
      </w:r>
    </w:p>
    <w:p>
      <w:pPr/>
      <w:r>
        <w:t xml:space="preserve">The launcher calls </w:t>
      </w:r>
      <w:r>
        <w:rPr>
          <w:rFonts w:ascii="Consolas" w:hAnsi="Consolas"/>
          <w:sz w:val="18"/>
        </w:rPr>
        <w:t>tools/run_gmd.R</w:t>
      </w:r>
      <w:r>
        <w:t xml:space="preserve">, which runs the following sequence in </w:t>
      </w:r>
      <w:r>
        <w:rPr>
          <w:b/>
        </w:rPr>
        <w:t>one R session</w:t>
      </w:r>
      <w:r>
        <w:t xml:space="preserve">. This is necessary because plotting and decomposition use objects created by earlier stages; launching each script as an independent </w:t>
      </w:r>
      <w:r>
        <w:rPr>
          <w:rFonts w:ascii="Consolas" w:hAnsi="Consolas"/>
          <w:sz w:val="18"/>
        </w:rPr>
        <w:t>Rscript</w:t>
      </w:r>
      <w:r>
        <w:t xml:space="preserve"> process discards those objects.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445"/>
      </w:tblGrid>
      <w:tr>
        <w:trPr>
          <w:cantSplit/>
          <w:tblHeader/>
        </w:trPr>
        <w:tc>
          <w:tcPr>
            <w:tcW w:type="dxa" w:w="2448"/>
            <w:vAlign w:val="center"/>
            <w:tcMar>
              <w:top w:w="80" w:type="dxa"/>
              <w:bottom w:w="80" w:type="dxa"/>
              <w:left w:w="100" w:type="dxa"/>
              <w:right w:w="100" w:type="dxa"/>
            </w:tcMar>
            <w:shd w:fill="E8EEF4"/>
          </w:tcPr>
          <w:p>
            <w:pPr>
              <w:spacing w:after="80" w:before="60"/>
            </w:pPr>
            <w:r>
              <w:rPr>
                <w:b/>
                <w:sz w:val="19"/>
              </w:rPr>
              <w:t>Stage</w:t>
            </w:r>
          </w:p>
        </w:tc>
        <w:tc>
          <w:tcPr>
            <w:tcW w:type="dxa" w:w="7445"/>
            <w:vAlign w:val="center"/>
            <w:tcMar>
              <w:top w:w="80" w:type="dxa"/>
              <w:bottom w:w="80" w:type="dxa"/>
              <w:left w:w="100" w:type="dxa"/>
              <w:right w:w="100" w:type="dxa"/>
            </w:tcMar>
            <w:shd w:fill="E8EEF4"/>
          </w:tcPr>
          <w:p>
            <w:pPr>
              <w:spacing w:after="80" w:before="60"/>
            </w:pPr>
            <w:r>
              <w:rPr>
                <w:b/>
                <w:sz w:val="19"/>
              </w:rPr>
              <w:t>Script and function</w:t>
            </w:r>
          </w:p>
        </w:tc>
      </w:tr>
      <w:tr>
        <w:trPr>
          <w:cantSplit/>
        </w:trPr>
        <w:tc>
          <w:tcPr>
            <w:tcW w:type="dxa" w:w="2448"/>
            <w:vAlign w:val="center"/>
            <w:tcMar>
              <w:top w:w="80" w:type="dxa"/>
              <w:bottom w:w="80" w:type="dxa"/>
              <w:left w:w="100" w:type="dxa"/>
              <w:right w:w="100" w:type="dxa"/>
            </w:tcMar>
          </w:tcPr>
          <w:p>
            <w:pPr>
              <w:spacing w:after="80" w:before="60"/>
            </w:pPr>
            <w:r>
              <w:rPr>
                <w:sz w:val="19"/>
              </w:rPr>
              <w:t>Agricultural calculations</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Make_Result_csv.r</w:t>
            </w:r>
            <w:r>
              <w:rPr>
                <w:sz w:val="19"/>
              </w:rPr>
              <w:t xml:space="preserve"> calls </w:t>
            </w:r>
            <w:r>
              <w:rPr>
                <w:rFonts w:ascii="Consolas" w:hAnsi="Consolas"/>
                <w:sz w:val="17"/>
              </w:rPr>
              <w:t>RawDataProcess.R</w:t>
            </w:r>
            <w:r>
              <w:rPr>
                <w:sz w:val="19"/>
              </w:rPr>
              <w:t xml:space="preserve"> for each case, saves nitrogen-flow tables and agricultural leaching arrays, and retains plotting objects</w:t>
            </w:r>
          </w:p>
        </w:tc>
      </w:tr>
      <w:tr>
        <w:trPr>
          <w:cantSplit/>
        </w:trPr>
        <w:tc>
          <w:tcPr>
            <w:tcW w:type="dxa" w:w="2448"/>
            <w:vAlign w:val="center"/>
            <w:tcMar>
              <w:top w:w="80" w:type="dxa"/>
              <w:bottom w:w="80" w:type="dxa"/>
              <w:left w:w="100" w:type="dxa"/>
              <w:right w:w="100" w:type="dxa"/>
            </w:tcMar>
          </w:tcPr>
          <w:p>
            <w:pPr>
              <w:spacing w:after="80" w:before="60"/>
            </w:pPr>
            <w:r>
              <w:rPr>
                <w:sz w:val="19"/>
              </w:rPr>
              <w:t>Agricultural figures</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Visualization_Nmodel.r</w:t>
            </w:r>
            <w:r>
              <w:rPr>
                <w:sz w:val="19"/>
              </w:rPr>
              <w:t xml:space="preserve"> uses those objects to produce global, regional and spatial figures and ammonia comparisons</w:t>
            </w:r>
          </w:p>
        </w:tc>
      </w:tr>
      <w:tr>
        <w:trPr>
          <w:cantSplit/>
        </w:trPr>
        <w:tc>
          <w:tcPr>
            <w:tcW w:type="dxa" w:w="2448"/>
            <w:vAlign w:val="center"/>
            <w:tcMar>
              <w:top w:w="80" w:type="dxa"/>
              <w:bottom w:w="80" w:type="dxa"/>
              <w:left w:w="100" w:type="dxa"/>
              <w:right w:w="100" w:type="dxa"/>
            </w:tcMar>
          </w:tcPr>
          <w:p>
            <w:pPr>
              <w:spacing w:after="80" w:before="60"/>
            </w:pPr>
            <w:r>
              <w:rPr>
                <w:sz w:val="19"/>
              </w:rPr>
              <w:t>River calculations and evaluation</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VISIToRN_input.r</w:t>
            </w:r>
            <w:r>
              <w:rPr>
                <w:sz w:val="19"/>
              </w:rPr>
              <w:t xml:space="preserve"> builds combined inputs, calls </w:t>
            </w:r>
            <w:r>
              <w:rPr>
                <w:rFonts w:ascii="Consolas" w:hAnsi="Consolas"/>
                <w:sz w:val="17"/>
              </w:rPr>
              <w:t>VISIToRN/Run_VISIToRN.r</w:t>
            </w:r>
            <w:r>
              <w:rPr>
                <w:sz w:val="19"/>
              </w:rPr>
              <w:t>, and produces river-load comparisons and concentration statistics</w:t>
            </w:r>
          </w:p>
        </w:tc>
      </w:tr>
      <w:tr>
        <w:trPr>
          <w:cantSplit/>
        </w:trPr>
        <w:tc>
          <w:tcPr>
            <w:tcW w:type="dxa" w:w="2448"/>
            <w:vAlign w:val="center"/>
            <w:tcMar>
              <w:top w:w="80" w:type="dxa"/>
              <w:bottom w:w="80" w:type="dxa"/>
              <w:left w:w="100" w:type="dxa"/>
              <w:right w:w="100" w:type="dxa"/>
            </w:tcMar>
          </w:tcPr>
          <w:p>
            <w:pPr>
              <w:spacing w:after="80" w:before="60"/>
            </w:pPr>
            <w:r>
              <w:rPr>
                <w:sz w:val="19"/>
              </w:rPr>
              <w:t>Factor decomposition</w:t>
            </w:r>
          </w:p>
        </w:tc>
        <w:tc>
          <w:tcPr>
            <w:tcW w:type="dxa" w:w="7445"/>
            <w:vAlign w:val="center"/>
            <w:tcMar>
              <w:top w:w="80" w:type="dxa"/>
              <w:bottom w:w="80" w:type="dxa"/>
              <w:left w:w="100" w:type="dxa"/>
              <w:right w:w="100" w:type="dxa"/>
            </w:tcMar>
          </w:tcPr>
          <w:p>
            <w:pPr>
              <w:spacing w:after="80" w:before="60"/>
            </w:pPr>
            <w:r>
              <w:rPr>
                <w:sz w:val="19"/>
              </w:rPr>
            </w:r>
            <w:r>
              <w:rPr>
                <w:rFonts w:ascii="Consolas" w:hAnsi="Consolas"/>
                <w:sz w:val="17"/>
              </w:rPr>
              <w:t>Deco.R</w:t>
            </w:r>
            <w:r>
              <w:rPr>
                <w:sz w:val="19"/>
              </w:rPr>
              <w:t xml:space="preserve"> combines the agricultural and river results to decompose changes relative to Baseline 2010</w:t>
            </w:r>
          </w:p>
        </w:tc>
      </w:tr>
    </w:tbl>
    <w:p>
      <w:pPr>
        <w:spacing w:after="0"/>
      </w:pPr>
    </w:p>
    <w:p>
      <w:pPr/>
      <w:r>
        <w:t xml:space="preserve">The first three scripts start from </w:t>
      </w:r>
      <w:r>
        <w:rPr>
          <w:rFonts w:ascii="Consolas" w:hAnsi="Consolas"/>
          <w:sz w:val="18"/>
        </w:rPr>
        <w:t>NflowModel/R/</w:t>
      </w:r>
      <w:r>
        <w:t xml:space="preserve">. River-input preparation changes the R working directory to </w:t>
      </w:r>
      <w:r>
        <w:rPr>
          <w:rFonts w:ascii="Consolas" w:hAnsi="Consolas"/>
          <w:sz w:val="18"/>
        </w:rPr>
        <w:t>VISIToRN/</w:t>
      </w:r>
      <w:r>
        <w:t xml:space="preserve">; decomposition runs there. The launcher manages this sequence. Do not use the older </w:t>
      </w:r>
      <w:r>
        <w:rPr>
          <w:rFonts w:ascii="Consolas" w:hAnsi="Consolas"/>
          <w:sz w:val="18"/>
        </w:rPr>
        <w:t>NflowModel/Shell/nitrogen.sh</w:t>
      </w:r>
      <w:r>
        <w:t xml:space="preserve"> for this procedure.</w:t>
      </w:r>
    </w:p>
    <w:p>
      <w:pPr>
        <w:keepNext/>
      </w:pPr>
      <w:r>
        <w:t xml:space="preserve">Without Bash, set </w:t>
      </w:r>
      <w:r>
        <w:rPr>
          <w:rFonts w:ascii="Consolas" w:hAnsi="Consolas"/>
          <w:sz w:val="18"/>
        </w:rPr>
        <w:t>GAMS_DIR</w:t>
      </w:r>
      <w:r>
        <w:t xml:space="preserve"> in the operating system and run </w:t>
      </w:r>
      <w:r>
        <w:rPr>
          <w:rFonts w:ascii="Consolas" w:hAnsi="Consolas"/>
          <w:sz w:val="18"/>
        </w:rPr>
        <w:t>Rscript tools/run_gmd.R</w:t>
      </w:r>
      <w:r>
        <w:t xml:space="preserve"> from the repository root. Alternatively, use one clean interactive R session, replacing the two installation paths below:</w:t>
      </w:r>
    </w:p>
    <w:p>
      <w:pPr>
        <w:keepNext/>
        <w:spacing w:after="0" w:line="240" w:lineRule="auto"/>
      </w:pPr>
      <w:r>
        <w:rPr>
          <w:rFonts w:ascii="Consolas" w:hAnsi="Consolas"/>
          <w:sz w:val="17"/>
        </w:rPr>
        <w:t>Sys.setenv(GAMS_DIR = "/path/to/gams")</w:t>
      </w:r>
    </w:p>
    <w:p>
      <w:pPr>
        <w:keepNext/>
        <w:spacing w:after="0" w:line="240" w:lineRule="auto"/>
      </w:pPr>
      <w:r>
        <w:rPr>
          <w:rFonts w:ascii="Consolas" w:hAnsi="Consolas"/>
          <w:sz w:val="17"/>
        </w:rPr>
        <w:t>Sys.unsetenv(c("VISITORN_CASES", "VISITORN_ARRAY_ONLY",</w:t>
      </w:r>
    </w:p>
    <w:p>
      <w:pPr>
        <w:keepNext/>
        <w:spacing w:after="0" w:line="240" w:lineRule="auto"/>
      </w:pPr>
      <w:r>
        <w:rPr>
          <w:rFonts w:ascii="Consolas" w:hAnsi="Consolas"/>
          <w:sz w:val="17"/>
        </w:rPr>
        <w:t xml:space="preserve">              "VISITORN_ARRAY_OUTPUT_DIR"))</w:t>
      </w:r>
    </w:p>
    <w:p>
      <w:pPr>
        <w:keepNext/>
        <w:spacing w:after="0" w:line="240" w:lineRule="auto"/>
      </w:pPr>
      <w:r>
        <w:rPr>
          <w:rFonts w:ascii="Consolas" w:hAnsi="Consolas"/>
          <w:sz w:val="17"/>
        </w:rPr>
        <w:t>setwd("/path/to/NflowModel_Int")</w:t>
      </w:r>
    </w:p>
    <w:p>
      <w:pPr>
        <w:keepNext/>
        <w:spacing w:after="0" w:line="240" w:lineRule="auto"/>
      </w:pPr>
      <w:r>
        <w:rPr>
          <w:rFonts w:ascii="Consolas" w:hAnsi="Consolas"/>
          <w:sz w:val="17"/>
        </w:rPr>
        <w:t>source("tools/run_gmd.R")</w:t>
      </w:r>
    </w:p>
    <w:p>
      <w:pPr>
        <w:keepNext w:val="0"/>
        <w:spacing w:after="140" w:line="240" w:lineRule="auto"/>
      </w:pPr>
      <w:r>
        <w:rPr>
          <w:rFonts w:ascii="Consolas" w:hAnsi="Consolas"/>
          <w:sz w:val="17"/>
        </w:rPr>
        <w:t>run_gmd_workflow(getwd())</w:t>
      </w:r>
    </w:p>
    <w:p>
      <w:pPr/>
      <w:r>
        <w:t>A successful process exit means the requested stages finished, not that their scientific results have been validated. Check the products listed below. The workflow does not automatically resume an interrupted R session.</w:t>
      </w:r>
    </w:p>
    <w:p>
      <w:pPr>
        <w:pStyle w:val="Heading1"/>
      </w:pPr>
      <w:r>
        <w:t>5 Locate and check the results</w:t>
      </w:r>
    </w:p>
    <w:p>
      <w:pPr/>
      <w:r>
        <w:t xml:space="preserve">Agricultural products in </w:t>
      </w:r>
      <w:r>
        <w:rPr>
          <w:rFonts w:ascii="Consolas" w:hAnsi="Consolas"/>
          <w:sz w:val="18"/>
        </w:rPr>
        <w:t>NflowModel/output/</w:t>
      </w:r>
      <w:r>
        <w:t xml:space="preserve"> include </w:t>
      </w:r>
      <w:r>
        <w:rPr>
          <w:rFonts w:ascii="Consolas" w:hAnsi="Consolas"/>
          <w:sz w:val="18"/>
        </w:rPr>
        <w:t>Result.csv</w:t>
      </w:r>
      <w:r>
        <w:t xml:space="preserve">, </w:t>
      </w:r>
      <w:r>
        <w:rPr>
          <w:rFonts w:ascii="Consolas" w:hAnsi="Consolas"/>
          <w:sz w:val="18"/>
        </w:rPr>
        <w:t>OUTgas_species.csv</w:t>
      </w:r>
      <w:r>
        <w:t xml:space="preserve">, </w:t>
      </w:r>
      <w:r>
        <w:rPr>
          <w:rFonts w:ascii="Consolas" w:hAnsi="Consolas"/>
          <w:sz w:val="18"/>
        </w:rPr>
        <w:t>OUTgas_species_17regions.csv</w:t>
      </w:r>
      <w:r>
        <w:t xml:space="preserve">, </w:t>
      </w:r>
      <w:r>
        <w:rPr>
          <w:rFonts w:ascii="Consolas" w:hAnsi="Consolas"/>
          <w:sz w:val="18"/>
        </w:rPr>
        <w:t>OUTgas_species_summary.csv</w:t>
      </w:r>
      <w:r>
        <w:t xml:space="preserve"> and </w:t>
      </w:r>
      <w:r>
        <w:rPr>
          <w:rFonts w:ascii="Consolas" w:hAnsi="Consolas"/>
          <w:sz w:val="18"/>
        </w:rPr>
        <w:t>OUTgas_species_validation.csv</w:t>
      </w:r>
      <w:r>
        <w:t xml:space="preserve">. Copies of the main tables are also written to </w:t>
      </w:r>
      <w:r>
        <w:rPr>
          <w:rFonts w:ascii="Consolas" w:hAnsi="Consolas"/>
          <w:sz w:val="18"/>
        </w:rPr>
        <w:t>NflowModel/data/</w:t>
      </w:r>
      <w:r>
        <w:t xml:space="preserve">. Check that </w:t>
      </w:r>
      <w:r>
        <w:rPr>
          <w:rFonts w:ascii="Consolas" w:hAnsi="Consolas"/>
          <w:sz w:val="18"/>
        </w:rPr>
        <w:t>Result.csv</w:t>
      </w:r>
      <w:r>
        <w:t xml:space="preserve"> contains all seven main case labels: </w:t>
      </w:r>
      <w:r>
        <w:rPr>
          <w:rFonts w:ascii="Consolas" w:hAnsi="Consolas"/>
          <w:sz w:val="18"/>
        </w:rPr>
        <w:t>Base2010</w:t>
      </w:r>
      <w:r>
        <w:t xml:space="preserve">, </w:t>
      </w:r>
      <w:r>
        <w:rPr>
          <w:rFonts w:ascii="Consolas" w:hAnsi="Consolas"/>
          <w:sz w:val="18"/>
        </w:rPr>
        <w:t>Base2030</w:t>
      </w:r>
      <w:r>
        <w:t xml:space="preserve">, </w:t>
      </w:r>
      <w:r>
        <w:rPr>
          <w:rFonts w:ascii="Consolas" w:hAnsi="Consolas"/>
          <w:sz w:val="18"/>
        </w:rPr>
        <w:t>Base2050</w:t>
      </w:r>
      <w:r>
        <w:t xml:space="preserve">, </w:t>
      </w:r>
      <w:r>
        <w:rPr>
          <w:rFonts w:ascii="Consolas" w:hAnsi="Consolas"/>
          <w:sz w:val="18"/>
        </w:rPr>
        <w:t>Base2100</w:t>
      </w:r>
      <w:r>
        <w:t xml:space="preserve">, </w:t>
      </w:r>
      <w:r>
        <w:rPr>
          <w:rFonts w:ascii="Consolas" w:hAnsi="Consolas"/>
          <w:sz w:val="18"/>
        </w:rPr>
        <w:t>Mit2030</w:t>
      </w:r>
      <w:r>
        <w:t xml:space="preserve">, </w:t>
      </w:r>
      <w:r>
        <w:rPr>
          <w:rFonts w:ascii="Consolas" w:hAnsi="Consolas"/>
          <w:sz w:val="18"/>
        </w:rPr>
        <w:t>Mit2050</w:t>
      </w:r>
      <w:r>
        <w:t xml:space="preserve"> and </w:t>
      </w:r>
      <w:r>
        <w:rPr>
          <w:rFonts w:ascii="Consolas" w:hAnsi="Consolas"/>
          <w:sz w:val="18"/>
        </w:rPr>
        <w:t>Mit2100</w:t>
      </w:r>
      <w:r>
        <w:t>.</w:t>
      </w:r>
    </w:p>
    <w:p>
      <w:pPr>
        <w:keepNext/>
      </w:pPr>
      <w:r>
        <w:t xml:space="preserve">Representative figures in </w:t>
      </w:r>
      <w:r>
        <w:rPr>
          <w:rFonts w:ascii="Consolas" w:hAnsi="Consolas"/>
          <w:sz w:val="18"/>
        </w:rPr>
        <w:t>NflowModel/output/</w:t>
      </w:r>
      <w:r>
        <w:t xml:space="preserve"> are:</w:t>
      </w:r>
    </w:p>
    <w:p>
      <w:pPr>
        <w:pStyle w:val="ListBullet"/>
      </w:pPr>
      <w:r/>
      <w:r>
        <w:rPr>
          <w:rFonts w:ascii="Consolas" w:hAnsi="Consolas"/>
          <w:sz w:val="18"/>
        </w:rPr>
        <w:t>plot1_finalrep.png</w:t>
      </w:r>
      <w:r>
        <w:t>: global nitrogen flows.</w:t>
      </w:r>
    </w:p>
    <w:p>
      <w:pPr>
        <w:pStyle w:val="ListBullet"/>
      </w:pPr>
      <w:r/>
      <w:r>
        <w:rPr>
          <w:rFonts w:ascii="Consolas" w:hAnsi="Consolas"/>
          <w:sz w:val="18"/>
        </w:rPr>
        <w:t>Input_17_stacked_components.png</w:t>
      </w:r>
      <w:r>
        <w:t xml:space="preserve"> and </w:t>
      </w:r>
      <w:r>
        <w:rPr>
          <w:rFonts w:ascii="Consolas" w:hAnsi="Consolas"/>
          <w:sz w:val="18"/>
        </w:rPr>
        <w:t>Input_17_stacked_components_500C.png</w:t>
      </w:r>
      <w:r>
        <w:t>: regional nitrogen inputs.</w:t>
      </w:r>
    </w:p>
    <w:p>
      <w:pPr>
        <w:pStyle w:val="ListBullet"/>
      </w:pPr>
      <w:r/>
      <w:r>
        <w:rPr>
          <w:rFonts w:ascii="Consolas" w:hAnsi="Consolas"/>
          <w:sz w:val="18"/>
        </w:rPr>
        <w:t>Output_17_finalrep.png</w:t>
      </w:r>
      <w:r>
        <w:t xml:space="preserve"> and </w:t>
      </w:r>
      <w:r>
        <w:rPr>
          <w:rFonts w:ascii="Consolas" w:hAnsi="Consolas"/>
          <w:sz w:val="18"/>
        </w:rPr>
        <w:t>Output_17_finalrep_500C.png</w:t>
      </w:r>
      <w:r>
        <w:t>: regional nitrogen outputs.</w:t>
      </w:r>
    </w:p>
    <w:p>
      <w:pPr>
        <w:pStyle w:val="ListBullet"/>
      </w:pPr>
      <w:r/>
      <w:r>
        <w:rPr>
          <w:rFonts w:ascii="Consolas" w:hAnsi="Consolas"/>
          <w:sz w:val="18"/>
        </w:rPr>
        <w:t>Input_combined_rev.png</w:t>
      </w:r>
      <w:r>
        <w:t xml:space="preserve"> and </w:t>
      </w:r>
      <w:r>
        <w:rPr>
          <w:rFonts w:ascii="Consolas" w:hAnsi="Consolas"/>
          <w:sz w:val="18"/>
        </w:rPr>
        <w:t>Outgas_combined.png</w:t>
      </w:r>
      <w:r>
        <w:t>: spatial input and gaseous-loss comparisons.</w:t>
      </w:r>
    </w:p>
    <w:p>
      <w:pPr>
        <w:pStyle w:val="ListBullet"/>
      </w:pPr>
      <w:r/>
      <w:r>
        <w:rPr>
          <w:rFonts w:ascii="Consolas" w:hAnsi="Consolas"/>
          <w:sz w:val="18"/>
        </w:rPr>
        <w:t>NH3_emiRegion_2010.png</w:t>
      </w:r>
      <w:r>
        <w:t xml:space="preserve"> and </w:t>
      </w:r>
      <w:r>
        <w:rPr>
          <w:rFonts w:ascii="Consolas" w:hAnsi="Consolas"/>
          <w:sz w:val="18"/>
        </w:rPr>
        <w:t>NH3_emiRegion_2020.png</w:t>
      </w:r>
      <w:r>
        <w:t>: regional ammonia-emission comparisons.</w:t>
      </w:r>
    </w:p>
    <w:p>
      <w:pPr/>
      <w:r>
        <w:t xml:space="preserve">River products use the </w:t>
      </w:r>
      <w:r>
        <w:rPr>
          <w:rFonts w:ascii="Consolas" w:hAnsi="Consolas"/>
          <w:sz w:val="18"/>
        </w:rPr>
        <w:t>_NMIP3</w:t>
      </w:r>
      <w:r>
        <w:t xml:space="preserve"> suffix, because </w:t>
      </w:r>
      <w:r>
        <w:rPr>
          <w:rFonts w:ascii="Consolas" w:hAnsi="Consolas"/>
          <w:sz w:val="18"/>
        </w:rPr>
        <w:t>NMIP3 = TRUE</w:t>
      </w:r>
      <w:r>
        <w:t xml:space="preserve"> is retained. In </w:t>
      </w:r>
      <w:r>
        <w:rPr>
          <w:rFonts w:ascii="Consolas" w:hAnsi="Consolas"/>
          <w:sz w:val="18"/>
        </w:rPr>
        <w:t>VISIToRN/output/</w:t>
      </w:r>
      <w:r>
        <w:t xml:space="preserve">, check </w:t>
      </w:r>
      <w:r>
        <w:rPr>
          <w:rFonts w:ascii="Consolas" w:hAnsi="Consolas"/>
          <w:sz w:val="18"/>
        </w:rPr>
        <w:t>Obs_compare_NMIP3.png</w:t>
      </w:r>
      <w:r>
        <w:t xml:space="preserve">, </w:t>
      </w:r>
      <w:r>
        <w:rPr>
          <w:rFonts w:ascii="Consolas" w:hAnsi="Consolas"/>
          <w:sz w:val="18"/>
        </w:rPr>
        <w:t>River_Nload_top14_NMIP3.png</w:t>
      </w:r>
      <w:r>
        <w:t xml:space="preserve">, and the seven </w:t>
      </w:r>
      <w:r>
        <w:rPr>
          <w:rFonts w:ascii="Consolas" w:hAnsi="Consolas"/>
          <w:sz w:val="18"/>
        </w:rPr>
        <w:t>C_fw_analysis_&lt;case&gt;_NMIP3.rdat</w:t>
      </w:r>
      <w:r>
        <w:t xml:space="preserve"> and </w:t>
      </w:r>
      <w:r>
        <w:rPr>
          <w:rFonts w:ascii="Consolas" w:hAnsi="Consolas"/>
          <w:sz w:val="18"/>
        </w:rPr>
        <w:t>C_fw_summary_&lt;case&gt;_NMIP3.csv</w:t>
      </w:r>
      <w:r>
        <w:t xml:space="preserve"> pairs. Here, </w:t>
      </w:r>
      <w:r>
        <w:rPr>
          <w:rFonts w:ascii="Consolas" w:hAnsi="Consolas"/>
          <w:sz w:val="18"/>
        </w:rPr>
        <w:t>&lt;case&gt;</w:t>
      </w:r>
      <w:r>
        <w:t xml:space="preserve"> is </w:t>
      </w:r>
      <w:r>
        <w:rPr>
          <w:rFonts w:ascii="Consolas" w:hAnsi="Consolas"/>
          <w:sz w:val="18"/>
        </w:rPr>
        <w:t>2010</w:t>
      </w:r>
      <w:r>
        <w:t xml:space="preserve">, </w:t>
      </w:r>
      <w:r>
        <w:rPr>
          <w:rFonts w:ascii="Consolas" w:hAnsi="Consolas"/>
          <w:sz w:val="18"/>
        </w:rPr>
        <w:t>2030</w:t>
      </w:r>
      <w:r>
        <w:t xml:space="preserve">, </w:t>
      </w:r>
      <w:r>
        <w:rPr>
          <w:rFonts w:ascii="Consolas" w:hAnsi="Consolas"/>
          <w:sz w:val="18"/>
        </w:rPr>
        <w:t>2050</w:t>
      </w:r>
      <w:r>
        <w:t xml:space="preserve">, </w:t>
      </w:r>
      <w:r>
        <w:rPr>
          <w:rFonts w:ascii="Consolas" w:hAnsi="Consolas"/>
          <w:sz w:val="18"/>
        </w:rPr>
        <w:t>2100</w:t>
      </w:r>
      <w:r>
        <w:t xml:space="preserve">, </w:t>
      </w:r>
      <w:r>
        <w:rPr>
          <w:rFonts w:ascii="Consolas" w:hAnsi="Consolas"/>
          <w:sz w:val="18"/>
        </w:rPr>
        <w:t>2030mit</w:t>
      </w:r>
      <w:r>
        <w:t xml:space="preserve">, </w:t>
      </w:r>
      <w:r>
        <w:rPr>
          <w:rFonts w:ascii="Consolas" w:hAnsi="Consolas"/>
          <w:sz w:val="18"/>
        </w:rPr>
        <w:t>2050mit</w:t>
      </w:r>
      <w:r>
        <w:t xml:space="preserve"> or </w:t>
      </w:r>
      <w:r>
        <w:rPr>
          <w:rFonts w:ascii="Consolas" w:hAnsi="Consolas"/>
          <w:sz w:val="18"/>
        </w:rPr>
        <w:t>2100mit</w:t>
      </w:r>
      <w:r>
        <w:t xml:space="preserve">. Observation-comparison metrics are saved separately as </w:t>
      </w:r>
      <w:r>
        <w:rPr>
          <w:rFonts w:ascii="Consolas" w:hAnsi="Consolas"/>
          <w:sz w:val="18"/>
        </w:rPr>
        <w:t>VISIToRN/obs_compare_metrics_NMIP3.rdat</w:t>
      </w:r>
      <w:r>
        <w:t>.</w:t>
      </w:r>
    </w:p>
    <w:p>
      <w:pPr/>
      <w:r>
        <w:t xml:space="preserve">Aggregated river loads are saved as </w:t>
      </w:r>
      <w:r>
        <w:rPr>
          <w:rFonts w:ascii="Consolas" w:hAnsi="Consolas"/>
          <w:sz w:val="18"/>
        </w:rPr>
        <w:t>df_river_all_NMIP3.rdat</w:t>
      </w:r>
      <w:r>
        <w:t xml:space="preserve"> and </w:t>
      </w:r>
      <w:r>
        <w:rPr>
          <w:rFonts w:ascii="Consolas" w:hAnsi="Consolas"/>
          <w:sz w:val="18"/>
        </w:rPr>
        <w:t>df_river_all_mit_NMIP3.rdat</w:t>
      </w:r>
      <w:r>
        <w:t xml:space="preserve"> in </w:t>
      </w:r>
      <w:r>
        <w:rPr>
          <w:rFonts w:ascii="Consolas" w:hAnsi="Consolas"/>
          <w:sz w:val="18"/>
        </w:rPr>
        <w:t>VISIToRN/Data_pd/</w:t>
      </w:r>
      <w:r>
        <w:t xml:space="preserve">. Decomposition writes </w:t>
      </w:r>
      <w:r>
        <w:rPr>
          <w:rFonts w:ascii="Consolas" w:hAnsi="Consolas"/>
          <w:sz w:val="18"/>
        </w:rPr>
        <w:t>df_Nload_factor_decomposition_LMDI_summary.csv</w:t>
      </w:r>
      <w:r>
        <w:t xml:space="preserve"> and </w:t>
      </w:r>
      <w:r>
        <w:rPr>
          <w:rFonts w:ascii="Consolas" w:hAnsi="Consolas"/>
          <w:sz w:val="18"/>
        </w:rPr>
        <w:t>df_Nload_factor_decomposition_LMDI_long.csv</w:t>
      </w:r>
      <w:r>
        <w:t xml:space="preserve"> there, and writes </w:t>
      </w:r>
      <w:r>
        <w:rPr>
          <w:rFonts w:ascii="Consolas" w:hAnsi="Consolas"/>
          <w:sz w:val="18"/>
        </w:rPr>
        <w:t>LMDI_Nload_decomposition_BaU_top14_absNload2010.png</w:t>
      </w:r>
      <w:r>
        <w:t xml:space="preserve"> and its </w:t>
      </w:r>
      <w:r>
        <w:rPr>
          <w:rFonts w:ascii="Consolas" w:hAnsi="Consolas"/>
          <w:sz w:val="18"/>
        </w:rPr>
        <w:t>500C</w:t>
      </w:r>
      <w:r>
        <w:t xml:space="preserve"> counterpart to </w:t>
      </w:r>
      <w:r>
        <w:rPr>
          <w:rFonts w:ascii="Consolas" w:hAnsi="Consolas"/>
          <w:sz w:val="18"/>
        </w:rPr>
        <w:t>VISIToRN/output/</w:t>
      </w:r>
      <w:r>
        <w:t>.</w:t>
      </w:r>
    </w:p>
    <w:p>
      <w:pPr/>
      <w:r>
        <w:t>Check warnings and units before comparing with the manuscript. The retained river-load and decomposition figures use Gg N per year; 1 Tg N equals 1,000 Gg N. Agricultural summary tables use Tg N per year, whereas some grid and intermediate products use other units. Concentrations are expressed in mg N per litre. Use the table column definitions and code for each product; do not compare numbers without checking their units.</w:t>
      </w:r>
    </w:p>
    <w:p>
      <w:pPr/>
      <w:r>
        <w:t xml:space="preserve">Check </w:t>
      </w:r>
      <w:r>
        <w:rPr>
          <w:rFonts w:ascii="Consolas" w:hAnsi="Consolas"/>
          <w:sz w:val="18"/>
        </w:rPr>
        <w:t>OUTgas_species_validation.csv</w:t>
      </w:r>
      <w:r>
        <w:t xml:space="preserve"> for failed component-sum checks. Confirm that every requested case/year was regenerated, the observation matching is unchanged, and the decomposition contributions reproduce the reported load change. Existing cached files are not evidence of a completed rerun. Compare regenerated tables with an untouched study-result archive.</w:t>
      </w:r>
    </w:p>
    <w:p>
      <w:pPr>
        <w:pStyle w:val="Heading1"/>
      </w:pPr>
      <w:r>
        <w:t>6 Calibration and reproducibility limits</w:t>
      </w:r>
    </w:p>
    <w:p>
      <w:pPr/>
      <w:r>
        <w:t xml:space="preserve">The standard run uses the fixed parameter vector in </w:t>
      </w:r>
      <w:r>
        <w:rPr>
          <w:rFonts w:ascii="Consolas" w:hAnsi="Consolas"/>
          <w:sz w:val="18"/>
        </w:rPr>
        <w:t>VISIToRN/Demo_VISIToRN.R</w:t>
      </w:r>
      <w:r>
        <w:t xml:space="preserve">: </w:t>
      </w:r>
      <w:r>
        <w:rPr>
          <w:rFonts w:ascii="Consolas" w:hAnsi="Consolas"/>
          <w:sz w:val="18"/>
        </w:rPr>
        <w:t>ParFit_input = c(982.2591, 12.22721, 2.961817)</w:t>
      </w:r>
      <w:r>
        <w:t xml:space="preserve">, in the order </w:t>
      </w:r>
      <w:r>
        <w:rPr>
          <w:rFonts w:ascii="Consolas" w:hAnsi="Consolas"/>
          <w:sz w:val="18"/>
        </w:rPr>
        <w:t>Vmax, Kno3, Q10</w:t>
      </w:r>
      <w:r>
        <w:t>. Keep these values for a run of this retained implementation; do not silently replace them with parameters from another input-data version. The standard launcher does not perform MCMC calibration.</w:t>
      </w:r>
    </w:p>
    <w:p>
      <w:pPr/>
      <w:r>
        <w:t xml:space="preserve">Calibration programs are retained in </w:t>
      </w:r>
      <w:r>
        <w:rPr>
          <w:rFonts w:ascii="Consolas" w:hAnsi="Consolas"/>
          <w:sz w:val="18"/>
        </w:rPr>
        <w:t>VISIToRN/Run_VISIToRN_MCMC*.R</w:t>
      </w:r>
      <w:r>
        <w:t xml:space="preserve">. The reconstructed three-chain script provides separate </w:t>
      </w:r>
      <w:r>
        <w:rPr>
          <w:rFonts w:ascii="Consolas" w:hAnsi="Consolas"/>
          <w:sz w:val="18"/>
        </w:rPr>
        <w:t>RUN_MCMC</w:t>
      </w:r>
      <w:r>
        <w:t xml:space="preserve"> and </w:t>
      </w:r>
      <w:r>
        <w:rPr>
          <w:rFonts w:ascii="Consolas" w:hAnsi="Consolas"/>
          <w:sz w:val="18"/>
        </w:rPr>
        <w:t>ANALYZE_RESULTS</w:t>
      </w:r>
      <w:r>
        <w:t xml:space="preserve"> switches. Reproducing the supplementary calibration diagnostics requires the study's chain files and matching settings, including initial values, likelihood, burn-in, thinning and random seeds. A new MCMC run is not guaranteed to reproduce the original chains or figures.</w:t>
      </w:r>
    </w:p>
    <w:p>
      <w:pPr/>
      <w:r>
        <w:t>The agricultural preprocessing uses stochastic Amelia imputation and does not set a fixed seed in the retained driver. Exact numerical replication therefore also requires the original random-number state or saved preprocessing products, as well as matching software and input versions. Record seeds and the R session information for any new run; a newly chosen seed is not the original study seed.</w:t>
      </w:r>
    </w:p>
    <w:p>
      <w:pPr/>
      <w:r>
        <w:t>For a reproducible study archive, retain the code commit, processed-input checksums and provenance, software versions, adopted parameters, calibration chains, complete logs and reference outputs. This documentation update has not rerun the full global model or established numerical agreement with the paper. If the external study files are unavailable, the code can be inspected and existing results examined, but a complete from-inputs reproduction is not possible from the repository alone.</w:t>
      </w:r>
    </w:p>
    <w:p>
      <w:pPr/>
      <w:r>
        <w:t xml:space="preserve">VISIT and VISIToRN are existing models. Preserve their attribution in </w:t>
      </w:r>
      <w:r>
        <w:rPr>
          <w:rFonts w:ascii="Consolas" w:hAnsi="Consolas"/>
          <w:sz w:val="18"/>
        </w:rPr>
        <w:t>VISIToRN/README.md</w:t>
      </w:r>
      <w:r>
        <w:t xml:space="preserve"> and the source files when using or redistributing this implementation.</w:t>
      </w:r>
    </w:p>
    <w:sectPr w:rsidR="00FC693F" w:rsidRPr="0006063C" w:rsidSect="00034616">
      <w:footerReference w:type="default" r:id="rId9"/>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NflowModel and VISIToRN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Reproducing the GMD nitrogen flow study</dc:title>
  <dc:subject>Inputs, execution and verification for the GMD study</dc:subject>
  <dc:creator>Yuto Osugi</dc:creator>
  <cp:keywords/>
  <dc:description>generated by python-docx</dc:description>
  <cp:lastModifiedBy/>
  <cp:revision>1</cp:revision>
  <dcterms:created xsi:type="dcterms:W3CDTF">2013-12-23T23:15:00Z</dcterms:created>
  <dcterms:modified xsi:type="dcterms:W3CDTF">2013-12-23T23:15:00Z</dcterms:modified>
  <cp:category/>
</cp:coreProperties>
</file>