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br/>
        <w:t>AUTOMOTIVE TECHNICAL DOCUMENTATION</w:t>
        <w:br/>
      </w:r>
      <w:r>
        <w:rPr>
          <w:b/>
          <w:sz w:val="50"/>
        </w:rPr>
        <w:t>Robotic Resistance Spot Welding</w:t>
        <w:br/>
        <w:t>for Body-in-White (BIW) Manufacturing</w:t>
      </w:r>
    </w:p>
    <w:p>
      <w:pPr>
        <w:jc w:val="center"/>
      </w:pPr>
      <w:r>
        <w:rPr>
          <w:i/>
        </w:rPr>
        <w:br/>
        <w:t>Research Report and Technical Documentation Roadmap</w:t>
      </w:r>
    </w:p>
    <w:p>
      <w:r>
        <w:br/>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835"/>
            <w:vAlign w:val="center"/>
            <w:shd w:fill="D9EAF7"/>
          </w:tcPr>
          <w:p>
            <w:pPr>
              <w:spacing w:after="40"/>
            </w:pPr>
            <w:r/>
            <w:r>
              <w:rPr>
                <w:rFonts w:ascii="Aptos" w:hAnsi="Aptos"/>
                <w:b/>
                <w:sz w:val="20"/>
              </w:rPr>
              <w:t>Item</w:t>
            </w:r>
          </w:p>
        </w:tc>
        <w:tc>
          <w:tcPr>
            <w:tcW w:type="dxa" w:w="6236"/>
            <w:vAlign w:val="center"/>
            <w:shd w:fill="D9EAF7"/>
          </w:tcPr>
          <w:p>
            <w:pPr>
              <w:spacing w:after="40"/>
            </w:pPr>
            <w:r/>
            <w:r>
              <w:rPr>
                <w:rFonts w:ascii="Aptos" w:hAnsi="Aptos"/>
                <w:b/>
                <w:sz w:val="20"/>
              </w:rPr>
              <w:t>Details</w:t>
            </w:r>
          </w:p>
        </w:tc>
      </w:tr>
      <w:tr>
        <w:tc>
          <w:tcPr>
            <w:tcW w:type="dxa" w:w="2835"/>
            <w:vAlign w:val="center"/>
          </w:tcPr>
          <w:p>
            <w:pPr>
              <w:spacing w:after="40"/>
            </w:pPr>
            <w:r/>
            <w:r>
              <w:rPr>
                <w:rFonts w:ascii="Aptos" w:hAnsi="Aptos"/>
                <w:b w:val="0"/>
                <w:sz w:val="20"/>
              </w:rPr>
              <w:t>Prepared by</w:t>
            </w:r>
          </w:p>
        </w:tc>
        <w:tc>
          <w:tcPr>
            <w:tcW w:type="dxa" w:w="6236"/>
            <w:vAlign w:val="center"/>
          </w:tcPr>
          <w:p>
            <w:pPr>
              <w:spacing w:after="40"/>
            </w:pPr>
            <w:r/>
            <w:r>
              <w:rPr>
                <w:rFonts w:ascii="Aptos" w:hAnsi="Aptos"/>
                <w:b w:val="0"/>
                <w:sz w:val="20"/>
              </w:rPr>
              <w:t>Kuganraj K</w:t>
            </w:r>
          </w:p>
        </w:tc>
      </w:tr>
      <w:tr>
        <w:tc>
          <w:tcPr>
            <w:tcW w:type="dxa" w:w="2835"/>
            <w:vAlign w:val="center"/>
          </w:tcPr>
          <w:p>
            <w:pPr>
              <w:spacing w:after="40"/>
            </w:pPr>
            <w:r/>
            <w:r>
              <w:rPr>
                <w:rFonts w:ascii="Aptos" w:hAnsi="Aptos"/>
                <w:b w:val="0"/>
                <w:sz w:val="20"/>
              </w:rPr>
              <w:t>Topic</w:t>
            </w:r>
          </w:p>
        </w:tc>
        <w:tc>
          <w:tcPr>
            <w:tcW w:type="dxa" w:w="6236"/>
            <w:vAlign w:val="center"/>
          </w:tcPr>
          <w:p>
            <w:pPr>
              <w:spacing w:after="40"/>
            </w:pPr>
            <w:r/>
            <w:r>
              <w:rPr>
                <w:rFonts w:ascii="Aptos" w:hAnsi="Aptos"/>
                <w:b w:val="0"/>
                <w:sz w:val="20"/>
              </w:rPr>
              <w:t>Robotic Resistance Spot Welding (RSW) in Automotive Body-in-White</w:t>
            </w:r>
          </w:p>
        </w:tc>
      </w:tr>
      <w:tr>
        <w:tc>
          <w:tcPr>
            <w:tcW w:type="dxa" w:w="2835"/>
            <w:vAlign w:val="center"/>
          </w:tcPr>
          <w:p>
            <w:pPr>
              <w:spacing w:after="40"/>
            </w:pPr>
            <w:r/>
            <w:r>
              <w:rPr>
                <w:rFonts w:ascii="Aptos" w:hAnsi="Aptos"/>
                <w:b w:val="0"/>
                <w:sz w:val="20"/>
              </w:rPr>
              <w:t>Document type</w:t>
            </w:r>
          </w:p>
        </w:tc>
        <w:tc>
          <w:tcPr>
            <w:tcW w:type="dxa" w:w="6236"/>
            <w:vAlign w:val="center"/>
          </w:tcPr>
          <w:p>
            <w:pPr>
              <w:spacing w:after="40"/>
            </w:pPr>
            <w:r/>
            <w:r>
              <w:rPr>
                <w:rFonts w:ascii="Aptos" w:hAnsi="Aptos"/>
                <w:b w:val="0"/>
                <w:sz w:val="20"/>
              </w:rPr>
              <w:t>Automotive Technical Research Report + Planning Strategy</w:t>
            </w:r>
          </w:p>
        </w:tc>
      </w:tr>
      <w:tr>
        <w:tc>
          <w:tcPr>
            <w:tcW w:type="dxa" w:w="2835"/>
            <w:vAlign w:val="center"/>
          </w:tcPr>
          <w:p>
            <w:pPr>
              <w:spacing w:after="40"/>
            </w:pPr>
            <w:r/>
            <w:r>
              <w:rPr>
                <w:rFonts w:ascii="Aptos" w:hAnsi="Aptos"/>
                <w:b w:val="0"/>
                <w:sz w:val="20"/>
              </w:rPr>
              <w:t>Research scope</w:t>
            </w:r>
          </w:p>
        </w:tc>
        <w:tc>
          <w:tcPr>
            <w:tcW w:type="dxa" w:w="6236"/>
            <w:vAlign w:val="center"/>
          </w:tcPr>
          <w:p>
            <w:pPr>
              <w:spacing w:after="40"/>
            </w:pPr>
            <w:r/>
            <w:r>
              <w:rPr>
                <w:rFonts w:ascii="Aptos" w:hAnsi="Aptos"/>
                <w:b w:val="0"/>
                <w:sz w:val="20"/>
              </w:rPr>
              <w:t>Technology, process, robot integration, quality, safety, standards, trends and future roadmap</w:t>
            </w:r>
          </w:p>
        </w:tc>
      </w:tr>
      <w:tr>
        <w:tc>
          <w:tcPr>
            <w:tcW w:type="dxa" w:w="2835"/>
            <w:vAlign w:val="center"/>
          </w:tcPr>
          <w:p>
            <w:pPr>
              <w:spacing w:after="40"/>
            </w:pPr>
            <w:r/>
            <w:r>
              <w:rPr>
                <w:rFonts w:ascii="Aptos" w:hAnsi="Aptos"/>
                <w:b w:val="0"/>
                <w:sz w:val="20"/>
              </w:rPr>
              <w:t>Planned effort</w:t>
            </w:r>
          </w:p>
        </w:tc>
        <w:tc>
          <w:tcPr>
            <w:tcW w:type="dxa" w:w="6236"/>
            <w:vAlign w:val="center"/>
          </w:tcPr>
          <w:p>
            <w:pPr>
              <w:spacing w:after="40"/>
            </w:pPr>
            <w:r/>
            <w:r>
              <w:rPr>
                <w:rFonts w:ascii="Aptos" w:hAnsi="Aptos"/>
                <w:b w:val="0"/>
                <w:sz w:val="20"/>
              </w:rPr>
              <w:t>30–35 hours</w:t>
            </w:r>
          </w:p>
        </w:tc>
      </w:tr>
      <w:tr>
        <w:tc>
          <w:tcPr>
            <w:tcW w:type="dxa" w:w="2835"/>
            <w:vAlign w:val="center"/>
          </w:tcPr>
          <w:p>
            <w:pPr>
              <w:spacing w:after="40"/>
            </w:pPr>
            <w:r/>
            <w:r>
              <w:rPr>
                <w:rFonts w:ascii="Aptos" w:hAnsi="Aptos"/>
                <w:b w:val="0"/>
                <w:sz w:val="20"/>
              </w:rPr>
              <w:t>Research cut-off</w:t>
            </w:r>
          </w:p>
        </w:tc>
        <w:tc>
          <w:tcPr>
            <w:tcW w:type="dxa" w:w="6236"/>
            <w:vAlign w:val="center"/>
          </w:tcPr>
          <w:p>
            <w:pPr>
              <w:spacing w:after="40"/>
            </w:pPr>
            <w:r/>
            <w:r>
              <w:rPr>
                <w:rFonts w:ascii="Aptos" w:hAnsi="Aptos"/>
                <w:b w:val="0"/>
                <w:sz w:val="20"/>
              </w:rPr>
              <w:t>8 October 2026</w:t>
            </w:r>
          </w:p>
        </w:tc>
      </w:tr>
    </w:tbl>
    <w:p/>
    <w:p>
      <w:pPr>
        <w:jc w:val="center"/>
      </w:pPr>
      <w:r>
        <w:rPr>
          <w:b/>
        </w:rPr>
        <w:br/>
        <w:t>Prepared for technical documentation coursework</w:t>
      </w:r>
      <w:r>
        <w:br/>
        <w:t>Publicly available sources were reviewed; proprietary OEM information is not used.</w:t>
      </w:r>
    </w:p>
    <w:p>
      <w:r>
        <w:br w:type="page"/>
      </w:r>
    </w:p>
    <w:p>
      <w:pPr>
        <w:pStyle w:val="Heading1"/>
      </w:pPr>
      <w:r>
        <w:t>Document Control and Submission Checklist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835"/>
            <w:vAlign w:val="center"/>
            <w:shd w:fill="D9EAF7"/>
          </w:tcPr>
          <w:p>
            <w:pPr>
              <w:spacing w:after="40"/>
            </w:pPr>
            <w:r/>
            <w:r>
              <w:rPr>
                <w:rFonts w:ascii="Aptos" w:hAnsi="Aptos"/>
                <w:b/>
                <w:sz w:val="18"/>
              </w:rPr>
              <w:t>Requirement</w:t>
            </w:r>
          </w:p>
        </w:tc>
        <w:tc>
          <w:tcPr>
            <w:tcW w:type="dxa" w:w="5102"/>
            <w:vAlign w:val="center"/>
            <w:shd w:fill="D9EAF7"/>
          </w:tcPr>
          <w:p>
            <w:pPr>
              <w:spacing w:after="40"/>
            </w:pPr>
            <w:r/>
            <w:r>
              <w:rPr>
                <w:rFonts w:ascii="Aptos" w:hAnsi="Aptos"/>
                <w:b/>
                <w:sz w:val="18"/>
              </w:rPr>
              <w:t>How this report addresses it</w:t>
            </w:r>
          </w:p>
        </w:tc>
        <w:tc>
          <w:tcPr>
            <w:tcW w:type="dxa" w:w="1134"/>
            <w:vAlign w:val="center"/>
            <w:shd w:fill="D9EAF7"/>
          </w:tcPr>
          <w:p>
            <w:pPr>
              <w:spacing w:after="40"/>
            </w:pPr>
            <w:r/>
            <w:r>
              <w:rPr>
                <w:rFonts w:ascii="Aptos" w:hAnsi="Aptos"/>
                <w:b/>
                <w:sz w:val="18"/>
              </w:rPr>
              <w:t>Status</w:t>
            </w:r>
          </w:p>
        </w:tc>
      </w:tr>
      <w:tr>
        <w:tc>
          <w:tcPr>
            <w:tcW w:type="dxa" w:w="2835"/>
            <w:vAlign w:val="center"/>
          </w:tcPr>
          <w:p>
            <w:pPr>
              <w:spacing w:after="40"/>
            </w:pPr>
            <w:r/>
            <w:r>
              <w:rPr>
                <w:rFonts w:ascii="Aptos" w:hAnsi="Aptos"/>
                <w:b w:val="0"/>
                <w:sz w:val="18"/>
              </w:rPr>
              <w:t>Specific automotive technology</w:t>
            </w:r>
          </w:p>
        </w:tc>
        <w:tc>
          <w:tcPr>
            <w:tcW w:type="dxa" w:w="5102"/>
            <w:vAlign w:val="center"/>
          </w:tcPr>
          <w:p>
            <w:pPr>
              <w:spacing w:after="40"/>
            </w:pPr>
            <w:r/>
            <w:r>
              <w:rPr>
                <w:rFonts w:ascii="Aptos" w:hAnsi="Aptos"/>
                <w:b w:val="0"/>
                <w:sz w:val="18"/>
              </w:rPr>
              <w:t>Robotic resistance spot welding for BIW assembly</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Research report</w:t>
            </w:r>
          </w:p>
        </w:tc>
        <w:tc>
          <w:tcPr>
            <w:tcW w:type="dxa" w:w="5102"/>
            <w:vAlign w:val="center"/>
          </w:tcPr>
          <w:p>
            <w:pPr>
              <w:spacing w:after="40"/>
            </w:pPr>
            <w:r/>
            <w:r>
              <w:rPr>
                <w:rFonts w:ascii="Aptos" w:hAnsi="Aptos"/>
                <w:b w:val="0"/>
                <w:sz w:val="18"/>
              </w:rPr>
              <w:t>Technology fundamentals, process, equipment, quality, safety and applications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Literature review</w:t>
            </w:r>
          </w:p>
        </w:tc>
        <w:tc>
          <w:tcPr>
            <w:tcW w:type="dxa" w:w="5102"/>
            <w:vAlign w:val="center"/>
          </w:tcPr>
          <w:p>
            <w:pPr>
              <w:spacing w:after="40"/>
            </w:pPr>
            <w:r/>
            <w:r>
              <w:rPr>
                <w:rFonts w:ascii="Aptos" w:hAnsi="Aptos"/>
                <w:b w:val="0"/>
                <w:sz w:val="18"/>
              </w:rPr>
              <w:t>Peer-reviewed research plus standards bodies and industry sources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Current trends</w:t>
            </w:r>
          </w:p>
        </w:tc>
        <w:tc>
          <w:tcPr>
            <w:tcW w:type="dxa" w:w="5102"/>
            <w:vAlign w:val="center"/>
          </w:tcPr>
          <w:p>
            <w:pPr>
              <w:spacing w:after="40"/>
            </w:pPr>
            <w:r/>
            <w:r>
              <w:rPr>
                <w:rFonts w:ascii="Aptos" w:hAnsi="Aptos"/>
                <w:b w:val="0"/>
                <w:sz w:val="18"/>
              </w:rPr>
              <w:t>AI/ML quality prediction, digital twins, online monitoring, flexible multi-robot cells and aluminum RSW</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Technical specifications</w:t>
            </w:r>
          </w:p>
        </w:tc>
        <w:tc>
          <w:tcPr>
            <w:tcW w:type="dxa" w:w="5102"/>
            <w:vAlign w:val="center"/>
          </w:tcPr>
          <w:p>
            <w:pPr>
              <w:spacing w:after="40"/>
            </w:pPr>
            <w:r/>
            <w:r>
              <w:rPr>
                <w:rFonts w:ascii="Aptos" w:hAnsi="Aptos"/>
                <w:b w:val="0"/>
                <w:sz w:val="18"/>
              </w:rPr>
              <w:t>Key process variables, robot/cell elements, quality indicators and measurement considerations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Industry standards</w:t>
            </w:r>
          </w:p>
        </w:tc>
        <w:tc>
          <w:tcPr>
            <w:tcW w:type="dxa" w:w="5102"/>
            <w:vAlign w:val="center"/>
          </w:tcPr>
          <w:p>
            <w:pPr>
              <w:spacing w:after="40"/>
            </w:pPr>
            <w:r/>
            <w:r>
              <w:rPr>
                <w:rFonts w:ascii="Aptos" w:hAnsi="Aptos"/>
                <w:b w:val="0"/>
                <w:sz w:val="18"/>
              </w:rPr>
              <w:t>ISO 10218, ISO 14373, ISO 17657, ISO 9283 and AWS D8 documents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Structured roadmap</w:t>
            </w:r>
          </w:p>
        </w:tc>
        <w:tc>
          <w:tcPr>
            <w:tcW w:type="dxa" w:w="5102"/>
            <w:vAlign w:val="center"/>
          </w:tcPr>
          <w:p>
            <w:pPr>
              <w:spacing w:after="40"/>
            </w:pPr>
            <w:r/>
            <w:r>
              <w:rPr>
                <w:rFonts w:ascii="Aptos" w:hAnsi="Aptos"/>
                <w:b w:val="0"/>
                <w:sz w:val="18"/>
              </w:rPr>
              <w:t>Final document architecture, writing sequence, review gates and deliverables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Timeline</w:t>
            </w:r>
          </w:p>
        </w:tc>
        <w:tc>
          <w:tcPr>
            <w:tcW w:type="dxa" w:w="5102"/>
            <w:vAlign w:val="center"/>
          </w:tcPr>
          <w:p>
            <w:pPr>
              <w:spacing w:after="40"/>
            </w:pPr>
            <w:r/>
            <w:r>
              <w:rPr>
                <w:rFonts w:ascii="Aptos" w:hAnsi="Aptos"/>
                <w:b w:val="0"/>
                <w:sz w:val="18"/>
              </w:rPr>
              <w:t>30–35 hour plan with milestones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Citations</w:t>
            </w:r>
          </w:p>
        </w:tc>
        <w:tc>
          <w:tcPr>
            <w:tcW w:type="dxa" w:w="5102"/>
            <w:vAlign w:val="center"/>
          </w:tcPr>
          <w:p>
            <w:pPr>
              <w:spacing w:after="40"/>
            </w:pPr>
            <w:r/>
            <w:r>
              <w:rPr>
                <w:rFonts w:ascii="Aptos" w:hAnsi="Aptos"/>
                <w:b w:val="0"/>
                <w:sz w:val="18"/>
              </w:rPr>
              <w:t>Numbered in-text citations and source list with links</w:t>
            </w:r>
          </w:p>
        </w:tc>
        <w:tc>
          <w:tcPr>
            <w:tcW w:type="dxa" w:w="1134"/>
            <w:vAlign w:val="center"/>
          </w:tcPr>
          <w:p>
            <w:pPr>
              <w:spacing w:after="40"/>
            </w:pPr>
            <w:r/>
            <w:r>
              <w:rPr>
                <w:rFonts w:ascii="Aptos" w:hAnsi="Aptos"/>
                <w:b w:val="0"/>
                <w:sz w:val="18"/>
              </w:rPr>
              <w:t>Complete</w:t>
            </w:r>
          </w:p>
        </w:tc>
      </w:tr>
      <w:tr>
        <w:tc>
          <w:tcPr>
            <w:tcW w:type="dxa" w:w="2835"/>
            <w:vAlign w:val="center"/>
          </w:tcPr>
          <w:p>
            <w:pPr>
              <w:spacing w:after="40"/>
            </w:pPr>
            <w:r/>
            <w:r>
              <w:rPr>
                <w:rFonts w:ascii="Aptos" w:hAnsi="Aptos"/>
                <w:b w:val="0"/>
                <w:sz w:val="18"/>
              </w:rPr>
              <w:t>Professional formatting</w:t>
            </w:r>
          </w:p>
        </w:tc>
        <w:tc>
          <w:tcPr>
            <w:tcW w:type="dxa" w:w="5102"/>
            <w:vAlign w:val="center"/>
          </w:tcPr>
          <w:p>
            <w:pPr>
              <w:spacing w:after="40"/>
            </w:pPr>
            <w:r/>
            <w:r>
              <w:rPr>
                <w:rFonts w:ascii="Aptos" w:hAnsi="Aptos"/>
                <w:b w:val="0"/>
                <w:sz w:val="18"/>
              </w:rPr>
              <w:t>Cover, headings, tables, references, header/footer and consistent typography</w:t>
            </w:r>
          </w:p>
        </w:tc>
        <w:tc>
          <w:tcPr>
            <w:tcW w:type="dxa" w:w="1134"/>
            <w:vAlign w:val="center"/>
          </w:tcPr>
          <w:p>
            <w:pPr>
              <w:spacing w:after="40"/>
            </w:pPr>
            <w:r/>
            <w:r>
              <w:rPr>
                <w:rFonts w:ascii="Aptos" w:hAnsi="Aptos"/>
                <w:b w:val="0"/>
                <w:sz w:val="18"/>
              </w:rPr>
              <w:t>Complete</w:t>
            </w:r>
          </w:p>
        </w:tc>
      </w:tr>
    </w:tbl>
    <w:p/>
    <w:p>
      <w:pPr>
        <w:pStyle w:val="Heading1"/>
      </w:pPr>
      <w:r>
        <w:t>Table of Contents / Report Map</w:t>
      </w:r>
    </w:p>
    <w:p>
      <w:pPr>
        <w:pStyle w:val="ListBullet"/>
        <w:spacing w:after="60"/>
      </w:pPr>
      <w:r>
        <w:t>1. Executive Summary</w:t>
      </w:r>
    </w:p>
    <w:p>
      <w:pPr>
        <w:pStyle w:val="ListBullet"/>
        <w:spacing w:after="60"/>
      </w:pPr>
      <w:r>
        <w:t>2. Research Objective and Scope</w:t>
      </w:r>
    </w:p>
    <w:p>
      <w:pPr>
        <w:pStyle w:val="ListBullet"/>
        <w:spacing w:after="60"/>
      </w:pPr>
      <w:r>
        <w:t>3. Technology Background: Robotic Resistance Spot Welding</w:t>
      </w:r>
    </w:p>
    <w:p>
      <w:pPr>
        <w:pStyle w:val="ListBullet"/>
        <w:spacing w:after="60"/>
      </w:pPr>
      <w:r>
        <w:t>4. Technical Process and System Architecture</w:t>
      </w:r>
    </w:p>
    <w:p>
      <w:pPr>
        <w:pStyle w:val="ListBullet"/>
        <w:spacing w:after="60"/>
      </w:pPr>
      <w:r>
        <w:t>5. Technical Specifications and Key Process Variables</w:t>
      </w:r>
    </w:p>
    <w:p>
      <w:pPr>
        <w:pStyle w:val="ListBullet"/>
        <w:spacing w:after="60"/>
      </w:pPr>
      <w:r>
        <w:t>6. Literature Review and Research Findings</w:t>
      </w:r>
    </w:p>
    <w:p>
      <w:pPr>
        <w:pStyle w:val="ListBullet"/>
        <w:spacing w:after="60"/>
      </w:pPr>
      <w:r>
        <w:t>7. Current Industry Trends</w:t>
      </w:r>
    </w:p>
    <w:p>
      <w:pPr>
        <w:pStyle w:val="ListBullet"/>
        <w:spacing w:after="60"/>
      </w:pPr>
      <w:r>
        <w:t>8. Quality Assurance, Inspection and Data Analytics</w:t>
      </w:r>
    </w:p>
    <w:p>
      <w:pPr>
        <w:pStyle w:val="ListBullet"/>
        <w:spacing w:after="60"/>
      </w:pPr>
      <w:r>
        <w:t>9. Safety and Industry Standards</w:t>
      </w:r>
    </w:p>
    <w:p>
      <w:pPr>
        <w:pStyle w:val="ListBullet"/>
        <w:spacing w:after="60"/>
      </w:pPr>
      <w:r>
        <w:t>10. Benefits, Limitations and Implementation Considerations</w:t>
      </w:r>
    </w:p>
    <w:p>
      <w:pPr>
        <w:pStyle w:val="ListBullet"/>
        <w:spacing w:after="60"/>
      </w:pPr>
      <w:r>
        <w:t>11. Proposed Technical Document Structure</w:t>
      </w:r>
    </w:p>
    <w:p>
      <w:pPr>
        <w:pStyle w:val="ListBullet"/>
        <w:spacing w:after="60"/>
      </w:pPr>
      <w:r>
        <w:t>12. Documentation Roadmap and Writing Strategy</w:t>
      </w:r>
    </w:p>
    <w:p>
      <w:pPr>
        <w:pStyle w:val="ListBullet"/>
        <w:spacing w:after="60"/>
      </w:pPr>
      <w:r>
        <w:t>13. 30–35 Hour Timeline and Milestones</w:t>
      </w:r>
    </w:p>
    <w:p>
      <w:pPr>
        <w:pStyle w:val="ListBullet"/>
        <w:spacing w:after="60"/>
      </w:pPr>
      <w:r>
        <w:t>14. Conclusion</w:t>
      </w:r>
    </w:p>
    <w:p>
      <w:pPr>
        <w:pStyle w:val="ListBullet"/>
        <w:spacing w:after="60"/>
      </w:pPr>
      <w:r>
        <w:t>15. References</w:t>
      </w:r>
    </w:p>
    <w:p>
      <w:pPr>
        <w:pStyle w:val="Heading1"/>
      </w:pPr>
      <w:r>
        <w:t>1. Executive Summary</w:t>
      </w:r>
    </w:p>
    <w:p>
      <w:pPr>
        <w:pStyle w:val="ExecutiveSummary"/>
      </w:pPr>
      <w:r>
        <w:t xml:space="preserve">Robotic resistance spot welding (RSW) is a foundational joining technology in automotive Body-in-White (BIW) manufacturing. </w:t>
      </w:r>
      <w:r>
        <w:t xml:space="preserve">The process combines electrical resistance heating, electrode force, controlled weld time, fixtures and industrial robots to create repeatable spot welds at production scale. </w:t>
      </w:r>
      <w:r>
        <w:t>Research shows that RSW remains highly relevant because it is fast, automatable and well suited to high-volume sheet-metal assembly, while current development is moving toward flexible multi-robot cells, digital process planning, online sensing, machine learning and digital twins. [1][2][3][4]</w:t>
      </w:r>
    </w:p>
    <w:p>
      <w:pPr>
        <w:pStyle w:val="ExecutiveSummary"/>
      </w:pPr>
      <w:r>
        <w:t xml:space="preserve">This report therefore proposes a technical-documentation project focused on </w:t>
      </w:r>
      <w:r>
        <w:rPr>
          <w:b/>
        </w:rPr>
        <w:t>“Robotic Resistance Spot Welding for Automotive BIW: Process, Robot Programming, Quality, Safety and Intelligent Manufacturing.”</w:t>
      </w:r>
      <w:r>
        <w:t xml:space="preserve"> The final technical document should explain the process from fundamentals through production implementation, while separating established engineering practice from emerging research.</w:t>
      </w:r>
    </w:p>
    <w:p>
      <w:pPr>
        <w:pStyle w:val="ExecutiveSummary"/>
      </w:pPr>
      <w:r>
        <w:t>The standards review identifies ISO 14373:2024 as a current international procedure for resistance spot welding of specified low-carbon steels, ISO 17657-1:2005 as a current reference for welding-current measurement, and ISO 10218-1:2025 / ISO 10218-2:2025 as the current robot safety framework for industrial robots and robot applications/cells. AWS D8.1M:2021 provides automotive weld-quality criteria for resistance spot welding of steel, AWS D8.2M:2026 addresses aluminum, and AWS D8.9M:2022 provides test methods for automotive sheet-steel weldability. [5][6][7][8][9][10]</w:t>
      </w:r>
    </w:p>
    <w:p>
      <w:pPr>
        <w:pStyle w:val="ExecutiveSummary"/>
      </w:pPr>
      <w:r>
        <w:t>A 30–35 hour documentation plan is proposed. The work is divided into research, technical analysis, outline development, drafting, standards verification, editing, citation checking and final quality assurance. The roadmap is designed to produce a technically credible document suitable for engineering learning, manufacturing documentation and future expansion into a detailed standard operating or process-engineering guide.</w:t>
      </w:r>
    </w:p>
    <w:p>
      <w:pPr>
        <w:pStyle w:val="Heading1"/>
      </w:pPr>
      <w:r>
        <w:t>2. Research Objective and Scope</w:t>
      </w:r>
    </w:p>
    <w:p>
      <w:pPr>
        <w:pStyle w:val="Heading2"/>
      </w:pPr>
      <w:r>
        <w:t>2.1 Objective</w:t>
      </w:r>
    </w:p>
    <w:p>
      <w:r>
        <w:t>The objective is to research robotic resistance spot welding in automotive BIW manufacturing and create a defensible plan for a comprehensive technical document. The work must explain what the technology is, why it is used, how a robotic welding cell operates, how weld quality is controlled, which standards govern relevant aspects, and how emerging digital technologies are changing the process.</w:t>
      </w:r>
    </w:p>
    <w:p>
      <w:pPr>
        <w:pStyle w:val="Heading2"/>
      </w:pPr>
      <w:r>
        <w:t>2.2 Research Questions</w:t>
      </w:r>
    </w:p>
    <w:p>
      <w:pPr>
        <w:pStyle w:val="ListBullet"/>
        <w:spacing w:after="60"/>
      </w:pPr>
      <w:r>
        <w:t>How does resistance spot welding create a joint between automotive sheet-metal components?</w:t>
      </w:r>
    </w:p>
    <w:p>
      <w:pPr>
        <w:pStyle w:val="ListBullet"/>
        <w:spacing w:after="60"/>
      </w:pPr>
      <w:r>
        <w:t>What roles do current, electrode force, weld time, material, coating, electrode condition and cooling play in weld quality?</w:t>
      </w:r>
    </w:p>
    <w:p>
      <w:pPr>
        <w:pStyle w:val="ListBullet"/>
        <w:spacing w:after="60"/>
      </w:pPr>
      <w:r>
        <w:t>How are industrial robots, servo welding guns, fixtures and controllers integrated into a BIW welding cell?</w:t>
      </w:r>
    </w:p>
    <w:p>
      <w:pPr>
        <w:pStyle w:val="ListBullet"/>
        <w:spacing w:after="60"/>
      </w:pPr>
      <w:r>
        <w:t>Which quality indicators and inspection methods are used to verify spot weld performance?</w:t>
      </w:r>
    </w:p>
    <w:p>
      <w:pPr>
        <w:pStyle w:val="ListBullet"/>
        <w:spacing w:after="60"/>
      </w:pPr>
      <w:r>
        <w:t>Which ISO and AWS standards are relevant to welding procedures, quality, current measurement, robot safety and robot performance?</w:t>
      </w:r>
    </w:p>
    <w:p>
      <w:pPr>
        <w:pStyle w:val="ListBullet"/>
        <w:spacing w:after="60"/>
      </w:pPr>
      <w:r>
        <w:t>What are the most important current trends in digitalization, AI/ML, online monitoring and digital twins?</w:t>
      </w:r>
    </w:p>
    <w:p>
      <w:pPr>
        <w:pStyle w:val="ListBullet"/>
        <w:spacing w:after="60"/>
      </w:pPr>
      <w:r>
        <w:t>How should the final technical document be structured so that a technician, engineer or learner can follow it logically?</w:t>
      </w:r>
    </w:p>
    <w:p>
      <w:pPr>
        <w:pStyle w:val="Heading2"/>
      </w:pPr>
      <w:r>
        <w:t>2.3 Scope and Boundaries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5102"/>
            <w:vAlign w:val="center"/>
            <w:shd w:fill="D9EAF7"/>
          </w:tcPr>
          <w:p>
            <w:pPr>
              <w:spacing w:after="40"/>
            </w:pPr>
            <w:r/>
            <w:r>
              <w:rPr>
                <w:rFonts w:ascii="Aptos" w:hAnsi="Aptos"/>
                <w:b/>
                <w:sz w:val="18"/>
              </w:rPr>
              <w:t>Included</w:t>
            </w:r>
          </w:p>
        </w:tc>
        <w:tc>
          <w:tcPr>
            <w:tcW w:type="dxa" w:w="5102"/>
            <w:vAlign w:val="center"/>
            <w:shd w:fill="D9EAF7"/>
          </w:tcPr>
          <w:p>
            <w:pPr>
              <w:spacing w:after="40"/>
            </w:pPr>
            <w:r/>
            <w:r>
              <w:rPr>
                <w:rFonts w:ascii="Aptos" w:hAnsi="Aptos"/>
                <w:b/>
                <w:sz w:val="18"/>
              </w:rPr>
              <w:t>Outside primary scope</w:t>
            </w:r>
          </w:p>
        </w:tc>
      </w:tr>
      <w:tr>
        <w:tc>
          <w:tcPr>
            <w:tcW w:type="dxa" w:w="5102"/>
            <w:vAlign w:val="center"/>
          </w:tcPr>
          <w:p>
            <w:pPr>
              <w:spacing w:after="40"/>
            </w:pPr>
            <w:r/>
            <w:r>
              <w:rPr>
                <w:rFonts w:ascii="Aptos" w:hAnsi="Aptos"/>
                <w:b w:val="0"/>
                <w:sz w:val="18"/>
              </w:rPr>
              <w:t>Automotive BIW resistance spot welding</w:t>
            </w:r>
          </w:p>
        </w:tc>
        <w:tc>
          <w:tcPr>
            <w:tcW w:type="dxa" w:w="5102"/>
            <w:vAlign w:val="center"/>
          </w:tcPr>
          <w:p>
            <w:pPr>
              <w:spacing w:after="40"/>
            </w:pPr>
            <w:r/>
            <w:r>
              <w:rPr>
                <w:rFonts w:ascii="Aptos" w:hAnsi="Aptos"/>
                <w:b w:val="0"/>
                <w:sz w:val="18"/>
              </w:rPr>
              <w:t>Complete vehicle welding beyond BIW</w:t>
            </w:r>
          </w:p>
        </w:tc>
      </w:tr>
      <w:tr>
        <w:tc>
          <w:tcPr>
            <w:tcW w:type="dxa" w:w="5102"/>
            <w:vAlign w:val="center"/>
          </w:tcPr>
          <w:p>
            <w:pPr>
              <w:spacing w:after="40"/>
            </w:pPr>
            <w:r/>
            <w:r>
              <w:rPr>
                <w:rFonts w:ascii="Aptos" w:hAnsi="Aptos"/>
                <w:b w:val="0"/>
                <w:sz w:val="18"/>
              </w:rPr>
              <w:t>Industrial robot integration and cell architecture</w:t>
            </w:r>
          </w:p>
        </w:tc>
        <w:tc>
          <w:tcPr>
            <w:tcW w:type="dxa" w:w="5102"/>
            <w:vAlign w:val="center"/>
          </w:tcPr>
          <w:p>
            <w:pPr>
              <w:spacing w:after="40"/>
            </w:pPr>
            <w:r/>
            <w:r>
              <w:rPr>
                <w:rFonts w:ascii="Aptos" w:hAnsi="Aptos"/>
                <w:b w:val="0"/>
                <w:sz w:val="18"/>
              </w:rPr>
              <w:t>Consumer/service robotics</w:t>
            </w:r>
          </w:p>
        </w:tc>
      </w:tr>
      <w:tr>
        <w:tc>
          <w:tcPr>
            <w:tcW w:type="dxa" w:w="5102"/>
            <w:vAlign w:val="center"/>
          </w:tcPr>
          <w:p>
            <w:pPr>
              <w:spacing w:after="40"/>
            </w:pPr>
            <w:r/>
            <w:r>
              <w:rPr>
                <w:rFonts w:ascii="Aptos" w:hAnsi="Aptos"/>
                <w:b w:val="0"/>
                <w:sz w:val="18"/>
              </w:rPr>
              <w:t>Steel and emerging aluminum RSW considerations</w:t>
            </w:r>
          </w:p>
        </w:tc>
        <w:tc>
          <w:tcPr>
            <w:tcW w:type="dxa" w:w="5102"/>
            <w:vAlign w:val="center"/>
          </w:tcPr>
          <w:p>
            <w:pPr>
              <w:spacing w:after="40"/>
            </w:pPr>
            <w:r/>
            <w:r>
              <w:rPr>
                <w:rFonts w:ascii="Aptos" w:hAnsi="Aptos"/>
                <w:b w:val="0"/>
                <w:sz w:val="18"/>
              </w:rPr>
              <w:t>Detailed metallurgy of every automotive alloy</w:t>
            </w:r>
          </w:p>
        </w:tc>
      </w:tr>
      <w:tr>
        <w:tc>
          <w:tcPr>
            <w:tcW w:type="dxa" w:w="5102"/>
            <w:vAlign w:val="center"/>
          </w:tcPr>
          <w:p>
            <w:pPr>
              <w:spacing w:after="40"/>
            </w:pPr>
            <w:r/>
            <w:r>
              <w:rPr>
                <w:rFonts w:ascii="Aptos" w:hAnsi="Aptos"/>
                <w:b w:val="0"/>
                <w:sz w:val="18"/>
              </w:rPr>
              <w:t>Process variables, quality, inspection and maintenance</w:t>
            </w:r>
          </w:p>
        </w:tc>
        <w:tc>
          <w:tcPr>
            <w:tcW w:type="dxa" w:w="5102"/>
            <w:vAlign w:val="center"/>
          </w:tcPr>
          <w:p>
            <w:pPr>
              <w:spacing w:after="40"/>
            </w:pPr>
            <w:r/>
            <w:r>
              <w:rPr>
                <w:rFonts w:ascii="Aptos" w:hAnsi="Aptos"/>
                <w:b w:val="0"/>
                <w:sz w:val="18"/>
              </w:rPr>
              <w:t>Proprietary OEM welding schedules</w:t>
            </w:r>
          </w:p>
        </w:tc>
      </w:tr>
      <w:tr>
        <w:tc>
          <w:tcPr>
            <w:tcW w:type="dxa" w:w="5102"/>
            <w:vAlign w:val="center"/>
          </w:tcPr>
          <w:p>
            <w:pPr>
              <w:spacing w:after="40"/>
            </w:pPr>
            <w:r/>
            <w:r>
              <w:rPr>
                <w:rFonts w:ascii="Aptos" w:hAnsi="Aptos"/>
                <w:b w:val="0"/>
                <w:sz w:val="18"/>
              </w:rPr>
              <w:t>Safety and relevant public standards</w:t>
            </w:r>
          </w:p>
        </w:tc>
        <w:tc>
          <w:tcPr>
            <w:tcW w:type="dxa" w:w="5102"/>
            <w:vAlign w:val="center"/>
          </w:tcPr>
          <w:p>
            <w:pPr>
              <w:spacing w:after="40"/>
            </w:pPr>
            <w:r/>
            <w:r>
              <w:rPr>
                <w:rFonts w:ascii="Aptos" w:hAnsi="Aptos"/>
                <w:b w:val="0"/>
                <w:sz w:val="18"/>
              </w:rPr>
              <w:t>Legal certification advice for a specific plant</w:t>
            </w:r>
          </w:p>
        </w:tc>
      </w:tr>
      <w:tr>
        <w:tc>
          <w:tcPr>
            <w:tcW w:type="dxa" w:w="5102"/>
            <w:vAlign w:val="center"/>
          </w:tcPr>
          <w:p>
            <w:pPr>
              <w:spacing w:after="40"/>
            </w:pPr>
            <w:r/>
            <w:r>
              <w:rPr>
                <w:rFonts w:ascii="Aptos" w:hAnsi="Aptos"/>
                <w:b w:val="0"/>
                <w:sz w:val="18"/>
              </w:rPr>
              <w:t>Digitalization, AI/ML and digital twins</w:t>
            </w:r>
          </w:p>
        </w:tc>
        <w:tc>
          <w:tcPr>
            <w:tcW w:type="dxa" w:w="5102"/>
            <w:vAlign w:val="center"/>
          </w:tcPr>
          <w:p>
            <w:pPr>
              <w:spacing w:after="40"/>
            </w:pPr>
            <w:r/>
            <w:r>
              <w:rPr>
                <w:rFonts w:ascii="Aptos" w:hAnsi="Aptos"/>
                <w:b w:val="0"/>
                <w:sz w:val="18"/>
              </w:rPr>
              <w:t>Production deployment of an unvalidated AI model</w:t>
            </w:r>
          </w:p>
        </w:tc>
      </w:tr>
    </w:tbl>
    <w:p/>
    <w:p>
      <w:pPr>
        <w:pStyle w:val="Heading1"/>
      </w:pPr>
      <w:r>
        <w:t>3. Technology Background: Robotic Resistance Spot Welding</w:t>
      </w:r>
    </w:p>
    <w:p>
      <w:pPr>
        <w:pStyle w:val="Heading2"/>
      </w:pPr>
      <w:r>
        <w:t>3.1 What is RSW?</w:t>
      </w:r>
    </w:p>
    <w:p>
      <w:r>
        <w:t>Resistance spot welding joins overlapping sheets by passing electrical current through the contact region while electrodes apply mechanical force. The electrical resistance at the joint generates heat; under controlled force and time, a weld nugget forms between the sheets. After current stops, the electrodes remain in contact for a hold period to allow the joint to solidify under pressure. The process is especially attractive for BIW because thousands of repeatable joints can be produced without adding filler metal.</w:t>
      </w:r>
    </w:p>
    <w:p>
      <w:pPr>
        <w:pStyle w:val="Heading2"/>
      </w:pPr>
      <w:r>
        <w:t>3.2 Why Automotive BIW Uses RSW</w:t>
      </w:r>
    </w:p>
    <w:p>
      <w:pPr>
        <w:pStyle w:val="ListBullet"/>
        <w:spacing w:after="60"/>
      </w:pPr>
      <w:r>
        <w:t>High production rate: short weld cycles support high-volume assembly.</w:t>
      </w:r>
    </w:p>
    <w:p>
      <w:pPr>
        <w:pStyle w:val="ListBullet"/>
        <w:spacing w:after="60"/>
      </w:pPr>
      <w:r>
        <w:t>Automation suitability: robots can repeatedly position welding guns at programmed weld locations.</w:t>
      </w:r>
    </w:p>
    <w:p>
      <w:pPr>
        <w:pStyle w:val="ListBullet"/>
        <w:spacing w:after="60"/>
      </w:pPr>
      <w:r>
        <w:t>Process repeatability: controlled current, force and time can produce consistent joints when equipment and materials are controlled.</w:t>
      </w:r>
    </w:p>
    <w:p>
      <w:pPr>
        <w:pStyle w:val="ListBullet"/>
        <w:spacing w:after="60"/>
      </w:pPr>
      <w:r>
        <w:t>Packaging flexibility: spot welds can join overlapping sheet components without requiring access to the full perimeter.</w:t>
      </w:r>
    </w:p>
    <w:p>
      <w:pPr>
        <w:pStyle w:val="ListBullet"/>
        <w:spacing w:after="60"/>
      </w:pPr>
      <w:r>
        <w:t>Compatibility with fixtures and line automation: robots, clamps, conveyors and body fixtures can be coordinated as one production system.</w:t>
      </w:r>
    </w:p>
    <w:p>
      <w:r>
        <w:t>Published research describes RSW as a dominant joining process in BIW and notes that automotive bodies can contain thousands of spot welds. The exact number varies by vehicle architecture, material mix and OEM design, so a fixed weld-count figure should not be treated as universal. [2][11]</w:t>
      </w:r>
    </w:p>
    <w:p>
      <w:pPr>
        <w:pStyle w:val="Heading2"/>
      </w:pPr>
      <w:r>
        <w:t>3.3 Typical Robotic Cell Elements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701"/>
            <w:vAlign w:val="center"/>
            <w:shd w:fill="D9EAF7"/>
          </w:tcPr>
          <w:p>
            <w:pPr>
              <w:spacing w:after="40"/>
            </w:pPr>
            <w:r/>
            <w:r>
              <w:rPr>
                <w:rFonts w:ascii="Aptos" w:hAnsi="Aptos"/>
                <w:b/>
                <w:sz w:val="17"/>
              </w:rPr>
              <w:t>Subsystem</w:t>
            </w:r>
          </w:p>
        </w:tc>
        <w:tc>
          <w:tcPr>
            <w:tcW w:type="dxa" w:w="3969"/>
            <w:vAlign w:val="center"/>
            <w:shd w:fill="D9EAF7"/>
          </w:tcPr>
          <w:p>
            <w:pPr>
              <w:spacing w:after="40"/>
            </w:pPr>
            <w:r/>
            <w:r>
              <w:rPr>
                <w:rFonts w:ascii="Aptos" w:hAnsi="Aptos"/>
                <w:b/>
                <w:sz w:val="17"/>
              </w:rPr>
              <w:t>Function</w:t>
            </w:r>
          </w:p>
        </w:tc>
        <w:tc>
          <w:tcPr>
            <w:tcW w:type="dxa" w:w="3969"/>
            <w:vAlign w:val="center"/>
            <w:shd w:fill="D9EAF7"/>
          </w:tcPr>
          <w:p>
            <w:pPr>
              <w:spacing w:after="40"/>
            </w:pPr>
            <w:r/>
            <w:r>
              <w:rPr>
                <w:rFonts w:ascii="Aptos" w:hAnsi="Aptos"/>
                <w:b/>
                <w:sz w:val="17"/>
              </w:rPr>
              <w:t>Documentation focus</w:t>
            </w:r>
          </w:p>
        </w:tc>
      </w:tr>
      <w:tr>
        <w:tc>
          <w:tcPr>
            <w:tcW w:type="dxa" w:w="1701"/>
            <w:vAlign w:val="center"/>
          </w:tcPr>
          <w:p>
            <w:pPr>
              <w:spacing w:after="40"/>
            </w:pPr>
            <w:r/>
            <w:r>
              <w:rPr>
                <w:rFonts w:ascii="Aptos" w:hAnsi="Aptos"/>
                <w:b w:val="0"/>
                <w:sz w:val="17"/>
              </w:rPr>
              <w:t>Industrial robot</w:t>
            </w:r>
          </w:p>
        </w:tc>
        <w:tc>
          <w:tcPr>
            <w:tcW w:type="dxa" w:w="3969"/>
            <w:vAlign w:val="center"/>
          </w:tcPr>
          <w:p>
            <w:pPr>
              <w:spacing w:after="40"/>
            </w:pPr>
            <w:r/>
            <w:r>
              <w:rPr>
                <w:rFonts w:ascii="Aptos" w:hAnsi="Aptos"/>
                <w:b w:val="0"/>
                <w:sz w:val="17"/>
              </w:rPr>
              <w:t>Moves welding gun/tool along programmed paths</w:t>
            </w:r>
          </w:p>
        </w:tc>
        <w:tc>
          <w:tcPr>
            <w:tcW w:type="dxa" w:w="3969"/>
            <w:vAlign w:val="center"/>
          </w:tcPr>
          <w:p>
            <w:pPr>
              <w:spacing w:after="40"/>
            </w:pPr>
            <w:r/>
            <w:r>
              <w:rPr>
                <w:rFonts w:ascii="Aptos" w:hAnsi="Aptos"/>
                <w:b w:val="0"/>
                <w:sz w:val="17"/>
              </w:rPr>
              <w:t>Axes, payload, reach, accuracy, frames, TCP</w:t>
            </w:r>
          </w:p>
        </w:tc>
      </w:tr>
      <w:tr>
        <w:tc>
          <w:tcPr>
            <w:tcW w:type="dxa" w:w="1701"/>
            <w:vAlign w:val="center"/>
          </w:tcPr>
          <w:p>
            <w:pPr>
              <w:spacing w:after="40"/>
            </w:pPr>
            <w:r/>
            <w:r>
              <w:rPr>
                <w:rFonts w:ascii="Aptos" w:hAnsi="Aptos"/>
                <w:b w:val="0"/>
                <w:sz w:val="17"/>
              </w:rPr>
              <w:t>Welding gun</w:t>
            </w:r>
          </w:p>
        </w:tc>
        <w:tc>
          <w:tcPr>
            <w:tcW w:type="dxa" w:w="3969"/>
            <w:vAlign w:val="center"/>
          </w:tcPr>
          <w:p>
            <w:pPr>
              <w:spacing w:after="40"/>
            </w:pPr>
            <w:r/>
            <w:r>
              <w:rPr>
                <w:rFonts w:ascii="Aptos" w:hAnsi="Aptos"/>
                <w:b w:val="0"/>
                <w:sz w:val="17"/>
              </w:rPr>
              <w:t>Applies electrode force and conducts current</w:t>
            </w:r>
          </w:p>
        </w:tc>
        <w:tc>
          <w:tcPr>
            <w:tcW w:type="dxa" w:w="3969"/>
            <w:vAlign w:val="center"/>
          </w:tcPr>
          <w:p>
            <w:pPr>
              <w:spacing w:after="40"/>
            </w:pPr>
            <w:r/>
            <w:r>
              <w:rPr>
                <w:rFonts w:ascii="Aptos" w:hAnsi="Aptos"/>
                <w:b w:val="0"/>
                <w:sz w:val="17"/>
              </w:rPr>
              <w:t>Gun type, stroke, force, electrode geometry</w:t>
            </w:r>
          </w:p>
        </w:tc>
      </w:tr>
      <w:tr>
        <w:tc>
          <w:tcPr>
            <w:tcW w:type="dxa" w:w="1701"/>
            <w:vAlign w:val="center"/>
          </w:tcPr>
          <w:p>
            <w:pPr>
              <w:spacing w:after="40"/>
            </w:pPr>
            <w:r/>
            <w:r>
              <w:rPr>
                <w:rFonts w:ascii="Aptos" w:hAnsi="Aptos"/>
                <w:b w:val="0"/>
                <w:sz w:val="17"/>
              </w:rPr>
              <w:t>Welding controller</w:t>
            </w:r>
          </w:p>
        </w:tc>
        <w:tc>
          <w:tcPr>
            <w:tcW w:type="dxa" w:w="3969"/>
            <w:vAlign w:val="center"/>
          </w:tcPr>
          <w:p>
            <w:pPr>
              <w:spacing w:after="40"/>
            </w:pPr>
            <w:r/>
            <w:r>
              <w:rPr>
                <w:rFonts w:ascii="Aptos" w:hAnsi="Aptos"/>
                <w:b w:val="0"/>
                <w:sz w:val="17"/>
              </w:rPr>
              <w:t>Controls current, time and weld sequence</w:t>
            </w:r>
          </w:p>
        </w:tc>
        <w:tc>
          <w:tcPr>
            <w:tcW w:type="dxa" w:w="3969"/>
            <w:vAlign w:val="center"/>
          </w:tcPr>
          <w:p>
            <w:pPr>
              <w:spacing w:after="40"/>
            </w:pPr>
            <w:r/>
            <w:r>
              <w:rPr>
                <w:rFonts w:ascii="Aptos" w:hAnsi="Aptos"/>
                <w:b w:val="0"/>
                <w:sz w:val="17"/>
              </w:rPr>
              <w:t>Schedule, feedback, alarms, interlocks</w:t>
            </w:r>
          </w:p>
        </w:tc>
      </w:tr>
      <w:tr>
        <w:tc>
          <w:tcPr>
            <w:tcW w:type="dxa" w:w="1701"/>
            <w:vAlign w:val="center"/>
          </w:tcPr>
          <w:p>
            <w:pPr>
              <w:spacing w:after="40"/>
            </w:pPr>
            <w:r/>
            <w:r>
              <w:rPr>
                <w:rFonts w:ascii="Aptos" w:hAnsi="Aptos"/>
                <w:b w:val="0"/>
                <w:sz w:val="17"/>
              </w:rPr>
              <w:t>Transformer / power unit</w:t>
            </w:r>
          </w:p>
        </w:tc>
        <w:tc>
          <w:tcPr>
            <w:tcW w:type="dxa" w:w="3969"/>
            <w:vAlign w:val="center"/>
          </w:tcPr>
          <w:p>
            <w:pPr>
              <w:spacing w:after="40"/>
            </w:pPr>
            <w:r/>
            <w:r>
              <w:rPr>
                <w:rFonts w:ascii="Aptos" w:hAnsi="Aptos"/>
                <w:b w:val="0"/>
                <w:sz w:val="17"/>
              </w:rPr>
              <w:t>Supplies high-current welding power</w:t>
            </w:r>
          </w:p>
        </w:tc>
        <w:tc>
          <w:tcPr>
            <w:tcW w:type="dxa" w:w="3969"/>
            <w:vAlign w:val="center"/>
          </w:tcPr>
          <w:p>
            <w:pPr>
              <w:spacing w:after="40"/>
            </w:pPr>
            <w:r/>
            <w:r>
              <w:rPr>
                <w:rFonts w:ascii="Aptos" w:hAnsi="Aptos"/>
                <w:b w:val="0"/>
                <w:sz w:val="17"/>
              </w:rPr>
              <w:t>Electrical rating, cooling, monitoring</w:t>
            </w:r>
          </w:p>
        </w:tc>
      </w:tr>
      <w:tr>
        <w:tc>
          <w:tcPr>
            <w:tcW w:type="dxa" w:w="1701"/>
            <w:vAlign w:val="center"/>
          </w:tcPr>
          <w:p>
            <w:pPr>
              <w:spacing w:after="40"/>
            </w:pPr>
            <w:r/>
            <w:r>
              <w:rPr>
                <w:rFonts w:ascii="Aptos" w:hAnsi="Aptos"/>
                <w:b w:val="0"/>
                <w:sz w:val="17"/>
              </w:rPr>
              <w:t>Electrodes</w:t>
            </w:r>
          </w:p>
        </w:tc>
        <w:tc>
          <w:tcPr>
            <w:tcW w:type="dxa" w:w="3969"/>
            <w:vAlign w:val="center"/>
          </w:tcPr>
          <w:p>
            <w:pPr>
              <w:spacing w:after="40"/>
            </w:pPr>
            <w:r/>
            <w:r>
              <w:rPr>
                <w:rFonts w:ascii="Aptos" w:hAnsi="Aptos"/>
                <w:b w:val="0"/>
                <w:sz w:val="17"/>
              </w:rPr>
              <w:t>Transfer force/current to sheets</w:t>
            </w:r>
          </w:p>
        </w:tc>
        <w:tc>
          <w:tcPr>
            <w:tcW w:type="dxa" w:w="3969"/>
            <w:vAlign w:val="center"/>
          </w:tcPr>
          <w:p>
            <w:pPr>
              <w:spacing w:after="40"/>
            </w:pPr>
            <w:r/>
            <w:r>
              <w:rPr>
                <w:rFonts w:ascii="Aptos" w:hAnsi="Aptos"/>
                <w:b w:val="0"/>
                <w:sz w:val="17"/>
              </w:rPr>
              <w:t>Material, tip geometry, dressing, wear</w:t>
            </w:r>
          </w:p>
        </w:tc>
      </w:tr>
      <w:tr>
        <w:tc>
          <w:tcPr>
            <w:tcW w:type="dxa" w:w="1701"/>
            <w:vAlign w:val="center"/>
          </w:tcPr>
          <w:p>
            <w:pPr>
              <w:spacing w:after="40"/>
            </w:pPr>
            <w:r/>
            <w:r>
              <w:rPr>
                <w:rFonts w:ascii="Aptos" w:hAnsi="Aptos"/>
                <w:b w:val="0"/>
                <w:sz w:val="17"/>
              </w:rPr>
              <w:t>Fixture</w:t>
            </w:r>
          </w:p>
        </w:tc>
        <w:tc>
          <w:tcPr>
            <w:tcW w:type="dxa" w:w="3969"/>
            <w:vAlign w:val="center"/>
          </w:tcPr>
          <w:p>
            <w:pPr>
              <w:spacing w:after="40"/>
            </w:pPr>
            <w:r/>
            <w:r>
              <w:rPr>
                <w:rFonts w:ascii="Aptos" w:hAnsi="Aptos"/>
                <w:b w:val="0"/>
                <w:sz w:val="17"/>
              </w:rPr>
              <w:t>Locates and clamps body components</w:t>
            </w:r>
          </w:p>
        </w:tc>
        <w:tc>
          <w:tcPr>
            <w:tcW w:type="dxa" w:w="3969"/>
            <w:vAlign w:val="center"/>
          </w:tcPr>
          <w:p>
            <w:pPr>
              <w:spacing w:after="40"/>
            </w:pPr>
            <w:r/>
            <w:r>
              <w:rPr>
                <w:rFonts w:ascii="Aptos" w:hAnsi="Aptos"/>
                <w:b w:val="0"/>
                <w:sz w:val="17"/>
              </w:rPr>
              <w:t>Datums, clamps, access, repeatability</w:t>
            </w:r>
          </w:p>
        </w:tc>
      </w:tr>
      <w:tr>
        <w:tc>
          <w:tcPr>
            <w:tcW w:type="dxa" w:w="1701"/>
            <w:vAlign w:val="center"/>
          </w:tcPr>
          <w:p>
            <w:pPr>
              <w:spacing w:after="40"/>
            </w:pPr>
            <w:r/>
            <w:r>
              <w:rPr>
                <w:rFonts w:ascii="Aptos" w:hAnsi="Aptos"/>
                <w:b w:val="0"/>
                <w:sz w:val="17"/>
              </w:rPr>
              <w:t>Safety system</w:t>
            </w:r>
          </w:p>
        </w:tc>
        <w:tc>
          <w:tcPr>
            <w:tcW w:type="dxa" w:w="3969"/>
            <w:vAlign w:val="center"/>
          </w:tcPr>
          <w:p>
            <w:pPr>
              <w:spacing w:after="40"/>
            </w:pPr>
            <w:r/>
            <w:r>
              <w:rPr>
                <w:rFonts w:ascii="Aptos" w:hAnsi="Aptos"/>
                <w:b w:val="0"/>
                <w:sz w:val="17"/>
              </w:rPr>
              <w:t>Controls safe access and machine states</w:t>
            </w:r>
          </w:p>
        </w:tc>
        <w:tc>
          <w:tcPr>
            <w:tcW w:type="dxa" w:w="3969"/>
            <w:vAlign w:val="center"/>
          </w:tcPr>
          <w:p>
            <w:pPr>
              <w:spacing w:after="40"/>
            </w:pPr>
            <w:r/>
            <w:r>
              <w:rPr>
                <w:rFonts w:ascii="Aptos" w:hAnsi="Aptos"/>
                <w:b w:val="0"/>
                <w:sz w:val="17"/>
              </w:rPr>
              <w:t>Fencing, interlocks, E-stops, safety functions</w:t>
            </w:r>
          </w:p>
        </w:tc>
      </w:tr>
      <w:tr>
        <w:tc>
          <w:tcPr>
            <w:tcW w:type="dxa" w:w="1701"/>
            <w:vAlign w:val="center"/>
          </w:tcPr>
          <w:p>
            <w:pPr>
              <w:spacing w:after="40"/>
            </w:pPr>
            <w:r/>
            <w:r>
              <w:rPr>
                <w:rFonts w:ascii="Aptos" w:hAnsi="Aptos"/>
                <w:b w:val="0"/>
                <w:sz w:val="17"/>
              </w:rPr>
              <w:t>PLC / line control</w:t>
            </w:r>
          </w:p>
        </w:tc>
        <w:tc>
          <w:tcPr>
            <w:tcW w:type="dxa" w:w="3969"/>
            <w:vAlign w:val="center"/>
          </w:tcPr>
          <w:p>
            <w:pPr>
              <w:spacing w:after="40"/>
            </w:pPr>
            <w:r/>
            <w:r>
              <w:rPr>
                <w:rFonts w:ascii="Aptos" w:hAnsi="Aptos"/>
                <w:b w:val="0"/>
                <w:sz w:val="17"/>
              </w:rPr>
              <w:t>Coordinates station sequence and permissions</w:t>
            </w:r>
          </w:p>
        </w:tc>
        <w:tc>
          <w:tcPr>
            <w:tcW w:type="dxa" w:w="3969"/>
            <w:vAlign w:val="center"/>
          </w:tcPr>
          <w:p>
            <w:pPr>
              <w:spacing w:after="40"/>
            </w:pPr>
            <w:r/>
            <w:r>
              <w:rPr>
                <w:rFonts w:ascii="Aptos" w:hAnsi="Aptos"/>
                <w:b w:val="0"/>
                <w:sz w:val="17"/>
              </w:rPr>
              <w:t>I/O, interlocks, handshakes</w:t>
            </w:r>
          </w:p>
        </w:tc>
      </w:tr>
      <w:tr>
        <w:tc>
          <w:tcPr>
            <w:tcW w:type="dxa" w:w="1701"/>
            <w:vAlign w:val="center"/>
          </w:tcPr>
          <w:p>
            <w:pPr>
              <w:spacing w:after="40"/>
            </w:pPr>
            <w:r/>
            <w:r>
              <w:rPr>
                <w:rFonts w:ascii="Aptos" w:hAnsi="Aptos"/>
                <w:b w:val="0"/>
                <w:sz w:val="17"/>
              </w:rPr>
              <w:t>Quality/data layer</w:t>
            </w:r>
          </w:p>
        </w:tc>
        <w:tc>
          <w:tcPr>
            <w:tcW w:type="dxa" w:w="3969"/>
            <w:vAlign w:val="center"/>
          </w:tcPr>
          <w:p>
            <w:pPr>
              <w:spacing w:after="40"/>
            </w:pPr>
            <w:r/>
            <w:r>
              <w:rPr>
                <w:rFonts w:ascii="Aptos" w:hAnsi="Aptos"/>
                <w:b w:val="0"/>
                <w:sz w:val="17"/>
              </w:rPr>
              <w:t>Stores process and quality information</w:t>
            </w:r>
          </w:p>
        </w:tc>
        <w:tc>
          <w:tcPr>
            <w:tcW w:type="dxa" w:w="3969"/>
            <w:vAlign w:val="center"/>
          </w:tcPr>
          <w:p>
            <w:pPr>
              <w:spacing w:after="40"/>
            </w:pPr>
            <w:r/>
            <w:r>
              <w:rPr>
                <w:rFonts w:ascii="Aptos" w:hAnsi="Aptos"/>
                <w:b w:val="0"/>
                <w:sz w:val="17"/>
              </w:rPr>
              <w:t>Traceability, signals, alarms, analytics</w:t>
            </w:r>
          </w:p>
        </w:tc>
      </w:tr>
    </w:tbl>
    <w:p/>
    <w:p>
      <w:pPr>
        <w:pStyle w:val="Heading1"/>
      </w:pPr>
      <w:r>
        <w:t>4. Technical Process and System Architecture</w:t>
      </w:r>
    </w:p>
    <w:p>
      <w:pPr>
        <w:pStyle w:val="Heading2"/>
      </w:pPr>
      <w:r>
        <w:t>4.1 Basic Weld Sequence</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vAlign w:val="center"/>
            <w:shd w:fill="D9EAF7"/>
          </w:tcPr>
          <w:p>
            <w:pPr>
              <w:spacing w:after="40"/>
            </w:pPr>
            <w:r/>
            <w:r>
              <w:rPr>
                <w:rFonts w:ascii="Aptos" w:hAnsi="Aptos"/>
                <w:b/>
                <w:sz w:val="18"/>
              </w:rPr>
              <w:t>Step</w:t>
            </w:r>
          </w:p>
        </w:tc>
        <w:tc>
          <w:tcPr>
            <w:tcW w:type="dxa" w:w="7937"/>
            <w:vAlign w:val="center"/>
            <w:shd w:fill="D9EAF7"/>
          </w:tcPr>
          <w:p>
            <w:pPr>
              <w:spacing w:after="40"/>
            </w:pPr>
            <w:r/>
            <w:r>
              <w:rPr>
                <w:rFonts w:ascii="Aptos" w:hAnsi="Aptos"/>
                <w:b/>
                <w:sz w:val="18"/>
              </w:rPr>
              <w:t>Technical description</w:t>
            </w:r>
          </w:p>
        </w:tc>
      </w:tr>
      <w:tr>
        <w:tc>
          <w:tcPr>
            <w:tcW w:type="dxa" w:w="2268"/>
            <w:vAlign w:val="center"/>
          </w:tcPr>
          <w:p>
            <w:pPr>
              <w:spacing w:after="40"/>
            </w:pPr>
            <w:r/>
            <w:r>
              <w:rPr>
                <w:rFonts w:ascii="Aptos" w:hAnsi="Aptos"/>
                <w:b w:val="0"/>
                <w:sz w:val="18"/>
              </w:rPr>
              <w:t>Approach</w:t>
            </w:r>
          </w:p>
        </w:tc>
        <w:tc>
          <w:tcPr>
            <w:tcW w:type="dxa" w:w="7937"/>
            <w:vAlign w:val="center"/>
          </w:tcPr>
          <w:p>
            <w:pPr>
              <w:spacing w:after="40"/>
            </w:pPr>
            <w:r/>
            <w:r>
              <w:rPr>
                <w:rFonts w:ascii="Aptos" w:hAnsi="Aptos"/>
                <w:b w:val="0"/>
                <w:sz w:val="18"/>
              </w:rPr>
              <w:t>Robot positions the welding gun at the programmed weld point.</w:t>
            </w:r>
          </w:p>
        </w:tc>
      </w:tr>
      <w:tr>
        <w:tc>
          <w:tcPr>
            <w:tcW w:type="dxa" w:w="2268"/>
            <w:vAlign w:val="center"/>
          </w:tcPr>
          <w:p>
            <w:pPr>
              <w:spacing w:after="40"/>
            </w:pPr>
            <w:r/>
            <w:r>
              <w:rPr>
                <w:rFonts w:ascii="Aptos" w:hAnsi="Aptos"/>
                <w:b w:val="0"/>
                <w:sz w:val="18"/>
              </w:rPr>
              <w:t>Squeeze</w:t>
            </w:r>
          </w:p>
        </w:tc>
        <w:tc>
          <w:tcPr>
            <w:tcW w:type="dxa" w:w="7937"/>
            <w:vAlign w:val="center"/>
          </w:tcPr>
          <w:p>
            <w:pPr>
              <w:spacing w:after="40"/>
            </w:pPr>
            <w:r/>
            <w:r>
              <w:rPr>
                <w:rFonts w:ascii="Aptos" w:hAnsi="Aptos"/>
                <w:b w:val="0"/>
                <w:sz w:val="18"/>
              </w:rPr>
              <w:t>Electrodes close and establish the required mechanical force.</w:t>
            </w:r>
          </w:p>
        </w:tc>
      </w:tr>
      <w:tr>
        <w:tc>
          <w:tcPr>
            <w:tcW w:type="dxa" w:w="2268"/>
            <w:vAlign w:val="center"/>
          </w:tcPr>
          <w:p>
            <w:pPr>
              <w:spacing w:after="40"/>
            </w:pPr>
            <w:r/>
            <w:r>
              <w:rPr>
                <w:rFonts w:ascii="Aptos" w:hAnsi="Aptos"/>
                <w:b w:val="0"/>
                <w:sz w:val="18"/>
              </w:rPr>
              <w:t>Weld</w:t>
            </w:r>
          </w:p>
        </w:tc>
        <w:tc>
          <w:tcPr>
            <w:tcW w:type="dxa" w:w="7937"/>
            <w:vAlign w:val="center"/>
          </w:tcPr>
          <w:p>
            <w:pPr>
              <w:spacing w:after="40"/>
            </w:pPr>
            <w:r/>
            <w:r>
              <w:rPr>
                <w:rFonts w:ascii="Aptos" w:hAnsi="Aptos"/>
                <w:b w:val="0"/>
                <w:sz w:val="18"/>
              </w:rPr>
              <w:t>Current flows for a controlled time; resistance heating creates the nugget.</w:t>
            </w:r>
          </w:p>
        </w:tc>
      </w:tr>
      <w:tr>
        <w:tc>
          <w:tcPr>
            <w:tcW w:type="dxa" w:w="2268"/>
            <w:vAlign w:val="center"/>
          </w:tcPr>
          <w:p>
            <w:pPr>
              <w:spacing w:after="40"/>
            </w:pPr>
            <w:r/>
            <w:r>
              <w:rPr>
                <w:rFonts w:ascii="Aptos" w:hAnsi="Aptos"/>
                <w:b w:val="0"/>
                <w:sz w:val="18"/>
              </w:rPr>
              <w:t>Hold</w:t>
            </w:r>
          </w:p>
        </w:tc>
        <w:tc>
          <w:tcPr>
            <w:tcW w:type="dxa" w:w="7937"/>
            <w:vAlign w:val="center"/>
          </w:tcPr>
          <w:p>
            <w:pPr>
              <w:spacing w:after="40"/>
            </w:pPr>
            <w:r/>
            <w:r>
              <w:rPr>
                <w:rFonts w:ascii="Aptos" w:hAnsi="Aptos"/>
                <w:b w:val="0"/>
                <w:sz w:val="18"/>
              </w:rPr>
              <w:t>Current stops while electrode force is maintained to support solidification.</w:t>
            </w:r>
          </w:p>
        </w:tc>
      </w:tr>
      <w:tr>
        <w:tc>
          <w:tcPr>
            <w:tcW w:type="dxa" w:w="2268"/>
            <w:vAlign w:val="center"/>
          </w:tcPr>
          <w:p>
            <w:pPr>
              <w:spacing w:after="40"/>
            </w:pPr>
            <w:r/>
            <w:r>
              <w:rPr>
                <w:rFonts w:ascii="Aptos" w:hAnsi="Aptos"/>
                <w:b w:val="0"/>
                <w:sz w:val="18"/>
              </w:rPr>
              <w:t>Open</w:t>
            </w:r>
          </w:p>
        </w:tc>
        <w:tc>
          <w:tcPr>
            <w:tcW w:type="dxa" w:w="7937"/>
            <w:vAlign w:val="center"/>
          </w:tcPr>
          <w:p>
            <w:pPr>
              <w:spacing w:after="40"/>
            </w:pPr>
            <w:r/>
            <w:r>
              <w:rPr>
                <w:rFonts w:ascii="Aptos" w:hAnsi="Aptos"/>
                <w:b w:val="0"/>
                <w:sz w:val="18"/>
              </w:rPr>
              <w:t>Electrodes release the joint.</w:t>
            </w:r>
          </w:p>
        </w:tc>
      </w:tr>
      <w:tr>
        <w:tc>
          <w:tcPr>
            <w:tcW w:type="dxa" w:w="2268"/>
            <w:vAlign w:val="center"/>
          </w:tcPr>
          <w:p>
            <w:pPr>
              <w:spacing w:after="40"/>
            </w:pPr>
            <w:r/>
            <w:r>
              <w:rPr>
                <w:rFonts w:ascii="Aptos" w:hAnsi="Aptos"/>
                <w:b w:val="0"/>
                <w:sz w:val="18"/>
              </w:rPr>
              <w:t>Move</w:t>
            </w:r>
          </w:p>
        </w:tc>
        <w:tc>
          <w:tcPr>
            <w:tcW w:type="dxa" w:w="7937"/>
            <w:vAlign w:val="center"/>
          </w:tcPr>
          <w:p>
            <w:pPr>
              <w:spacing w:after="40"/>
            </w:pPr>
            <w:r/>
            <w:r>
              <w:rPr>
                <w:rFonts w:ascii="Aptos" w:hAnsi="Aptos"/>
                <w:b w:val="0"/>
                <w:sz w:val="18"/>
              </w:rPr>
              <w:t>Robot transitions to the next programmed point while the cell maintains sequencing and safety conditions.</w:t>
            </w:r>
          </w:p>
        </w:tc>
      </w:tr>
    </w:tbl>
    <w:p/>
    <w:p>
      <w:pPr>
        <w:pStyle w:val="Heading2"/>
      </w:pPr>
      <w:r>
        <w:t>4.2 Process-Parameter Relationship</w:t>
      </w:r>
    </w:p>
    <w:p>
      <w:r>
        <w:t>Weld quality is not controlled by one parameter. Electrode force, welding current and weld time interact with sheet thickness, material grade, surface coating, contact resistance, electrode condition and cooling. A simplified engineering concept is that heat generation is related to electrical resistance and current over time; however, production schedules should be established and validated using appropriate material and equipment trials rather than calculated from a single simplified equation.</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701"/>
            <w:vAlign w:val="center"/>
            <w:shd w:fill="D9EAF7"/>
          </w:tcPr>
          <w:p>
            <w:pPr>
              <w:spacing w:after="40"/>
            </w:pPr>
            <w:r/>
            <w:r>
              <w:rPr>
                <w:rFonts w:ascii="Aptos" w:hAnsi="Aptos"/>
                <w:b/>
                <w:sz w:val="16"/>
              </w:rPr>
              <w:t>Parameter</w:t>
            </w:r>
          </w:p>
        </w:tc>
        <w:tc>
          <w:tcPr>
            <w:tcW w:type="dxa" w:w="2835"/>
            <w:vAlign w:val="center"/>
            <w:shd w:fill="D9EAF7"/>
          </w:tcPr>
          <w:p>
            <w:pPr>
              <w:spacing w:after="40"/>
            </w:pPr>
            <w:r/>
            <w:r>
              <w:rPr>
                <w:rFonts w:ascii="Aptos" w:hAnsi="Aptos"/>
                <w:b/>
                <w:sz w:val="16"/>
              </w:rPr>
              <w:t>If too low</w:t>
            </w:r>
          </w:p>
        </w:tc>
        <w:tc>
          <w:tcPr>
            <w:tcW w:type="dxa" w:w="2835"/>
            <w:vAlign w:val="center"/>
            <w:shd w:fill="D9EAF7"/>
          </w:tcPr>
          <w:p>
            <w:pPr>
              <w:spacing w:after="40"/>
            </w:pPr>
            <w:r/>
            <w:r>
              <w:rPr>
                <w:rFonts w:ascii="Aptos" w:hAnsi="Aptos"/>
                <w:b/>
                <w:sz w:val="16"/>
              </w:rPr>
              <w:t>If too high / poorly controlled</w:t>
            </w:r>
          </w:p>
        </w:tc>
        <w:tc>
          <w:tcPr>
            <w:tcW w:type="dxa" w:w="2835"/>
            <w:vAlign w:val="center"/>
            <w:shd w:fill="D9EAF7"/>
          </w:tcPr>
          <w:p>
            <w:pPr>
              <w:spacing w:after="40"/>
            </w:pPr>
            <w:r/>
            <w:r>
              <w:rPr>
                <w:rFonts w:ascii="Aptos" w:hAnsi="Aptos"/>
                <w:b/>
                <w:sz w:val="16"/>
              </w:rPr>
              <w:t>Typical control approach</w:t>
            </w:r>
          </w:p>
        </w:tc>
      </w:tr>
      <w:tr>
        <w:tc>
          <w:tcPr>
            <w:tcW w:type="dxa" w:w="1701"/>
            <w:vAlign w:val="center"/>
          </w:tcPr>
          <w:p>
            <w:pPr>
              <w:spacing w:after="40"/>
            </w:pPr>
            <w:r/>
            <w:r>
              <w:rPr>
                <w:rFonts w:ascii="Aptos" w:hAnsi="Aptos"/>
                <w:b w:val="0"/>
                <w:sz w:val="16"/>
              </w:rPr>
              <w:t>Welding current</w:t>
            </w:r>
          </w:p>
        </w:tc>
        <w:tc>
          <w:tcPr>
            <w:tcW w:type="dxa" w:w="2835"/>
            <w:vAlign w:val="center"/>
          </w:tcPr>
          <w:p>
            <w:pPr>
              <w:spacing w:after="40"/>
            </w:pPr>
            <w:r/>
            <w:r>
              <w:rPr>
                <w:rFonts w:ascii="Aptos" w:hAnsi="Aptos"/>
                <w:b w:val="0"/>
                <w:sz w:val="16"/>
              </w:rPr>
              <w:t>Insufficient heating; undersized nugget</w:t>
            </w:r>
          </w:p>
        </w:tc>
        <w:tc>
          <w:tcPr>
            <w:tcW w:type="dxa" w:w="2835"/>
            <w:vAlign w:val="center"/>
          </w:tcPr>
          <w:p>
            <w:pPr>
              <w:spacing w:after="40"/>
            </w:pPr>
            <w:r/>
            <w:r>
              <w:rPr>
                <w:rFonts w:ascii="Aptos" w:hAnsi="Aptos"/>
                <w:b w:val="0"/>
                <w:sz w:val="16"/>
              </w:rPr>
              <w:t>Expulsion, electrode wear, surface damage</w:t>
            </w:r>
          </w:p>
        </w:tc>
        <w:tc>
          <w:tcPr>
            <w:tcW w:type="dxa" w:w="2835"/>
            <w:vAlign w:val="center"/>
          </w:tcPr>
          <w:p>
            <w:pPr>
              <w:spacing w:after="40"/>
            </w:pPr>
            <w:r/>
            <w:r>
              <w:rPr>
                <w:rFonts w:ascii="Aptos" w:hAnsi="Aptos"/>
                <w:b w:val="0"/>
                <w:sz w:val="16"/>
              </w:rPr>
              <w:t>Controller schedule + current monitoring</w:t>
            </w:r>
          </w:p>
        </w:tc>
      </w:tr>
      <w:tr>
        <w:tc>
          <w:tcPr>
            <w:tcW w:type="dxa" w:w="1701"/>
            <w:vAlign w:val="center"/>
          </w:tcPr>
          <w:p>
            <w:pPr>
              <w:spacing w:after="40"/>
            </w:pPr>
            <w:r/>
            <w:r>
              <w:rPr>
                <w:rFonts w:ascii="Aptos" w:hAnsi="Aptos"/>
                <w:b w:val="0"/>
                <w:sz w:val="16"/>
              </w:rPr>
              <w:t>Weld time</w:t>
            </w:r>
          </w:p>
        </w:tc>
        <w:tc>
          <w:tcPr>
            <w:tcW w:type="dxa" w:w="2835"/>
            <w:vAlign w:val="center"/>
          </w:tcPr>
          <w:p>
            <w:pPr>
              <w:spacing w:after="40"/>
            </w:pPr>
            <w:r/>
            <w:r>
              <w:rPr>
                <w:rFonts w:ascii="Aptos" w:hAnsi="Aptos"/>
                <w:b w:val="0"/>
                <w:sz w:val="16"/>
              </w:rPr>
              <w:t>Insufficient heat input</w:t>
            </w:r>
          </w:p>
        </w:tc>
        <w:tc>
          <w:tcPr>
            <w:tcW w:type="dxa" w:w="2835"/>
            <w:vAlign w:val="center"/>
          </w:tcPr>
          <w:p>
            <w:pPr>
              <w:spacing w:after="40"/>
            </w:pPr>
            <w:r/>
            <w:r>
              <w:rPr>
                <w:rFonts w:ascii="Aptos" w:hAnsi="Aptos"/>
                <w:b w:val="0"/>
                <w:sz w:val="16"/>
              </w:rPr>
              <w:t>Excessive heat, cycle-time penalty</w:t>
            </w:r>
          </w:p>
        </w:tc>
        <w:tc>
          <w:tcPr>
            <w:tcW w:type="dxa" w:w="2835"/>
            <w:vAlign w:val="center"/>
          </w:tcPr>
          <w:p>
            <w:pPr>
              <w:spacing w:after="40"/>
            </w:pPr>
            <w:r/>
            <w:r>
              <w:rPr>
                <w:rFonts w:ascii="Aptos" w:hAnsi="Aptos"/>
                <w:b w:val="0"/>
                <w:sz w:val="16"/>
              </w:rPr>
              <w:t>Programmed weld time</w:t>
            </w:r>
          </w:p>
        </w:tc>
      </w:tr>
      <w:tr>
        <w:tc>
          <w:tcPr>
            <w:tcW w:type="dxa" w:w="1701"/>
            <w:vAlign w:val="center"/>
          </w:tcPr>
          <w:p>
            <w:pPr>
              <w:spacing w:after="40"/>
            </w:pPr>
            <w:r/>
            <w:r>
              <w:rPr>
                <w:rFonts w:ascii="Aptos" w:hAnsi="Aptos"/>
                <w:b w:val="0"/>
                <w:sz w:val="16"/>
              </w:rPr>
              <w:t>Electrode force</w:t>
            </w:r>
          </w:p>
        </w:tc>
        <w:tc>
          <w:tcPr>
            <w:tcW w:type="dxa" w:w="2835"/>
            <w:vAlign w:val="center"/>
          </w:tcPr>
          <w:p>
            <w:pPr>
              <w:spacing w:after="40"/>
            </w:pPr>
            <w:r/>
            <w:r>
              <w:rPr>
                <w:rFonts w:ascii="Aptos" w:hAnsi="Aptos"/>
                <w:b w:val="0"/>
                <w:sz w:val="16"/>
              </w:rPr>
              <w:t>Poor contact, instability, expulsion risk</w:t>
            </w:r>
          </w:p>
        </w:tc>
        <w:tc>
          <w:tcPr>
            <w:tcW w:type="dxa" w:w="2835"/>
            <w:vAlign w:val="center"/>
          </w:tcPr>
          <w:p>
            <w:pPr>
              <w:spacing w:after="40"/>
            </w:pPr>
            <w:r/>
            <w:r>
              <w:rPr>
                <w:rFonts w:ascii="Aptos" w:hAnsi="Aptos"/>
                <w:b w:val="0"/>
                <w:sz w:val="16"/>
              </w:rPr>
              <w:t>Reduced resistance / undersized nugget in some conditions; mechanical effects</w:t>
            </w:r>
          </w:p>
        </w:tc>
        <w:tc>
          <w:tcPr>
            <w:tcW w:type="dxa" w:w="2835"/>
            <w:vAlign w:val="center"/>
          </w:tcPr>
          <w:p>
            <w:pPr>
              <w:spacing w:after="40"/>
            </w:pPr>
            <w:r/>
            <w:r>
              <w:rPr>
                <w:rFonts w:ascii="Aptos" w:hAnsi="Aptos"/>
                <w:b w:val="0"/>
                <w:sz w:val="16"/>
              </w:rPr>
              <w:t>Servo/pneumatic force control</w:t>
            </w:r>
          </w:p>
        </w:tc>
      </w:tr>
      <w:tr>
        <w:tc>
          <w:tcPr>
            <w:tcW w:type="dxa" w:w="1701"/>
            <w:vAlign w:val="center"/>
          </w:tcPr>
          <w:p>
            <w:pPr>
              <w:spacing w:after="40"/>
            </w:pPr>
            <w:r/>
            <w:r>
              <w:rPr>
                <w:rFonts w:ascii="Aptos" w:hAnsi="Aptos"/>
                <w:b w:val="0"/>
                <w:sz w:val="16"/>
              </w:rPr>
              <w:t>Electrode condition</w:t>
            </w:r>
          </w:p>
        </w:tc>
        <w:tc>
          <w:tcPr>
            <w:tcW w:type="dxa" w:w="2835"/>
            <w:vAlign w:val="center"/>
          </w:tcPr>
          <w:p>
            <w:pPr>
              <w:spacing w:after="40"/>
            </w:pPr>
            <w:r/>
            <w:r>
              <w:rPr>
                <w:rFonts w:ascii="Aptos" w:hAnsi="Aptos"/>
                <w:b w:val="0"/>
                <w:sz w:val="16"/>
              </w:rPr>
              <w:t>Variable contact and current density</w:t>
            </w:r>
          </w:p>
        </w:tc>
        <w:tc>
          <w:tcPr>
            <w:tcW w:type="dxa" w:w="2835"/>
            <w:vAlign w:val="center"/>
          </w:tcPr>
          <w:p>
            <w:pPr>
              <w:spacing w:after="40"/>
            </w:pPr>
            <w:r/>
            <w:r>
              <w:rPr>
                <w:rFonts w:ascii="Aptos" w:hAnsi="Aptos"/>
                <w:b w:val="0"/>
                <w:sz w:val="16"/>
              </w:rPr>
              <w:t>Excessive wear changes tip geometry</w:t>
            </w:r>
          </w:p>
        </w:tc>
        <w:tc>
          <w:tcPr>
            <w:tcW w:type="dxa" w:w="2835"/>
            <w:vAlign w:val="center"/>
          </w:tcPr>
          <w:p>
            <w:pPr>
              <w:spacing w:after="40"/>
            </w:pPr>
            <w:r/>
            <w:r>
              <w:rPr>
                <w:rFonts w:ascii="Aptos" w:hAnsi="Aptos"/>
                <w:b w:val="0"/>
                <w:sz w:val="16"/>
              </w:rPr>
              <w:t>Tip dressing and life monitoring</w:t>
            </w:r>
          </w:p>
        </w:tc>
      </w:tr>
      <w:tr>
        <w:tc>
          <w:tcPr>
            <w:tcW w:type="dxa" w:w="1701"/>
            <w:vAlign w:val="center"/>
          </w:tcPr>
          <w:p>
            <w:pPr>
              <w:spacing w:after="40"/>
            </w:pPr>
            <w:r/>
            <w:r>
              <w:rPr>
                <w:rFonts w:ascii="Aptos" w:hAnsi="Aptos"/>
                <w:b w:val="0"/>
                <w:sz w:val="16"/>
              </w:rPr>
              <w:t>Material/coating</w:t>
            </w:r>
          </w:p>
        </w:tc>
        <w:tc>
          <w:tcPr>
            <w:tcW w:type="dxa" w:w="2835"/>
            <w:vAlign w:val="center"/>
          </w:tcPr>
          <w:p>
            <w:pPr>
              <w:spacing w:after="40"/>
            </w:pPr>
            <w:r/>
            <w:r>
              <w:rPr>
                <w:rFonts w:ascii="Aptos" w:hAnsi="Aptos"/>
                <w:b w:val="0"/>
                <w:sz w:val="16"/>
              </w:rPr>
              <w:t>Changed contact/resistance behavior</w:t>
            </w:r>
          </w:p>
        </w:tc>
        <w:tc>
          <w:tcPr>
            <w:tcW w:type="dxa" w:w="2835"/>
            <w:vAlign w:val="center"/>
          </w:tcPr>
          <w:p>
            <w:pPr>
              <w:spacing w:after="40"/>
            </w:pPr>
            <w:r/>
            <w:r>
              <w:rPr>
                <w:rFonts w:ascii="Aptos" w:hAnsi="Aptos"/>
                <w:b w:val="0"/>
                <w:sz w:val="16"/>
              </w:rPr>
              <w:t>Coating interaction and electrode degradation</w:t>
            </w:r>
          </w:p>
        </w:tc>
        <w:tc>
          <w:tcPr>
            <w:tcW w:type="dxa" w:w="2835"/>
            <w:vAlign w:val="center"/>
          </w:tcPr>
          <w:p>
            <w:pPr>
              <w:spacing w:after="40"/>
            </w:pPr>
            <w:r/>
            <w:r>
              <w:rPr>
                <w:rFonts w:ascii="Aptos" w:hAnsi="Aptos"/>
                <w:b w:val="0"/>
                <w:sz w:val="16"/>
              </w:rPr>
              <w:t>Validated weld window</w:t>
            </w:r>
          </w:p>
        </w:tc>
      </w:tr>
      <w:tr>
        <w:tc>
          <w:tcPr>
            <w:tcW w:type="dxa" w:w="1701"/>
            <w:vAlign w:val="center"/>
          </w:tcPr>
          <w:p>
            <w:pPr>
              <w:spacing w:after="40"/>
            </w:pPr>
            <w:r/>
            <w:r>
              <w:rPr>
                <w:rFonts w:ascii="Aptos" w:hAnsi="Aptos"/>
                <w:b w:val="0"/>
                <w:sz w:val="16"/>
              </w:rPr>
              <w:t>Cooling</w:t>
            </w:r>
          </w:p>
        </w:tc>
        <w:tc>
          <w:tcPr>
            <w:tcW w:type="dxa" w:w="2835"/>
            <w:vAlign w:val="center"/>
          </w:tcPr>
          <w:p>
            <w:pPr>
              <w:spacing w:after="40"/>
            </w:pPr>
            <w:r/>
            <w:r>
              <w:rPr>
                <w:rFonts w:ascii="Aptos" w:hAnsi="Aptos"/>
                <w:b w:val="0"/>
                <w:sz w:val="16"/>
              </w:rPr>
              <w:t>Overheating and accelerated wear</w:t>
            </w:r>
          </w:p>
        </w:tc>
        <w:tc>
          <w:tcPr>
            <w:tcW w:type="dxa" w:w="2835"/>
            <w:vAlign w:val="center"/>
          </w:tcPr>
          <w:p>
            <w:pPr>
              <w:spacing w:after="40"/>
            </w:pPr>
            <w:r/>
            <w:r>
              <w:rPr>
                <w:rFonts w:ascii="Aptos" w:hAnsi="Aptos"/>
                <w:b w:val="0"/>
                <w:sz w:val="16"/>
              </w:rPr>
              <w:t>Overcooling can affect process conditions</w:t>
            </w:r>
          </w:p>
        </w:tc>
        <w:tc>
          <w:tcPr>
            <w:tcW w:type="dxa" w:w="2835"/>
            <w:vAlign w:val="center"/>
          </w:tcPr>
          <w:p>
            <w:pPr>
              <w:spacing w:after="40"/>
            </w:pPr>
            <w:r/>
            <w:r>
              <w:rPr>
                <w:rFonts w:ascii="Aptos" w:hAnsi="Aptos"/>
                <w:b w:val="0"/>
                <w:sz w:val="16"/>
              </w:rPr>
              <w:t>Water/thermal monitoring</w:t>
            </w:r>
          </w:p>
        </w:tc>
      </w:tr>
    </w:tbl>
    <w:p/>
    <w:p>
      <w:pPr>
        <w:pStyle w:val="Heading2"/>
      </w:pPr>
      <w:r>
        <w:t>4.3 Robot Programming and Coordinate Systems</w:t>
      </w:r>
    </w:p>
    <w:p>
      <w:r>
        <w:t>A robotic welding program must define safe motion, approach and retract positions, tool-center-point (TCP) behavior, work/object frames, weld-point locations, gun orientation, sequencing and interlocks. For a technical document, robot programming should be described generically so that the principles apply across manufacturers such as FANUC, ABB, Yaskawa or KUKA without incorrectly presenting one controller's syntax as an industry standard.</w:t>
      </w:r>
    </w:p>
    <w:p>
      <w:pPr>
        <w:pStyle w:val="ListBullet"/>
        <w:spacing w:after="60"/>
      </w:pPr>
      <w:r>
        <w:t>Define the robot base/world coordinate system and relevant work/object frames.</w:t>
      </w:r>
    </w:p>
    <w:p>
      <w:pPr>
        <w:pStyle w:val="ListBullet"/>
        <w:spacing w:after="60"/>
      </w:pPr>
      <w:r>
        <w:t>Validate the welding-gun TCP and its orientation.</w:t>
      </w:r>
    </w:p>
    <w:p>
      <w:pPr>
        <w:pStyle w:val="ListBullet"/>
        <w:spacing w:after="60"/>
      </w:pPr>
      <w:r>
        <w:t>Use approach and retreat positions that respect fixtures, adjacent robots and body geometry.</w:t>
      </w:r>
    </w:p>
    <w:p>
      <w:pPr>
        <w:pStyle w:val="ListBullet"/>
        <w:spacing w:after="60"/>
      </w:pPr>
      <w:r>
        <w:t>Sequence weld points to manage access, cycle time and collision risk.</w:t>
      </w:r>
    </w:p>
    <w:p>
      <w:pPr>
        <w:pStyle w:val="ListBullet"/>
        <w:spacing w:after="60"/>
      </w:pPr>
      <w:r>
        <w:t>Use appropriate line/PLC handshakes and safety conditions before welding.</w:t>
      </w:r>
    </w:p>
    <w:p>
      <w:pPr>
        <w:pStyle w:val="ListBullet"/>
        <w:spacing w:after="60"/>
      </w:pPr>
      <w:r>
        <w:t>Verify offline simulation results against the physical cell before production release.</w:t>
      </w:r>
    </w:p>
    <w:p>
      <w:pPr>
        <w:pStyle w:val="ListBullet"/>
        <w:spacing w:after="60"/>
      </w:pPr>
      <w:r>
        <w:t>Maintain version control and change history for robot programs and process schedules.</w:t>
      </w:r>
    </w:p>
    <w:p>
      <w:pPr>
        <w:pStyle w:val="Heading2"/>
      </w:pPr>
      <w:r>
        <w:t>4.4 Multi-Robot Cell Planning</w:t>
      </w:r>
    </w:p>
    <w:p>
      <w:r>
        <w:t>Research on multi-robot spot-welding cells emphasizes that cell design and robot motion planning are coupled engineering problems. The design must consider the fixture, transport device, robot locations, welding-gun selection, weld-point access and collision avoidance. Flexible production has increased the importance of designing cells that can accommodate different vehicle models and production variants. [3]</w:t>
      </w:r>
    </w:p>
    <w:p>
      <w:pPr>
        <w:pStyle w:val="Heading1"/>
      </w:pPr>
      <w:r>
        <w:t>5. Technical Specifications and Key Process Variables</w:t>
      </w:r>
    </w:p>
    <w:p>
      <w:pPr>
        <w:pStyle w:val="Heading2"/>
      </w:pPr>
      <w:r>
        <w:t>5.1 Specification Categories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vAlign w:val="center"/>
            <w:shd w:fill="D9EAF7"/>
          </w:tcPr>
          <w:p>
            <w:pPr>
              <w:spacing w:after="40"/>
            </w:pPr>
            <w:r/>
            <w:r>
              <w:rPr>
                <w:rFonts w:ascii="Aptos" w:hAnsi="Aptos"/>
                <w:b/>
                <w:sz w:val="17"/>
              </w:rPr>
              <w:t>Category</w:t>
            </w:r>
          </w:p>
        </w:tc>
        <w:tc>
          <w:tcPr>
            <w:tcW w:type="dxa" w:w="7937"/>
            <w:vAlign w:val="center"/>
            <w:shd w:fill="D9EAF7"/>
          </w:tcPr>
          <w:p>
            <w:pPr>
              <w:spacing w:after="40"/>
            </w:pPr>
            <w:r/>
            <w:r>
              <w:rPr>
                <w:rFonts w:ascii="Aptos" w:hAnsi="Aptos"/>
                <w:b/>
                <w:sz w:val="17"/>
              </w:rPr>
              <w:t>Examples of information to capture in the final technical document</w:t>
            </w:r>
          </w:p>
        </w:tc>
      </w:tr>
      <w:tr>
        <w:tc>
          <w:tcPr>
            <w:tcW w:type="dxa" w:w="2268"/>
            <w:vAlign w:val="center"/>
          </w:tcPr>
          <w:p>
            <w:pPr>
              <w:spacing w:after="40"/>
            </w:pPr>
            <w:r/>
            <w:r>
              <w:rPr>
                <w:rFonts w:ascii="Aptos" w:hAnsi="Aptos"/>
                <w:b w:val="0"/>
                <w:sz w:val="17"/>
              </w:rPr>
              <w:t>Robot</w:t>
            </w:r>
          </w:p>
        </w:tc>
        <w:tc>
          <w:tcPr>
            <w:tcW w:type="dxa" w:w="7937"/>
            <w:vAlign w:val="center"/>
          </w:tcPr>
          <w:p>
            <w:pPr>
              <w:spacing w:after="40"/>
            </w:pPr>
            <w:r/>
            <w:r>
              <w:rPr>
                <w:rFonts w:ascii="Aptos" w:hAnsi="Aptos"/>
                <w:b w:val="0"/>
                <w:sz w:val="17"/>
              </w:rPr>
              <w:t>Manufacturer/model, axes, payload, reach, repeatability, controller, safety functions</w:t>
            </w:r>
          </w:p>
        </w:tc>
      </w:tr>
      <w:tr>
        <w:tc>
          <w:tcPr>
            <w:tcW w:type="dxa" w:w="2268"/>
            <w:vAlign w:val="center"/>
          </w:tcPr>
          <w:p>
            <w:pPr>
              <w:spacing w:after="40"/>
            </w:pPr>
            <w:r/>
            <w:r>
              <w:rPr>
                <w:rFonts w:ascii="Aptos" w:hAnsi="Aptos"/>
                <w:b w:val="0"/>
                <w:sz w:val="17"/>
              </w:rPr>
              <w:t>Welding gun</w:t>
            </w:r>
          </w:p>
        </w:tc>
        <w:tc>
          <w:tcPr>
            <w:tcW w:type="dxa" w:w="7937"/>
            <w:vAlign w:val="center"/>
          </w:tcPr>
          <w:p>
            <w:pPr>
              <w:spacing w:after="40"/>
            </w:pPr>
            <w:r/>
            <w:r>
              <w:rPr>
                <w:rFonts w:ascii="Aptos" w:hAnsi="Aptos"/>
                <w:b w:val="0"/>
                <w:sz w:val="17"/>
              </w:rPr>
              <w:t>Servo/pneumatic type, stroke, force range, electrode geometry, cooling</w:t>
            </w:r>
          </w:p>
        </w:tc>
      </w:tr>
      <w:tr>
        <w:tc>
          <w:tcPr>
            <w:tcW w:type="dxa" w:w="2268"/>
            <w:vAlign w:val="center"/>
          </w:tcPr>
          <w:p>
            <w:pPr>
              <w:spacing w:after="40"/>
            </w:pPr>
            <w:r/>
            <w:r>
              <w:rPr>
                <w:rFonts w:ascii="Aptos" w:hAnsi="Aptos"/>
                <w:b w:val="0"/>
                <w:sz w:val="17"/>
              </w:rPr>
              <w:t>Power supply</w:t>
            </w:r>
          </w:p>
        </w:tc>
        <w:tc>
          <w:tcPr>
            <w:tcW w:type="dxa" w:w="7937"/>
            <w:vAlign w:val="center"/>
          </w:tcPr>
          <w:p>
            <w:pPr>
              <w:spacing w:after="40"/>
            </w:pPr>
            <w:r/>
            <w:r>
              <w:rPr>
                <w:rFonts w:ascii="Aptos" w:hAnsi="Aptos"/>
                <w:b w:val="0"/>
                <w:sz w:val="17"/>
              </w:rPr>
              <w:t>AC/DC technology, current capability, weld schedule controls, feedback</w:t>
            </w:r>
          </w:p>
        </w:tc>
      </w:tr>
      <w:tr>
        <w:tc>
          <w:tcPr>
            <w:tcW w:type="dxa" w:w="2268"/>
            <w:vAlign w:val="center"/>
          </w:tcPr>
          <w:p>
            <w:pPr>
              <w:spacing w:after="40"/>
            </w:pPr>
            <w:r/>
            <w:r>
              <w:rPr>
                <w:rFonts w:ascii="Aptos" w:hAnsi="Aptos"/>
                <w:b w:val="0"/>
                <w:sz w:val="17"/>
              </w:rPr>
              <w:t>Material</w:t>
            </w:r>
          </w:p>
        </w:tc>
        <w:tc>
          <w:tcPr>
            <w:tcW w:type="dxa" w:w="7937"/>
            <w:vAlign w:val="center"/>
          </w:tcPr>
          <w:p>
            <w:pPr>
              <w:spacing w:after="40"/>
            </w:pPr>
            <w:r/>
            <w:r>
              <w:rPr>
                <w:rFonts w:ascii="Aptos" w:hAnsi="Aptos"/>
                <w:b w:val="0"/>
                <w:sz w:val="17"/>
              </w:rPr>
              <w:t>Grade, thickness, coating, stack-up, surface condition</w:t>
            </w:r>
          </w:p>
        </w:tc>
      </w:tr>
      <w:tr>
        <w:tc>
          <w:tcPr>
            <w:tcW w:type="dxa" w:w="2268"/>
            <w:vAlign w:val="center"/>
          </w:tcPr>
          <w:p>
            <w:pPr>
              <w:spacing w:after="40"/>
            </w:pPr>
            <w:r/>
            <w:r>
              <w:rPr>
                <w:rFonts w:ascii="Aptos" w:hAnsi="Aptos"/>
                <w:b w:val="0"/>
                <w:sz w:val="17"/>
              </w:rPr>
              <w:t>Weld schedule</w:t>
            </w:r>
          </w:p>
        </w:tc>
        <w:tc>
          <w:tcPr>
            <w:tcW w:type="dxa" w:w="7937"/>
            <w:vAlign w:val="center"/>
          </w:tcPr>
          <w:p>
            <w:pPr>
              <w:spacing w:after="40"/>
            </w:pPr>
            <w:r/>
            <w:r>
              <w:rPr>
                <w:rFonts w:ascii="Aptos" w:hAnsi="Aptos"/>
                <w:b w:val="0"/>
                <w:sz w:val="17"/>
              </w:rPr>
              <w:t>Current, weld time, squeeze/hold timing, force, pulse profile where applicable</w:t>
            </w:r>
          </w:p>
        </w:tc>
      </w:tr>
      <w:tr>
        <w:tc>
          <w:tcPr>
            <w:tcW w:type="dxa" w:w="2268"/>
            <w:vAlign w:val="center"/>
          </w:tcPr>
          <w:p>
            <w:pPr>
              <w:spacing w:after="40"/>
            </w:pPr>
            <w:r/>
            <w:r>
              <w:rPr>
                <w:rFonts w:ascii="Aptos" w:hAnsi="Aptos"/>
                <w:b w:val="0"/>
                <w:sz w:val="17"/>
              </w:rPr>
              <w:t>Electrode management</w:t>
            </w:r>
          </w:p>
        </w:tc>
        <w:tc>
          <w:tcPr>
            <w:tcW w:type="dxa" w:w="7937"/>
            <w:vAlign w:val="center"/>
          </w:tcPr>
          <w:p>
            <w:pPr>
              <w:spacing w:after="40"/>
            </w:pPr>
            <w:r/>
            <w:r>
              <w:rPr>
                <w:rFonts w:ascii="Aptos" w:hAnsi="Aptos"/>
                <w:b w:val="0"/>
                <w:sz w:val="17"/>
              </w:rPr>
              <w:t>Tip material, tip geometry, dressing interval, wear limits, cooling</w:t>
            </w:r>
          </w:p>
        </w:tc>
      </w:tr>
      <w:tr>
        <w:tc>
          <w:tcPr>
            <w:tcW w:type="dxa" w:w="2268"/>
            <w:vAlign w:val="center"/>
          </w:tcPr>
          <w:p>
            <w:pPr>
              <w:spacing w:after="40"/>
            </w:pPr>
            <w:r/>
            <w:r>
              <w:rPr>
                <w:rFonts w:ascii="Aptos" w:hAnsi="Aptos"/>
                <w:b w:val="0"/>
                <w:sz w:val="17"/>
              </w:rPr>
              <w:t>Fixture</w:t>
            </w:r>
          </w:p>
        </w:tc>
        <w:tc>
          <w:tcPr>
            <w:tcW w:type="dxa" w:w="7937"/>
            <w:vAlign w:val="center"/>
          </w:tcPr>
          <w:p>
            <w:pPr>
              <w:spacing w:after="40"/>
            </w:pPr>
            <w:r/>
            <w:r>
              <w:rPr>
                <w:rFonts w:ascii="Aptos" w:hAnsi="Aptos"/>
                <w:b w:val="0"/>
                <w:sz w:val="17"/>
              </w:rPr>
              <w:t>Datum strategy, clamps, access, body location repeatability</w:t>
            </w:r>
          </w:p>
        </w:tc>
      </w:tr>
      <w:tr>
        <w:tc>
          <w:tcPr>
            <w:tcW w:type="dxa" w:w="2268"/>
            <w:vAlign w:val="center"/>
          </w:tcPr>
          <w:p>
            <w:pPr>
              <w:spacing w:after="40"/>
            </w:pPr>
            <w:r/>
            <w:r>
              <w:rPr>
                <w:rFonts w:ascii="Aptos" w:hAnsi="Aptos"/>
                <w:b w:val="0"/>
                <w:sz w:val="17"/>
              </w:rPr>
              <w:t>Quality</w:t>
            </w:r>
          </w:p>
        </w:tc>
        <w:tc>
          <w:tcPr>
            <w:tcW w:type="dxa" w:w="7937"/>
            <w:vAlign w:val="center"/>
          </w:tcPr>
          <w:p>
            <w:pPr>
              <w:spacing w:after="40"/>
            </w:pPr>
            <w:r/>
            <w:r>
              <w:rPr>
                <w:rFonts w:ascii="Aptos" w:hAnsi="Aptos"/>
                <w:b w:val="0"/>
                <w:sz w:val="17"/>
              </w:rPr>
              <w:t>Nugget/weld size, mechanical tests, visual criteria, defect classification, traceability</w:t>
            </w:r>
          </w:p>
        </w:tc>
      </w:tr>
      <w:tr>
        <w:tc>
          <w:tcPr>
            <w:tcW w:type="dxa" w:w="2268"/>
            <w:vAlign w:val="center"/>
          </w:tcPr>
          <w:p>
            <w:pPr>
              <w:spacing w:after="40"/>
            </w:pPr>
            <w:r/>
            <w:r>
              <w:rPr>
                <w:rFonts w:ascii="Aptos" w:hAnsi="Aptos"/>
                <w:b w:val="0"/>
                <w:sz w:val="17"/>
              </w:rPr>
              <w:t>Data</w:t>
            </w:r>
          </w:p>
        </w:tc>
        <w:tc>
          <w:tcPr>
            <w:tcW w:type="dxa" w:w="7937"/>
            <w:vAlign w:val="center"/>
          </w:tcPr>
          <w:p>
            <w:pPr>
              <w:spacing w:after="40"/>
            </w:pPr>
            <w:r/>
            <w:r>
              <w:rPr>
                <w:rFonts w:ascii="Aptos" w:hAnsi="Aptos"/>
                <w:b w:val="0"/>
                <w:sz w:val="17"/>
              </w:rPr>
              <w:t>Robot position, current, force, time, alarms, tip life, weld result, vehicle/body ID</w:t>
            </w:r>
          </w:p>
        </w:tc>
      </w:tr>
    </w:tbl>
    <w:p/>
    <w:p>
      <w:pPr>
        <w:pStyle w:val="Heading2"/>
      </w:pPr>
      <w:r>
        <w:t>5.2 Engineering Caution on Numeric Settings</w:t>
      </w:r>
    </w:p>
    <w:p>
      <w:r>
        <w:t>A professional technical document should distinguish between general process principles and production-specific numeric settings. Welding current, force and time should not be presented as universal values because they depend on material, thickness, coating, stack-up, electrode geometry, equipment and validated process windows. The final document should therefore use representative examples only and instruct readers to use approved welding schedules, validated trials and plant-specific process documentation.</w:t>
      </w:r>
    </w:p>
    <w:p>
      <w:pPr>
        <w:pStyle w:val="Heading1"/>
      </w:pPr>
      <w:r>
        <w:t>6. Literature Review and Research Findings</w:t>
      </w:r>
    </w:p>
    <w:p>
      <w:pPr>
        <w:pStyle w:val="Heading2"/>
      </w:pPr>
      <w:r>
        <w:t>6.1 Research Selection Method</w:t>
      </w:r>
    </w:p>
    <w:p>
      <w:r>
        <w:t>The literature review used a source hierarchy: (1) international standards bodies and professional organizations for requirements and terminology; (2) peer-reviewed journal and conference literature for technical findings; (3) recognized industry publications for current practice and trends; and (4) supplier case studies only where they illustrate implementation rather than establish universal technical requirements.</w:t>
      </w:r>
    </w:p>
    <w:p>
      <w:pPr>
        <w:pStyle w:val="Heading2"/>
      </w:pPr>
      <w:r>
        <w:t>6.2 Key Literature Findings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984"/>
            <w:vAlign w:val="center"/>
            <w:shd w:fill="D9EAF7"/>
          </w:tcPr>
          <w:p>
            <w:pPr>
              <w:spacing w:after="40"/>
            </w:pPr>
            <w:r/>
            <w:r>
              <w:rPr>
                <w:rFonts w:ascii="Aptos" w:hAnsi="Aptos"/>
                <w:b/>
                <w:sz w:val="16"/>
              </w:rPr>
              <w:t>Research area</w:t>
            </w:r>
          </w:p>
        </w:tc>
        <w:tc>
          <w:tcPr>
            <w:tcW w:type="dxa" w:w="7087"/>
            <w:vAlign w:val="center"/>
            <w:shd w:fill="D9EAF7"/>
          </w:tcPr>
          <w:p>
            <w:pPr>
              <w:spacing w:after="40"/>
            </w:pPr>
            <w:r/>
            <w:r>
              <w:rPr>
                <w:rFonts w:ascii="Aptos" w:hAnsi="Aptos"/>
                <w:b/>
                <w:sz w:val="16"/>
              </w:rPr>
              <w:t>Finding</w:t>
            </w:r>
          </w:p>
        </w:tc>
        <w:tc>
          <w:tcPr>
            <w:tcW w:type="dxa" w:w="1134"/>
            <w:vAlign w:val="center"/>
            <w:shd w:fill="D9EAF7"/>
          </w:tcPr>
          <w:p>
            <w:pPr>
              <w:spacing w:after="40"/>
            </w:pPr>
            <w:r/>
            <w:r>
              <w:rPr>
                <w:rFonts w:ascii="Aptos" w:hAnsi="Aptos"/>
                <w:b/>
                <w:sz w:val="16"/>
              </w:rPr>
              <w:t>Source</w:t>
            </w:r>
          </w:p>
        </w:tc>
      </w:tr>
      <w:tr>
        <w:tc>
          <w:tcPr>
            <w:tcW w:type="dxa" w:w="1984"/>
            <w:vAlign w:val="center"/>
          </w:tcPr>
          <w:p>
            <w:pPr>
              <w:spacing w:after="40"/>
            </w:pPr>
            <w:r/>
            <w:r>
              <w:rPr>
                <w:rFonts w:ascii="Aptos" w:hAnsi="Aptos"/>
                <w:b w:val="0"/>
                <w:sz w:val="16"/>
              </w:rPr>
              <w:t>Multi-robot cell design</w:t>
            </w:r>
          </w:p>
        </w:tc>
        <w:tc>
          <w:tcPr>
            <w:tcW w:type="dxa" w:w="7087"/>
            <w:vAlign w:val="center"/>
          </w:tcPr>
          <w:p>
            <w:pPr>
              <w:spacing w:after="40"/>
            </w:pPr>
            <w:r/>
            <w:r>
              <w:rPr>
                <w:rFonts w:ascii="Aptos" w:hAnsi="Aptos"/>
                <w:b w:val="0"/>
                <w:sz w:val="16"/>
              </w:rPr>
              <w:t>Pellegrinelli et al. show that BIW multi-robot spot-welding requires coordinated cell design and motion planning, with flexibility for different vehicle models as a major production driver.</w:t>
            </w:r>
          </w:p>
        </w:tc>
        <w:tc>
          <w:tcPr>
            <w:tcW w:type="dxa" w:w="1134"/>
            <w:vAlign w:val="center"/>
          </w:tcPr>
          <w:p>
            <w:pPr>
              <w:spacing w:after="40"/>
            </w:pPr>
            <w:r/>
            <w:r>
              <w:rPr>
                <w:rFonts w:ascii="Aptos" w:hAnsi="Aptos"/>
                <w:b w:val="0"/>
                <w:sz w:val="16"/>
              </w:rPr>
              <w:t>[3]</w:t>
            </w:r>
          </w:p>
        </w:tc>
      </w:tr>
      <w:tr>
        <w:tc>
          <w:tcPr>
            <w:tcW w:type="dxa" w:w="1984"/>
            <w:vAlign w:val="center"/>
          </w:tcPr>
          <w:p>
            <w:pPr>
              <w:spacing w:after="40"/>
            </w:pPr>
            <w:r/>
            <w:r>
              <w:rPr>
                <w:rFonts w:ascii="Aptos" w:hAnsi="Aptos"/>
                <w:b w:val="0"/>
                <w:sz w:val="16"/>
              </w:rPr>
              <w:t>Digital process planning</w:t>
            </w:r>
          </w:p>
        </w:tc>
        <w:tc>
          <w:tcPr>
            <w:tcW w:type="dxa" w:w="7087"/>
            <w:vAlign w:val="center"/>
          </w:tcPr>
          <w:p>
            <w:pPr>
              <w:spacing w:after="40"/>
            </w:pPr>
            <w:r/>
            <w:r>
              <w:rPr>
                <w:rFonts w:ascii="Aptos" w:hAnsi="Aptos"/>
                <w:b w:val="0"/>
                <w:sz w:val="16"/>
              </w:rPr>
              <w:t>Research on BIW spot-welding process planning identifies physical trials as costly and time-consuming and explores virtual testing to reduce development loops; information sharing and workflow continuity are critical.</w:t>
            </w:r>
          </w:p>
        </w:tc>
        <w:tc>
          <w:tcPr>
            <w:tcW w:type="dxa" w:w="1134"/>
            <w:vAlign w:val="center"/>
          </w:tcPr>
          <w:p>
            <w:pPr>
              <w:spacing w:after="40"/>
            </w:pPr>
            <w:r/>
            <w:r>
              <w:rPr>
                <w:rFonts w:ascii="Aptos" w:hAnsi="Aptos"/>
                <w:b w:val="0"/>
                <w:sz w:val="16"/>
              </w:rPr>
              <w:t>[4]</w:t>
            </w:r>
          </w:p>
        </w:tc>
      </w:tr>
      <w:tr>
        <w:tc>
          <w:tcPr>
            <w:tcW w:type="dxa" w:w="1984"/>
            <w:vAlign w:val="center"/>
          </w:tcPr>
          <w:p>
            <w:pPr>
              <w:spacing w:after="40"/>
            </w:pPr>
            <w:r/>
            <w:r>
              <w:rPr>
                <w:rFonts w:ascii="Aptos" w:hAnsi="Aptos"/>
                <w:b w:val="0"/>
                <w:sz w:val="16"/>
              </w:rPr>
              <w:t>Quality assurance</w:t>
            </w:r>
          </w:p>
        </w:tc>
        <w:tc>
          <w:tcPr>
            <w:tcW w:type="dxa" w:w="7087"/>
            <w:vAlign w:val="center"/>
          </w:tcPr>
          <w:p>
            <w:pPr>
              <w:spacing w:after="40"/>
            </w:pPr>
            <w:r/>
            <w:r>
              <w:rPr>
                <w:rFonts w:ascii="Aptos" w:hAnsi="Aptos"/>
                <w:b w:val="0"/>
                <w:sz w:val="16"/>
              </w:rPr>
              <w:t>A 2024 review reports that many established RSW quality programs rely on offline or destructive practices, while online quality assessment is increasingly feasible and important for higher quality assurance.</w:t>
            </w:r>
          </w:p>
        </w:tc>
        <w:tc>
          <w:tcPr>
            <w:tcW w:type="dxa" w:w="1134"/>
            <w:vAlign w:val="center"/>
          </w:tcPr>
          <w:p>
            <w:pPr>
              <w:spacing w:after="40"/>
            </w:pPr>
            <w:r/>
            <w:r>
              <w:rPr>
                <w:rFonts w:ascii="Aptos" w:hAnsi="Aptos"/>
                <w:b w:val="0"/>
                <w:sz w:val="16"/>
              </w:rPr>
              <w:t>[12]</w:t>
            </w:r>
          </w:p>
        </w:tc>
      </w:tr>
      <w:tr>
        <w:tc>
          <w:tcPr>
            <w:tcW w:type="dxa" w:w="1984"/>
            <w:vAlign w:val="center"/>
          </w:tcPr>
          <w:p>
            <w:pPr>
              <w:spacing w:after="40"/>
            </w:pPr>
            <w:r/>
            <w:r>
              <w:rPr>
                <w:rFonts w:ascii="Aptos" w:hAnsi="Aptos"/>
                <w:b w:val="0"/>
                <w:sz w:val="16"/>
              </w:rPr>
              <w:t>Machine learning</w:t>
            </w:r>
          </w:p>
        </w:tc>
        <w:tc>
          <w:tcPr>
            <w:tcW w:type="dxa" w:w="7087"/>
            <w:vAlign w:val="center"/>
          </w:tcPr>
          <w:p>
            <w:pPr>
              <w:spacing w:after="40"/>
            </w:pPr>
            <w:r/>
            <w:r>
              <w:rPr>
                <w:rFonts w:ascii="Aptos" w:hAnsi="Aptos"/>
                <w:b w:val="0"/>
                <w:sz w:val="16"/>
              </w:rPr>
              <w:t>A 2024 study evaluated several ML approaches for automotive RSW quality prediction; XGBoost achieved 97.1% accuracy on the reported unseen dataset. This is a research result, not a universal production guarantee.</w:t>
            </w:r>
          </w:p>
        </w:tc>
        <w:tc>
          <w:tcPr>
            <w:tcW w:type="dxa" w:w="1134"/>
            <w:vAlign w:val="center"/>
          </w:tcPr>
          <w:p>
            <w:pPr>
              <w:spacing w:after="40"/>
            </w:pPr>
            <w:r/>
            <w:r>
              <w:rPr>
                <w:rFonts w:ascii="Aptos" w:hAnsi="Aptos"/>
                <w:b w:val="0"/>
                <w:sz w:val="16"/>
              </w:rPr>
              <w:t>[13]</w:t>
            </w:r>
          </w:p>
        </w:tc>
      </w:tr>
      <w:tr>
        <w:tc>
          <w:tcPr>
            <w:tcW w:type="dxa" w:w="1984"/>
            <w:vAlign w:val="center"/>
          </w:tcPr>
          <w:p>
            <w:pPr>
              <w:spacing w:after="40"/>
            </w:pPr>
            <w:r/>
            <w:r>
              <w:rPr>
                <w:rFonts w:ascii="Aptos" w:hAnsi="Aptos"/>
                <w:b w:val="0"/>
                <w:sz w:val="16"/>
              </w:rPr>
              <w:t>Digital twins</w:t>
            </w:r>
          </w:p>
        </w:tc>
        <w:tc>
          <w:tcPr>
            <w:tcW w:type="dxa" w:w="7087"/>
            <w:vAlign w:val="center"/>
          </w:tcPr>
          <w:p>
            <w:pPr>
              <w:spacing w:after="40"/>
            </w:pPr>
            <w:r/>
            <w:r>
              <w:rPr>
                <w:rFonts w:ascii="Aptos" w:hAnsi="Aptos"/>
                <w:b w:val="0"/>
                <w:sz w:val="16"/>
              </w:rPr>
              <w:t>A 2025 Scientific Reports study used digital-twin-generated dynamic-resistance data with machine learning for automotive RSW quality prediction and reported strong test performance in its case study.</w:t>
            </w:r>
          </w:p>
        </w:tc>
        <w:tc>
          <w:tcPr>
            <w:tcW w:type="dxa" w:w="1134"/>
            <w:vAlign w:val="center"/>
          </w:tcPr>
          <w:p>
            <w:pPr>
              <w:spacing w:after="40"/>
            </w:pPr>
            <w:r/>
            <w:r>
              <w:rPr>
                <w:rFonts w:ascii="Aptos" w:hAnsi="Aptos"/>
                <w:b w:val="0"/>
                <w:sz w:val="16"/>
              </w:rPr>
              <w:t>[14]</w:t>
            </w:r>
          </w:p>
        </w:tc>
      </w:tr>
      <w:tr>
        <w:tc>
          <w:tcPr>
            <w:tcW w:type="dxa" w:w="1984"/>
            <w:vAlign w:val="center"/>
          </w:tcPr>
          <w:p>
            <w:pPr>
              <w:spacing w:after="40"/>
            </w:pPr>
            <w:r/>
            <w:r>
              <w:rPr>
                <w:rFonts w:ascii="Aptos" w:hAnsi="Aptos"/>
                <w:b w:val="0"/>
                <w:sz w:val="16"/>
              </w:rPr>
              <w:t>AI vision</w:t>
            </w:r>
          </w:p>
        </w:tc>
        <w:tc>
          <w:tcPr>
            <w:tcW w:type="dxa" w:w="7087"/>
            <w:vAlign w:val="center"/>
          </w:tcPr>
          <w:p>
            <w:pPr>
              <w:spacing w:after="40"/>
            </w:pPr>
            <w:r/>
            <w:r>
              <w:rPr>
                <w:rFonts w:ascii="Aptos" w:hAnsi="Aptos"/>
                <w:b w:val="0"/>
                <w:sz w:val="16"/>
              </w:rPr>
              <w:t>Recent research demonstrates computer-vision approaches for non-destructive weld-quality classification using visible and thermal information.</w:t>
            </w:r>
          </w:p>
        </w:tc>
        <w:tc>
          <w:tcPr>
            <w:tcW w:type="dxa" w:w="1134"/>
            <w:vAlign w:val="center"/>
          </w:tcPr>
          <w:p>
            <w:pPr>
              <w:spacing w:after="40"/>
            </w:pPr>
            <w:r/>
            <w:r>
              <w:rPr>
                <w:rFonts w:ascii="Aptos" w:hAnsi="Aptos"/>
                <w:b w:val="0"/>
                <w:sz w:val="16"/>
              </w:rPr>
              <w:t>[15]</w:t>
            </w:r>
          </w:p>
        </w:tc>
      </w:tr>
      <w:tr>
        <w:tc>
          <w:tcPr>
            <w:tcW w:type="dxa" w:w="1984"/>
            <w:vAlign w:val="center"/>
          </w:tcPr>
          <w:p>
            <w:pPr>
              <w:spacing w:after="40"/>
            </w:pPr>
            <w:r/>
            <w:r>
              <w:rPr>
                <w:rFonts w:ascii="Aptos" w:hAnsi="Aptos"/>
                <w:b w:val="0"/>
                <w:sz w:val="16"/>
              </w:rPr>
              <w:t>Aluminum RSW</w:t>
            </w:r>
          </w:p>
        </w:tc>
        <w:tc>
          <w:tcPr>
            <w:tcW w:type="dxa" w:w="7087"/>
            <w:vAlign w:val="center"/>
          </w:tcPr>
          <w:p>
            <w:pPr>
              <w:spacing w:after="40"/>
            </w:pPr>
            <w:r/>
            <w:r>
              <w:rPr>
                <w:rFonts w:ascii="Aptos" w:hAnsi="Aptos"/>
                <w:b w:val="0"/>
                <w:sz w:val="16"/>
              </w:rPr>
              <w:t>Recent research highlights the increasing use of RSW for aluminum and the sensitivity of weld-spot diameter to welding current, electrode force, adhesive and sheet thickness.</w:t>
            </w:r>
          </w:p>
        </w:tc>
        <w:tc>
          <w:tcPr>
            <w:tcW w:type="dxa" w:w="1134"/>
            <w:vAlign w:val="center"/>
          </w:tcPr>
          <w:p>
            <w:pPr>
              <w:spacing w:after="40"/>
            </w:pPr>
            <w:r/>
            <w:r>
              <w:rPr>
                <w:rFonts w:ascii="Aptos" w:hAnsi="Aptos"/>
                <w:b w:val="0"/>
                <w:sz w:val="16"/>
              </w:rPr>
              <w:t>[16]</w:t>
            </w:r>
          </w:p>
        </w:tc>
      </w:tr>
      <w:tr>
        <w:tc>
          <w:tcPr>
            <w:tcW w:type="dxa" w:w="1984"/>
            <w:vAlign w:val="center"/>
          </w:tcPr>
          <w:p>
            <w:pPr>
              <w:spacing w:after="40"/>
            </w:pPr>
            <w:r/>
            <w:r>
              <w:rPr>
                <w:rFonts w:ascii="Aptos" w:hAnsi="Aptos"/>
                <w:b w:val="0"/>
                <w:sz w:val="16"/>
              </w:rPr>
              <w:t>AI in automotive welding</w:t>
            </w:r>
          </w:p>
        </w:tc>
        <w:tc>
          <w:tcPr>
            <w:tcW w:type="dxa" w:w="7087"/>
            <w:vAlign w:val="center"/>
          </w:tcPr>
          <w:p>
            <w:pPr>
              <w:spacing w:after="40"/>
            </w:pPr>
            <w:r/>
            <w:r>
              <w:rPr>
                <w:rFonts w:ascii="Aptos" w:hAnsi="Aptos"/>
                <w:b w:val="0"/>
                <w:sz w:val="16"/>
              </w:rPr>
              <w:t>AWS Welding Journal describes advanced sensing and data analytics as important components for improving weld monitoring and quality assurance, including electrode-force and displacement sensing.</w:t>
            </w:r>
          </w:p>
        </w:tc>
        <w:tc>
          <w:tcPr>
            <w:tcW w:type="dxa" w:w="1134"/>
            <w:vAlign w:val="center"/>
          </w:tcPr>
          <w:p>
            <w:pPr>
              <w:spacing w:after="40"/>
            </w:pPr>
            <w:r/>
            <w:r>
              <w:rPr>
                <w:rFonts w:ascii="Aptos" w:hAnsi="Aptos"/>
                <w:b w:val="0"/>
                <w:sz w:val="16"/>
              </w:rPr>
              <w:t>[17]</w:t>
            </w:r>
          </w:p>
        </w:tc>
      </w:tr>
    </w:tbl>
    <w:p/>
    <w:p>
      <w:pPr>
        <w:pStyle w:val="Heading2"/>
      </w:pPr>
      <w:r>
        <w:t>6.3 Literature Review Synthesis</w:t>
      </w:r>
    </w:p>
    <w:p>
      <w:r>
        <w:t>The literature indicates a clear evolution. Traditional RSW documentation concentrates on process windows, equipment settings, electrode management and offline quality checks. Modern research increasingly treats the welding cell as a data-generating cyber-physical system. Sensors, robot/controller signals, dynamic resistance, force/displacement and vision can be combined with analytics to predict quality or identify abnormal conditions. Digital twins can provide virtual data and test scenarios, potentially reducing the dependence on costly physical experiments. The major technical challenge is moving from promising laboratory or case-study models to robust, explainable and maintainable production systems.</w:t>
      </w:r>
    </w:p>
    <w:p>
      <w:pPr>
        <w:pStyle w:val="Heading1"/>
      </w:pPr>
      <w:r>
        <w:t>7. Current Industry Trends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835"/>
            <w:vAlign w:val="center"/>
            <w:shd w:fill="D9EAF7"/>
          </w:tcPr>
          <w:p>
            <w:pPr>
              <w:spacing w:after="40"/>
            </w:pPr>
            <w:r/>
            <w:r>
              <w:rPr>
                <w:rFonts w:ascii="Aptos" w:hAnsi="Aptos"/>
                <w:b/>
                <w:sz w:val="17"/>
              </w:rPr>
              <w:t>Trend</w:t>
            </w:r>
          </w:p>
        </w:tc>
        <w:tc>
          <w:tcPr>
            <w:tcW w:type="dxa" w:w="7370"/>
            <w:vAlign w:val="center"/>
            <w:shd w:fill="D9EAF7"/>
          </w:tcPr>
          <w:p>
            <w:pPr>
              <w:spacing w:after="40"/>
            </w:pPr>
            <w:r/>
            <w:r>
              <w:rPr>
                <w:rFonts w:ascii="Aptos" w:hAnsi="Aptos"/>
                <w:b/>
                <w:sz w:val="17"/>
              </w:rPr>
              <w:t>Technical significance</w:t>
            </w:r>
          </w:p>
        </w:tc>
      </w:tr>
      <w:tr>
        <w:tc>
          <w:tcPr>
            <w:tcW w:type="dxa" w:w="2835"/>
            <w:vAlign w:val="center"/>
          </w:tcPr>
          <w:p>
            <w:pPr>
              <w:spacing w:after="40"/>
            </w:pPr>
            <w:r/>
            <w:r>
              <w:rPr>
                <w:rFonts w:ascii="Aptos" w:hAnsi="Aptos"/>
                <w:b w:val="0"/>
                <w:sz w:val="17"/>
              </w:rPr>
              <w:t>Flexible multi-robot cells</w:t>
            </w:r>
          </w:p>
        </w:tc>
        <w:tc>
          <w:tcPr>
            <w:tcW w:type="dxa" w:w="7370"/>
            <w:vAlign w:val="center"/>
          </w:tcPr>
          <w:p>
            <w:pPr>
              <w:spacing w:after="40"/>
            </w:pPr>
            <w:r/>
            <w:r>
              <w:rPr>
                <w:rFonts w:ascii="Aptos" w:hAnsi="Aptos"/>
                <w:b w:val="0"/>
                <w:sz w:val="17"/>
              </w:rPr>
              <w:t>Cell layouts increasingly need to accommodate product variants, changing weld-point access requirements and optimized robot coordination. [3]</w:t>
            </w:r>
          </w:p>
        </w:tc>
      </w:tr>
      <w:tr>
        <w:tc>
          <w:tcPr>
            <w:tcW w:type="dxa" w:w="2835"/>
            <w:vAlign w:val="center"/>
          </w:tcPr>
          <w:p>
            <w:pPr>
              <w:spacing w:after="40"/>
            </w:pPr>
            <w:r/>
            <w:r>
              <w:rPr>
                <w:rFonts w:ascii="Aptos" w:hAnsi="Aptos"/>
                <w:b w:val="0"/>
                <w:sz w:val="17"/>
              </w:rPr>
              <w:t>Offline programming and digital twins</w:t>
            </w:r>
          </w:p>
        </w:tc>
        <w:tc>
          <w:tcPr>
            <w:tcW w:type="dxa" w:w="7370"/>
            <w:vAlign w:val="center"/>
          </w:tcPr>
          <w:p>
            <w:pPr>
              <w:spacing w:after="40"/>
            </w:pPr>
            <w:r/>
            <w:r>
              <w:rPr>
                <w:rFonts w:ascii="Aptos" w:hAnsi="Aptos"/>
                <w:b w:val="0"/>
                <w:sz w:val="17"/>
              </w:rPr>
              <w:t>Virtual process planning can reduce physical teaching and commissioning time. Research also identifies digital twins as a path toward virtual process validation and data generation. [4][14]</w:t>
            </w:r>
          </w:p>
        </w:tc>
      </w:tr>
      <w:tr>
        <w:tc>
          <w:tcPr>
            <w:tcW w:type="dxa" w:w="2835"/>
            <w:vAlign w:val="center"/>
          </w:tcPr>
          <w:p>
            <w:pPr>
              <w:spacing w:after="40"/>
            </w:pPr>
            <w:r/>
            <w:r>
              <w:rPr>
                <w:rFonts w:ascii="Aptos" w:hAnsi="Aptos"/>
                <w:b w:val="0"/>
                <w:sz w:val="17"/>
              </w:rPr>
              <w:t>Online weld-quality monitoring</w:t>
            </w:r>
          </w:p>
        </w:tc>
        <w:tc>
          <w:tcPr>
            <w:tcW w:type="dxa" w:w="7370"/>
            <w:vAlign w:val="center"/>
          </w:tcPr>
          <w:p>
            <w:pPr>
              <w:spacing w:after="40"/>
            </w:pPr>
            <w:r/>
            <w:r>
              <w:rPr>
                <w:rFonts w:ascii="Aptos" w:hAnsi="Aptos"/>
                <w:b w:val="0"/>
                <w:sz w:val="17"/>
              </w:rPr>
              <w:t>The industry is moving from sample-based inspection toward greater use of process signals and online assessment. [12][17]</w:t>
            </w:r>
          </w:p>
        </w:tc>
      </w:tr>
      <w:tr>
        <w:tc>
          <w:tcPr>
            <w:tcW w:type="dxa" w:w="2835"/>
            <w:vAlign w:val="center"/>
          </w:tcPr>
          <w:p>
            <w:pPr>
              <w:spacing w:after="40"/>
            </w:pPr>
            <w:r/>
            <w:r>
              <w:rPr>
                <w:rFonts w:ascii="Aptos" w:hAnsi="Aptos"/>
                <w:b w:val="0"/>
                <w:sz w:val="17"/>
              </w:rPr>
              <w:t>Machine learning for quality prediction</w:t>
            </w:r>
          </w:p>
        </w:tc>
        <w:tc>
          <w:tcPr>
            <w:tcW w:type="dxa" w:w="7370"/>
            <w:vAlign w:val="center"/>
          </w:tcPr>
          <w:p>
            <w:pPr>
              <w:spacing w:after="40"/>
            </w:pPr>
            <w:r/>
            <w:r>
              <w:rPr>
                <w:rFonts w:ascii="Aptos" w:hAnsi="Aptos"/>
                <w:b w:val="0"/>
                <w:sz w:val="17"/>
              </w:rPr>
              <w:t>ML is being investigated for weld-quality classification, defect detection and expulsion prediction. Results can be strong in controlled datasets, but generalization must be validated before production deployment. [13][18]</w:t>
            </w:r>
          </w:p>
        </w:tc>
      </w:tr>
      <w:tr>
        <w:tc>
          <w:tcPr>
            <w:tcW w:type="dxa" w:w="2835"/>
            <w:vAlign w:val="center"/>
          </w:tcPr>
          <w:p>
            <w:pPr>
              <w:spacing w:after="40"/>
            </w:pPr>
            <w:r/>
            <w:r>
              <w:rPr>
                <w:rFonts w:ascii="Aptos" w:hAnsi="Aptos"/>
                <w:b w:val="0"/>
                <w:sz w:val="17"/>
              </w:rPr>
              <w:t>Computer vision</w:t>
            </w:r>
          </w:p>
        </w:tc>
        <w:tc>
          <w:tcPr>
            <w:tcW w:type="dxa" w:w="7370"/>
            <w:vAlign w:val="center"/>
          </w:tcPr>
          <w:p>
            <w:pPr>
              <w:spacing w:after="40"/>
            </w:pPr>
            <w:r/>
            <w:r>
              <w:rPr>
                <w:rFonts w:ascii="Aptos" w:hAnsi="Aptos"/>
                <w:b w:val="0"/>
                <w:sz w:val="17"/>
              </w:rPr>
              <w:t>Vision systems are being researched for automated defect detection and weld-feature measurement, potentially supporting non-destructive inspection and maintenance decisions. [15]</w:t>
            </w:r>
          </w:p>
        </w:tc>
      </w:tr>
      <w:tr>
        <w:tc>
          <w:tcPr>
            <w:tcW w:type="dxa" w:w="2835"/>
            <w:vAlign w:val="center"/>
          </w:tcPr>
          <w:p>
            <w:pPr>
              <w:spacing w:after="40"/>
            </w:pPr>
            <w:r/>
            <w:r>
              <w:rPr>
                <w:rFonts w:ascii="Aptos" w:hAnsi="Aptos"/>
                <w:b w:val="0"/>
                <w:sz w:val="17"/>
              </w:rPr>
              <w:t>Aluminum and mixed-material challenges</w:t>
            </w:r>
          </w:p>
        </w:tc>
        <w:tc>
          <w:tcPr>
            <w:tcW w:type="dxa" w:w="7370"/>
            <w:vAlign w:val="center"/>
          </w:tcPr>
          <w:p>
            <w:pPr>
              <w:spacing w:after="40"/>
            </w:pPr>
            <w:r/>
            <w:r>
              <w:rPr>
                <w:rFonts w:ascii="Aptos" w:hAnsi="Aptos"/>
                <w:b w:val="0"/>
                <w:sz w:val="17"/>
              </w:rPr>
              <w:t>Aluminum RSW is receiving increased attention because electrical/thermal behavior, coatings, adhesives and electrode interactions differ from traditional steel applications. [16]</w:t>
            </w:r>
          </w:p>
        </w:tc>
      </w:tr>
      <w:tr>
        <w:tc>
          <w:tcPr>
            <w:tcW w:type="dxa" w:w="2835"/>
            <w:vAlign w:val="center"/>
          </w:tcPr>
          <w:p>
            <w:pPr>
              <w:spacing w:after="40"/>
            </w:pPr>
            <w:r/>
            <w:r>
              <w:rPr>
                <w:rFonts w:ascii="Aptos" w:hAnsi="Aptos"/>
                <w:b w:val="0"/>
                <w:sz w:val="17"/>
              </w:rPr>
              <w:t>Closed-loop manufacturing</w:t>
            </w:r>
          </w:p>
        </w:tc>
        <w:tc>
          <w:tcPr>
            <w:tcW w:type="dxa" w:w="7370"/>
            <w:vAlign w:val="center"/>
          </w:tcPr>
          <w:p>
            <w:pPr>
              <w:spacing w:after="40"/>
            </w:pPr>
            <w:r/>
            <w:r>
              <w:rPr>
                <w:rFonts w:ascii="Aptos" w:hAnsi="Aptos"/>
                <w:b w:val="0"/>
                <w:sz w:val="17"/>
              </w:rPr>
              <w:t>The long-term direction is to sense process behavior, classify quality, recommend or execute corrective actions, and feed the results back into maintenance and process planning.</w:t>
            </w:r>
          </w:p>
        </w:tc>
      </w:tr>
    </w:tbl>
    <w:p/>
    <w:p>
      <w:pPr>
        <w:pStyle w:val="Heading2"/>
      </w:pPr>
      <w:r>
        <w:t>7.1 Trend-to-Roadmap Matrix</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vAlign w:val="center"/>
            <w:shd w:fill="D9EAF7"/>
          </w:tcPr>
          <w:p>
            <w:pPr>
              <w:spacing w:after="40"/>
            </w:pPr>
            <w:r/>
            <w:r>
              <w:rPr>
                <w:rFonts w:ascii="Aptos" w:hAnsi="Aptos"/>
                <w:b/>
                <w:sz w:val="17"/>
              </w:rPr>
              <w:t>Trend</w:t>
            </w:r>
          </w:p>
        </w:tc>
        <w:tc>
          <w:tcPr>
            <w:tcW w:type="dxa" w:w="4535"/>
            <w:vAlign w:val="center"/>
            <w:shd w:fill="D9EAF7"/>
          </w:tcPr>
          <w:p>
            <w:pPr>
              <w:spacing w:after="40"/>
            </w:pPr>
            <w:r/>
            <w:r>
              <w:rPr>
                <w:rFonts w:ascii="Aptos" w:hAnsi="Aptos"/>
                <w:b/>
                <w:sz w:val="17"/>
              </w:rPr>
              <w:t>Near-term documentation content</w:t>
            </w:r>
          </w:p>
        </w:tc>
        <w:tc>
          <w:tcPr>
            <w:tcW w:type="dxa" w:w="3402"/>
            <w:vAlign w:val="center"/>
            <w:shd w:fill="D9EAF7"/>
          </w:tcPr>
          <w:p>
            <w:pPr>
              <w:spacing w:after="40"/>
            </w:pPr>
            <w:r/>
            <w:r>
              <w:rPr>
                <w:rFonts w:ascii="Aptos" w:hAnsi="Aptos"/>
                <w:b/>
                <w:sz w:val="17"/>
              </w:rPr>
              <w:t>Future extension</w:t>
            </w:r>
          </w:p>
        </w:tc>
      </w:tr>
      <w:tr>
        <w:tc>
          <w:tcPr>
            <w:tcW w:type="dxa" w:w="2268"/>
            <w:vAlign w:val="center"/>
          </w:tcPr>
          <w:p>
            <w:pPr>
              <w:spacing w:after="40"/>
            </w:pPr>
            <w:r/>
            <w:r>
              <w:rPr>
                <w:rFonts w:ascii="Aptos" w:hAnsi="Aptos"/>
                <w:b w:val="0"/>
                <w:sz w:val="17"/>
              </w:rPr>
              <w:t>Digital twin</w:t>
            </w:r>
          </w:p>
        </w:tc>
        <w:tc>
          <w:tcPr>
            <w:tcW w:type="dxa" w:w="4535"/>
            <w:vAlign w:val="center"/>
          </w:tcPr>
          <w:p>
            <w:pPr>
              <w:spacing w:after="40"/>
            </w:pPr>
            <w:r/>
            <w:r>
              <w:rPr>
                <w:rFonts w:ascii="Aptos" w:hAnsi="Aptos"/>
                <w:b w:val="0"/>
                <w:sz w:val="17"/>
              </w:rPr>
              <w:t>Explain virtual cell, robot paths and process validation</w:t>
            </w:r>
          </w:p>
        </w:tc>
        <w:tc>
          <w:tcPr>
            <w:tcW w:type="dxa" w:w="3402"/>
            <w:vAlign w:val="center"/>
          </w:tcPr>
          <w:p>
            <w:pPr>
              <w:spacing w:after="40"/>
            </w:pPr>
            <w:r/>
            <w:r>
              <w:rPr>
                <w:rFonts w:ascii="Aptos" w:hAnsi="Aptos"/>
                <w:b w:val="0"/>
                <w:sz w:val="17"/>
              </w:rPr>
              <w:t>Simulation-linked production data</w:t>
            </w:r>
          </w:p>
        </w:tc>
      </w:tr>
      <w:tr>
        <w:tc>
          <w:tcPr>
            <w:tcW w:type="dxa" w:w="2268"/>
            <w:vAlign w:val="center"/>
          </w:tcPr>
          <w:p>
            <w:pPr>
              <w:spacing w:after="40"/>
            </w:pPr>
            <w:r/>
            <w:r>
              <w:rPr>
                <w:rFonts w:ascii="Aptos" w:hAnsi="Aptos"/>
                <w:b w:val="0"/>
                <w:sz w:val="17"/>
              </w:rPr>
              <w:t>AI/ML</w:t>
            </w:r>
          </w:p>
        </w:tc>
        <w:tc>
          <w:tcPr>
            <w:tcW w:type="dxa" w:w="4535"/>
            <w:vAlign w:val="center"/>
          </w:tcPr>
          <w:p>
            <w:pPr>
              <w:spacing w:after="40"/>
            </w:pPr>
            <w:r/>
            <w:r>
              <w:rPr>
                <w:rFonts w:ascii="Aptos" w:hAnsi="Aptos"/>
                <w:b w:val="0"/>
                <w:sz w:val="17"/>
              </w:rPr>
              <w:t>Explain data pipeline and model-validation principles</w:t>
            </w:r>
          </w:p>
        </w:tc>
        <w:tc>
          <w:tcPr>
            <w:tcW w:type="dxa" w:w="3402"/>
            <w:vAlign w:val="center"/>
          </w:tcPr>
          <w:p>
            <w:pPr>
              <w:spacing w:after="40"/>
            </w:pPr>
            <w:r/>
            <w:r>
              <w:rPr>
                <w:rFonts w:ascii="Aptos" w:hAnsi="Aptos"/>
                <w:b w:val="0"/>
                <w:sz w:val="17"/>
              </w:rPr>
              <w:t>Real-time prediction and closed-loop control</w:t>
            </w:r>
          </w:p>
        </w:tc>
      </w:tr>
      <w:tr>
        <w:tc>
          <w:tcPr>
            <w:tcW w:type="dxa" w:w="2268"/>
            <w:vAlign w:val="center"/>
          </w:tcPr>
          <w:p>
            <w:pPr>
              <w:spacing w:after="40"/>
            </w:pPr>
            <w:r/>
            <w:r>
              <w:rPr>
                <w:rFonts w:ascii="Aptos" w:hAnsi="Aptos"/>
                <w:b w:val="0"/>
                <w:sz w:val="17"/>
              </w:rPr>
              <w:t>Vision</w:t>
            </w:r>
          </w:p>
        </w:tc>
        <w:tc>
          <w:tcPr>
            <w:tcW w:type="dxa" w:w="4535"/>
            <w:vAlign w:val="center"/>
          </w:tcPr>
          <w:p>
            <w:pPr>
              <w:spacing w:after="40"/>
            </w:pPr>
            <w:r/>
            <w:r>
              <w:rPr>
                <w:rFonts w:ascii="Aptos" w:hAnsi="Aptos"/>
                <w:b w:val="0"/>
                <w:sz w:val="17"/>
              </w:rPr>
              <w:t>Describe inspection concept and limitations</w:t>
            </w:r>
          </w:p>
        </w:tc>
        <w:tc>
          <w:tcPr>
            <w:tcW w:type="dxa" w:w="3402"/>
            <w:vAlign w:val="center"/>
          </w:tcPr>
          <w:p>
            <w:pPr>
              <w:spacing w:after="40"/>
            </w:pPr>
            <w:r/>
            <w:r>
              <w:rPr>
                <w:rFonts w:ascii="Aptos" w:hAnsi="Aptos"/>
                <w:b w:val="0"/>
                <w:sz w:val="17"/>
              </w:rPr>
              <w:t>100% non-destructive inspection</w:t>
            </w:r>
          </w:p>
        </w:tc>
      </w:tr>
      <w:tr>
        <w:tc>
          <w:tcPr>
            <w:tcW w:type="dxa" w:w="2268"/>
            <w:vAlign w:val="center"/>
          </w:tcPr>
          <w:p>
            <w:pPr>
              <w:spacing w:after="40"/>
            </w:pPr>
            <w:r/>
            <w:r>
              <w:rPr>
                <w:rFonts w:ascii="Aptos" w:hAnsi="Aptos"/>
                <w:b w:val="0"/>
                <w:sz w:val="17"/>
              </w:rPr>
              <w:t>Online sensing</w:t>
            </w:r>
          </w:p>
        </w:tc>
        <w:tc>
          <w:tcPr>
            <w:tcW w:type="dxa" w:w="4535"/>
            <w:vAlign w:val="center"/>
          </w:tcPr>
          <w:p>
            <w:pPr>
              <w:spacing w:after="40"/>
            </w:pPr>
            <w:r/>
            <w:r>
              <w:rPr>
                <w:rFonts w:ascii="Aptos" w:hAnsi="Aptos"/>
                <w:b w:val="0"/>
                <w:sz w:val="17"/>
              </w:rPr>
              <w:t>Document current/force/displacement signals</w:t>
            </w:r>
          </w:p>
        </w:tc>
        <w:tc>
          <w:tcPr>
            <w:tcW w:type="dxa" w:w="3402"/>
            <w:vAlign w:val="center"/>
          </w:tcPr>
          <w:p>
            <w:pPr>
              <w:spacing w:after="40"/>
            </w:pPr>
            <w:r/>
            <w:r>
              <w:rPr>
                <w:rFonts w:ascii="Aptos" w:hAnsi="Aptos"/>
                <w:b w:val="0"/>
                <w:sz w:val="17"/>
              </w:rPr>
              <w:t>Adaptive process control</w:t>
            </w:r>
          </w:p>
        </w:tc>
      </w:tr>
      <w:tr>
        <w:tc>
          <w:tcPr>
            <w:tcW w:type="dxa" w:w="2268"/>
            <w:vAlign w:val="center"/>
          </w:tcPr>
          <w:p>
            <w:pPr>
              <w:spacing w:after="40"/>
            </w:pPr>
            <w:r/>
            <w:r>
              <w:rPr>
                <w:rFonts w:ascii="Aptos" w:hAnsi="Aptos"/>
                <w:b w:val="0"/>
                <w:sz w:val="17"/>
              </w:rPr>
              <w:t>Flexible robotics</w:t>
            </w:r>
          </w:p>
        </w:tc>
        <w:tc>
          <w:tcPr>
            <w:tcW w:type="dxa" w:w="4535"/>
            <w:vAlign w:val="center"/>
          </w:tcPr>
          <w:p>
            <w:pPr>
              <w:spacing w:after="40"/>
            </w:pPr>
            <w:r/>
            <w:r>
              <w:rPr>
                <w:rFonts w:ascii="Aptos" w:hAnsi="Aptos"/>
                <w:b w:val="0"/>
                <w:sz w:val="17"/>
              </w:rPr>
              <w:t>Document multi-model cell planning</w:t>
            </w:r>
          </w:p>
        </w:tc>
        <w:tc>
          <w:tcPr>
            <w:tcW w:type="dxa" w:w="3402"/>
            <w:vAlign w:val="center"/>
          </w:tcPr>
          <w:p>
            <w:pPr>
              <w:spacing w:after="40"/>
            </w:pPr>
            <w:r/>
            <w:r>
              <w:rPr>
                <w:rFonts w:ascii="Aptos" w:hAnsi="Aptos"/>
                <w:b w:val="0"/>
                <w:sz w:val="17"/>
              </w:rPr>
              <w:t>Dynamic scheduling and optimization</w:t>
            </w:r>
          </w:p>
        </w:tc>
      </w:tr>
    </w:tbl>
    <w:p/>
    <w:p>
      <w:pPr>
        <w:pStyle w:val="Heading1"/>
      </w:pPr>
      <w:r>
        <w:t>8. Quality Assurance, Inspection and Data Analytics</w:t>
      </w:r>
    </w:p>
    <w:p>
      <w:pPr>
        <w:pStyle w:val="Heading2"/>
      </w:pPr>
      <w:r>
        <w:t>8.1 Quality Chain</w:t>
      </w:r>
    </w:p>
    <w:p>
      <w:pPr>
        <w:pStyle w:val="ListNumber"/>
        <w:spacing w:after="60"/>
      </w:pPr>
      <w:r>
        <w:t>Material verification → confirm grade, thickness and surface/coating condition.</w:t>
      </w:r>
    </w:p>
    <w:p>
      <w:pPr>
        <w:pStyle w:val="ListNumber"/>
        <w:spacing w:after="60"/>
      </w:pPr>
      <w:r>
        <w:t>Equipment verification → confirm robot, gun, controller, transformer and cooling status.</w:t>
      </w:r>
    </w:p>
    <w:p>
      <w:pPr>
        <w:pStyle w:val="ListNumber"/>
        <w:spacing w:after="60"/>
      </w:pPr>
      <w:r>
        <w:t>Electrode verification → inspect tip geometry, dressing condition and cooling.</w:t>
      </w:r>
    </w:p>
    <w:p>
      <w:pPr>
        <w:pStyle w:val="ListNumber"/>
        <w:spacing w:after="60"/>
      </w:pPr>
      <w:r>
        <w:t>Process verification → validate current, force, time and schedule.</w:t>
      </w:r>
    </w:p>
    <w:p>
      <w:pPr>
        <w:pStyle w:val="ListNumber"/>
        <w:spacing w:after="60"/>
      </w:pPr>
      <w:r>
        <w:t>Weld verification → apply appropriate visual, dimensional, mechanical or non-destructive checks.</w:t>
      </w:r>
    </w:p>
    <w:p>
      <w:pPr>
        <w:pStyle w:val="ListNumber"/>
        <w:spacing w:after="60"/>
      </w:pPr>
      <w:r>
        <w:t>Traceability → associate process results with body/VIN/serial number and weld location where the production system supports it.</w:t>
      </w:r>
    </w:p>
    <w:p>
      <w:pPr>
        <w:pStyle w:val="ListNumber"/>
        <w:spacing w:after="60"/>
      </w:pPr>
      <w:r>
        <w:t>Reaction plan → define what happens when a weld is outside the accepted process/quality condition.</w:t>
      </w:r>
    </w:p>
    <w:p>
      <w:pPr>
        <w:pStyle w:val="Heading2"/>
      </w:pPr>
      <w:r>
        <w:t>8.2 Typical Weld Defects to Cover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vAlign w:val="center"/>
            <w:shd w:fill="D9EAF7"/>
          </w:tcPr>
          <w:p>
            <w:pPr>
              <w:spacing w:after="40"/>
            </w:pPr>
            <w:r/>
            <w:r>
              <w:rPr>
                <w:rFonts w:ascii="Aptos" w:hAnsi="Aptos"/>
                <w:b/>
                <w:sz w:val="17"/>
              </w:rPr>
              <w:t>Defect / condition</w:t>
            </w:r>
          </w:p>
        </w:tc>
        <w:tc>
          <w:tcPr>
            <w:tcW w:type="dxa" w:w="3402"/>
            <w:vAlign w:val="center"/>
            <w:shd w:fill="D9EAF7"/>
          </w:tcPr>
          <w:p>
            <w:pPr>
              <w:spacing w:after="40"/>
            </w:pPr>
            <w:r/>
            <w:r>
              <w:rPr>
                <w:rFonts w:ascii="Aptos" w:hAnsi="Aptos"/>
                <w:b/>
                <w:sz w:val="17"/>
              </w:rPr>
              <w:t>Possible contributors</w:t>
            </w:r>
          </w:p>
        </w:tc>
        <w:tc>
          <w:tcPr>
            <w:tcW w:type="dxa" w:w="4535"/>
            <w:vAlign w:val="center"/>
            <w:shd w:fill="D9EAF7"/>
          </w:tcPr>
          <w:p>
            <w:pPr>
              <w:spacing w:after="40"/>
            </w:pPr>
            <w:r/>
            <w:r>
              <w:rPr>
                <w:rFonts w:ascii="Aptos" w:hAnsi="Aptos"/>
                <w:b/>
                <w:sz w:val="17"/>
              </w:rPr>
              <w:t>Documentation response</w:t>
            </w:r>
          </w:p>
        </w:tc>
      </w:tr>
      <w:tr>
        <w:tc>
          <w:tcPr>
            <w:tcW w:type="dxa" w:w="2268"/>
            <w:vAlign w:val="center"/>
          </w:tcPr>
          <w:p>
            <w:pPr>
              <w:spacing w:after="40"/>
            </w:pPr>
            <w:r/>
            <w:r>
              <w:rPr>
                <w:rFonts w:ascii="Aptos" w:hAnsi="Aptos"/>
                <w:b w:val="0"/>
                <w:sz w:val="17"/>
              </w:rPr>
              <w:t>Undersized nugget</w:t>
            </w:r>
          </w:p>
        </w:tc>
        <w:tc>
          <w:tcPr>
            <w:tcW w:type="dxa" w:w="3402"/>
            <w:vAlign w:val="center"/>
          </w:tcPr>
          <w:p>
            <w:pPr>
              <w:spacing w:after="40"/>
            </w:pPr>
            <w:r/>
            <w:r>
              <w:rPr>
                <w:rFonts w:ascii="Aptos" w:hAnsi="Aptos"/>
                <w:b w:val="0"/>
                <w:sz w:val="17"/>
              </w:rPr>
              <w:t>Insufficient heat input, poor contact, unsuitable schedule</w:t>
            </w:r>
          </w:p>
        </w:tc>
        <w:tc>
          <w:tcPr>
            <w:tcW w:type="dxa" w:w="4535"/>
            <w:vAlign w:val="center"/>
          </w:tcPr>
          <w:p>
            <w:pPr>
              <w:spacing w:after="40"/>
            </w:pPr>
            <w:r/>
            <w:r>
              <w:rPr>
                <w:rFonts w:ascii="Aptos" w:hAnsi="Aptos"/>
                <w:b w:val="0"/>
                <w:sz w:val="17"/>
              </w:rPr>
              <w:t>Check validated weld window and equipment condition</w:t>
            </w:r>
          </w:p>
        </w:tc>
      </w:tr>
      <w:tr>
        <w:tc>
          <w:tcPr>
            <w:tcW w:type="dxa" w:w="2268"/>
            <w:vAlign w:val="center"/>
          </w:tcPr>
          <w:p>
            <w:pPr>
              <w:spacing w:after="40"/>
            </w:pPr>
            <w:r/>
            <w:r>
              <w:rPr>
                <w:rFonts w:ascii="Aptos" w:hAnsi="Aptos"/>
                <w:b w:val="0"/>
                <w:sz w:val="17"/>
              </w:rPr>
              <w:t>Expulsion</w:t>
            </w:r>
          </w:p>
        </w:tc>
        <w:tc>
          <w:tcPr>
            <w:tcW w:type="dxa" w:w="3402"/>
            <w:vAlign w:val="center"/>
          </w:tcPr>
          <w:p>
            <w:pPr>
              <w:spacing w:after="40"/>
            </w:pPr>
            <w:r/>
            <w:r>
              <w:rPr>
                <w:rFonts w:ascii="Aptos" w:hAnsi="Aptos"/>
                <w:b w:val="0"/>
                <w:sz w:val="17"/>
              </w:rPr>
              <w:t>Excessive heat/current, force or surface/contact effects</w:t>
            </w:r>
          </w:p>
        </w:tc>
        <w:tc>
          <w:tcPr>
            <w:tcW w:type="dxa" w:w="4535"/>
            <w:vAlign w:val="center"/>
          </w:tcPr>
          <w:p>
            <w:pPr>
              <w:spacing w:after="40"/>
            </w:pPr>
            <w:r/>
            <w:r>
              <w:rPr>
                <w:rFonts w:ascii="Aptos" w:hAnsi="Aptos"/>
                <w:b w:val="0"/>
                <w:sz w:val="17"/>
              </w:rPr>
              <w:t>Use process monitoring and validated corrective action</w:t>
            </w:r>
          </w:p>
        </w:tc>
      </w:tr>
      <w:tr>
        <w:tc>
          <w:tcPr>
            <w:tcW w:type="dxa" w:w="2268"/>
            <w:vAlign w:val="center"/>
          </w:tcPr>
          <w:p>
            <w:pPr>
              <w:spacing w:after="40"/>
            </w:pPr>
            <w:r/>
            <w:r>
              <w:rPr>
                <w:rFonts w:ascii="Aptos" w:hAnsi="Aptos"/>
                <w:b w:val="0"/>
                <w:sz w:val="17"/>
              </w:rPr>
              <w:t>Electrode sticking / excessive wear</w:t>
            </w:r>
          </w:p>
        </w:tc>
        <w:tc>
          <w:tcPr>
            <w:tcW w:type="dxa" w:w="3402"/>
            <w:vAlign w:val="center"/>
          </w:tcPr>
          <w:p>
            <w:pPr>
              <w:spacing w:after="40"/>
            </w:pPr>
            <w:r/>
            <w:r>
              <w:rPr>
                <w:rFonts w:ascii="Aptos" w:hAnsi="Aptos"/>
                <w:b w:val="0"/>
                <w:sz w:val="17"/>
              </w:rPr>
              <w:t>High heat, coating interaction, inadequate cooling/dressing</w:t>
            </w:r>
          </w:p>
        </w:tc>
        <w:tc>
          <w:tcPr>
            <w:tcW w:type="dxa" w:w="4535"/>
            <w:vAlign w:val="center"/>
          </w:tcPr>
          <w:p>
            <w:pPr>
              <w:spacing w:after="40"/>
            </w:pPr>
            <w:r/>
            <w:r>
              <w:rPr>
                <w:rFonts w:ascii="Aptos" w:hAnsi="Aptos"/>
                <w:b w:val="0"/>
                <w:sz w:val="17"/>
              </w:rPr>
              <w:t>Review tip life, dressing and cooling</w:t>
            </w:r>
          </w:p>
        </w:tc>
      </w:tr>
      <w:tr>
        <w:tc>
          <w:tcPr>
            <w:tcW w:type="dxa" w:w="2268"/>
            <w:vAlign w:val="center"/>
          </w:tcPr>
          <w:p>
            <w:pPr>
              <w:spacing w:after="40"/>
            </w:pPr>
            <w:r/>
            <w:r>
              <w:rPr>
                <w:rFonts w:ascii="Aptos" w:hAnsi="Aptos"/>
                <w:b w:val="0"/>
                <w:sz w:val="17"/>
              </w:rPr>
              <w:t>Surface indentation / burn</w:t>
            </w:r>
          </w:p>
        </w:tc>
        <w:tc>
          <w:tcPr>
            <w:tcW w:type="dxa" w:w="3402"/>
            <w:vAlign w:val="center"/>
          </w:tcPr>
          <w:p>
            <w:pPr>
              <w:spacing w:after="40"/>
            </w:pPr>
            <w:r/>
            <w:r>
              <w:rPr>
                <w:rFonts w:ascii="Aptos" w:hAnsi="Aptos"/>
                <w:b w:val="0"/>
                <w:sz w:val="17"/>
              </w:rPr>
              <w:t>Electrode geometry or excessive local heat/force</w:t>
            </w:r>
          </w:p>
        </w:tc>
        <w:tc>
          <w:tcPr>
            <w:tcW w:type="dxa" w:w="4535"/>
            <w:vAlign w:val="center"/>
          </w:tcPr>
          <w:p>
            <w:pPr>
              <w:spacing w:after="40"/>
            </w:pPr>
            <w:r/>
            <w:r>
              <w:rPr>
                <w:rFonts w:ascii="Aptos" w:hAnsi="Aptos"/>
                <w:b w:val="0"/>
                <w:sz w:val="17"/>
              </w:rPr>
              <w:t>Inspect electrodes and schedule</w:t>
            </w:r>
          </w:p>
        </w:tc>
      </w:tr>
      <w:tr>
        <w:tc>
          <w:tcPr>
            <w:tcW w:type="dxa" w:w="2268"/>
            <w:vAlign w:val="center"/>
          </w:tcPr>
          <w:p>
            <w:pPr>
              <w:spacing w:after="40"/>
            </w:pPr>
            <w:r/>
            <w:r>
              <w:rPr>
                <w:rFonts w:ascii="Aptos" w:hAnsi="Aptos"/>
                <w:b w:val="0"/>
                <w:sz w:val="17"/>
              </w:rPr>
              <w:t>Missing weld</w:t>
            </w:r>
          </w:p>
        </w:tc>
        <w:tc>
          <w:tcPr>
            <w:tcW w:type="dxa" w:w="3402"/>
            <w:vAlign w:val="center"/>
          </w:tcPr>
          <w:p>
            <w:pPr>
              <w:spacing w:after="40"/>
            </w:pPr>
            <w:r/>
            <w:r>
              <w:rPr>
                <w:rFonts w:ascii="Aptos" w:hAnsi="Aptos"/>
                <w:b w:val="0"/>
                <w:sz w:val="17"/>
              </w:rPr>
              <w:t>Robot program, controller, interlock or equipment fault</w:t>
            </w:r>
          </w:p>
        </w:tc>
        <w:tc>
          <w:tcPr>
            <w:tcW w:type="dxa" w:w="4535"/>
            <w:vAlign w:val="center"/>
          </w:tcPr>
          <w:p>
            <w:pPr>
              <w:spacing w:after="40"/>
            </w:pPr>
            <w:r/>
            <w:r>
              <w:rPr>
                <w:rFonts w:ascii="Aptos" w:hAnsi="Aptos"/>
                <w:b w:val="0"/>
                <w:sz w:val="17"/>
              </w:rPr>
              <w:t>Use traceability and station-level fault logic</w:t>
            </w:r>
          </w:p>
        </w:tc>
      </w:tr>
      <w:tr>
        <w:tc>
          <w:tcPr>
            <w:tcW w:type="dxa" w:w="2268"/>
            <w:vAlign w:val="center"/>
          </w:tcPr>
          <w:p>
            <w:pPr>
              <w:spacing w:after="40"/>
            </w:pPr>
            <w:r/>
            <w:r>
              <w:rPr>
                <w:rFonts w:ascii="Aptos" w:hAnsi="Aptos"/>
                <w:b w:val="0"/>
                <w:sz w:val="17"/>
              </w:rPr>
              <w:t>Mislocated weld</w:t>
            </w:r>
          </w:p>
        </w:tc>
        <w:tc>
          <w:tcPr>
            <w:tcW w:type="dxa" w:w="3402"/>
            <w:vAlign w:val="center"/>
          </w:tcPr>
          <w:p>
            <w:pPr>
              <w:spacing w:after="40"/>
            </w:pPr>
            <w:r/>
            <w:r>
              <w:rPr>
                <w:rFonts w:ascii="Aptos" w:hAnsi="Aptos"/>
                <w:b w:val="0"/>
                <w:sz w:val="17"/>
              </w:rPr>
              <w:t>TCP/frame error, body location or program error</w:t>
            </w:r>
          </w:p>
        </w:tc>
        <w:tc>
          <w:tcPr>
            <w:tcW w:type="dxa" w:w="4535"/>
            <w:vAlign w:val="center"/>
          </w:tcPr>
          <w:p>
            <w:pPr>
              <w:spacing w:after="40"/>
            </w:pPr>
            <w:r/>
            <w:r>
              <w:rPr>
                <w:rFonts w:ascii="Aptos" w:hAnsi="Aptos"/>
                <w:b w:val="0"/>
                <w:sz w:val="17"/>
              </w:rPr>
              <w:t>Verify coordinates, fixture and robot calibration</w:t>
            </w:r>
          </w:p>
        </w:tc>
      </w:tr>
    </w:tbl>
    <w:p/>
    <w:p>
      <w:pPr>
        <w:pStyle w:val="Heading2"/>
      </w:pPr>
      <w:r>
        <w:t>8.3 Data Architecture for Intelligent Welding</w:t>
      </w:r>
    </w:p>
    <w:p>
      <w:r>
        <w:t>A future-ready technical document should describe the data path as: physical weld → sensors/controller → edge or PLC layer → manufacturing execution/quality system → analytics/model → decision → maintenance/process response. Potential features include welding current, voltage, dynamic resistance, electrode force, displacement, weld time, robot ID, weld-point ID, tip-life state, material stack-up and inspection result. The data model should preserve traceability and timestamps so that process conditions can be related to quality outcomes.</w:t>
      </w:r>
    </w:p>
    <w:p>
      <w:pPr>
        <w:pStyle w:val="Heading1"/>
      </w:pPr>
      <w:r>
        <w:t>9. Safety and Industry Standards</w:t>
      </w:r>
    </w:p>
    <w:p>
      <w:pPr>
        <w:pStyle w:val="Heading2"/>
      </w:pPr>
      <w:r>
        <w:t>9.1 Standards Landscape</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701"/>
            <w:vAlign w:val="center"/>
            <w:shd w:fill="D9EAF7"/>
          </w:tcPr>
          <w:p>
            <w:pPr>
              <w:spacing w:after="40"/>
            </w:pPr>
            <w:r/>
            <w:r>
              <w:rPr>
                <w:rFonts w:ascii="Aptos" w:hAnsi="Aptos"/>
                <w:b/>
                <w:sz w:val="15"/>
              </w:rPr>
              <w:t>Standard</w:t>
            </w:r>
          </w:p>
        </w:tc>
        <w:tc>
          <w:tcPr>
            <w:tcW w:type="dxa" w:w="3402"/>
            <w:vAlign w:val="center"/>
            <w:shd w:fill="D9EAF7"/>
          </w:tcPr>
          <w:p>
            <w:pPr>
              <w:spacing w:after="40"/>
            </w:pPr>
            <w:r/>
            <w:r>
              <w:rPr>
                <w:rFonts w:ascii="Aptos" w:hAnsi="Aptos"/>
                <w:b/>
                <w:sz w:val="15"/>
              </w:rPr>
              <w:t>Title</w:t>
            </w:r>
          </w:p>
        </w:tc>
        <w:tc>
          <w:tcPr>
            <w:tcW w:type="dxa" w:w="3969"/>
            <w:vAlign w:val="center"/>
            <w:shd w:fill="D9EAF7"/>
          </w:tcPr>
          <w:p>
            <w:pPr>
              <w:spacing w:after="40"/>
            </w:pPr>
            <w:r/>
            <w:r>
              <w:rPr>
                <w:rFonts w:ascii="Aptos" w:hAnsi="Aptos"/>
                <w:b/>
                <w:sz w:val="15"/>
              </w:rPr>
              <w:t>Relevance</w:t>
            </w:r>
          </w:p>
        </w:tc>
        <w:tc>
          <w:tcPr>
            <w:tcW w:type="dxa" w:w="850"/>
            <w:vAlign w:val="center"/>
            <w:shd w:fill="D9EAF7"/>
          </w:tcPr>
          <w:p>
            <w:pPr>
              <w:spacing w:after="40"/>
            </w:pPr>
            <w:r/>
            <w:r>
              <w:rPr>
                <w:rFonts w:ascii="Aptos" w:hAnsi="Aptos"/>
                <w:b/>
                <w:sz w:val="15"/>
              </w:rPr>
              <w:t>Ref.</w:t>
            </w:r>
          </w:p>
        </w:tc>
      </w:tr>
      <w:tr>
        <w:tc>
          <w:tcPr>
            <w:tcW w:type="dxa" w:w="1701"/>
            <w:vAlign w:val="center"/>
          </w:tcPr>
          <w:p>
            <w:pPr>
              <w:spacing w:after="40"/>
            </w:pPr>
            <w:r/>
            <w:r>
              <w:rPr>
                <w:rFonts w:ascii="Aptos" w:hAnsi="Aptos"/>
                <w:b w:val="0"/>
                <w:sz w:val="15"/>
              </w:rPr>
              <w:t>ISO 10218-1:2025</w:t>
            </w:r>
          </w:p>
        </w:tc>
        <w:tc>
          <w:tcPr>
            <w:tcW w:type="dxa" w:w="3402"/>
            <w:vAlign w:val="center"/>
          </w:tcPr>
          <w:p>
            <w:pPr>
              <w:spacing w:after="40"/>
            </w:pPr>
            <w:r/>
            <w:r>
              <w:rPr>
                <w:rFonts w:ascii="Aptos" w:hAnsi="Aptos"/>
                <w:b w:val="0"/>
                <w:sz w:val="15"/>
              </w:rPr>
              <w:t>Robotics — Safety requirements — Part 1: Industrial robots</w:t>
            </w:r>
          </w:p>
        </w:tc>
        <w:tc>
          <w:tcPr>
            <w:tcW w:type="dxa" w:w="3969"/>
            <w:vAlign w:val="center"/>
          </w:tcPr>
          <w:p>
            <w:pPr>
              <w:spacing w:after="40"/>
            </w:pPr>
            <w:r/>
            <w:r>
              <w:rPr>
                <w:rFonts w:ascii="Aptos" w:hAnsi="Aptos"/>
                <w:b w:val="0"/>
                <w:sz w:val="15"/>
              </w:rPr>
              <w:t>Robot-level safety requirements; current 2025 edition.</w:t>
            </w:r>
          </w:p>
        </w:tc>
        <w:tc>
          <w:tcPr>
            <w:tcW w:type="dxa" w:w="850"/>
            <w:vAlign w:val="center"/>
          </w:tcPr>
          <w:p>
            <w:pPr>
              <w:spacing w:after="40"/>
            </w:pPr>
            <w:r/>
            <w:r>
              <w:rPr>
                <w:rFonts w:ascii="Aptos" w:hAnsi="Aptos"/>
                <w:b w:val="0"/>
                <w:sz w:val="15"/>
              </w:rPr>
              <w:t>[5]</w:t>
            </w:r>
          </w:p>
        </w:tc>
      </w:tr>
      <w:tr>
        <w:tc>
          <w:tcPr>
            <w:tcW w:type="dxa" w:w="1701"/>
            <w:vAlign w:val="center"/>
          </w:tcPr>
          <w:p>
            <w:pPr>
              <w:spacing w:after="40"/>
            </w:pPr>
            <w:r/>
            <w:r>
              <w:rPr>
                <w:rFonts w:ascii="Aptos" w:hAnsi="Aptos"/>
                <w:b w:val="0"/>
                <w:sz w:val="15"/>
              </w:rPr>
              <w:t>ISO 10218-2:2025</w:t>
            </w:r>
          </w:p>
        </w:tc>
        <w:tc>
          <w:tcPr>
            <w:tcW w:type="dxa" w:w="3402"/>
            <w:vAlign w:val="center"/>
          </w:tcPr>
          <w:p>
            <w:pPr>
              <w:spacing w:after="40"/>
            </w:pPr>
            <w:r/>
            <w:r>
              <w:rPr>
                <w:rFonts w:ascii="Aptos" w:hAnsi="Aptos"/>
                <w:b w:val="0"/>
                <w:sz w:val="15"/>
              </w:rPr>
              <w:t>Robotics — Safety requirements — Part 2: Industrial robot applications and robot cells</w:t>
            </w:r>
          </w:p>
        </w:tc>
        <w:tc>
          <w:tcPr>
            <w:tcW w:type="dxa" w:w="3969"/>
            <w:vAlign w:val="center"/>
          </w:tcPr>
          <w:p>
            <w:pPr>
              <w:spacing w:after="40"/>
            </w:pPr>
            <w:r/>
            <w:r>
              <w:rPr>
                <w:rFonts w:ascii="Aptos" w:hAnsi="Aptos"/>
                <w:b w:val="0"/>
                <w:sz w:val="15"/>
              </w:rPr>
              <w:t>Application/cell integration safety; use alongside Part 1.</w:t>
            </w:r>
          </w:p>
        </w:tc>
        <w:tc>
          <w:tcPr>
            <w:tcW w:type="dxa" w:w="850"/>
            <w:vAlign w:val="center"/>
          </w:tcPr>
          <w:p>
            <w:pPr>
              <w:spacing w:after="40"/>
            </w:pPr>
            <w:r/>
            <w:r>
              <w:rPr>
                <w:rFonts w:ascii="Aptos" w:hAnsi="Aptos"/>
                <w:b w:val="0"/>
                <w:sz w:val="15"/>
              </w:rPr>
              <w:t>[5][19]</w:t>
            </w:r>
          </w:p>
        </w:tc>
      </w:tr>
      <w:tr>
        <w:tc>
          <w:tcPr>
            <w:tcW w:type="dxa" w:w="1701"/>
            <w:vAlign w:val="center"/>
          </w:tcPr>
          <w:p>
            <w:pPr>
              <w:spacing w:after="40"/>
            </w:pPr>
            <w:r/>
            <w:r>
              <w:rPr>
                <w:rFonts w:ascii="Aptos" w:hAnsi="Aptos"/>
                <w:b w:val="0"/>
                <w:sz w:val="15"/>
              </w:rPr>
              <w:t>ISO 14373:2024</w:t>
            </w:r>
          </w:p>
        </w:tc>
        <w:tc>
          <w:tcPr>
            <w:tcW w:type="dxa" w:w="3402"/>
            <w:vAlign w:val="center"/>
          </w:tcPr>
          <w:p>
            <w:pPr>
              <w:spacing w:after="40"/>
            </w:pPr>
            <w:r/>
            <w:r>
              <w:rPr>
                <w:rFonts w:ascii="Aptos" w:hAnsi="Aptos"/>
                <w:b w:val="0"/>
                <w:sz w:val="15"/>
              </w:rPr>
              <w:t>Resistance welding — Procedure for spot welding of uncoated and coated low-carbon steels</w:t>
            </w:r>
          </w:p>
        </w:tc>
        <w:tc>
          <w:tcPr>
            <w:tcW w:type="dxa" w:w="3969"/>
            <w:vAlign w:val="center"/>
          </w:tcPr>
          <w:p>
            <w:pPr>
              <w:spacing w:after="40"/>
            </w:pPr>
            <w:r/>
            <w:r>
              <w:rPr>
                <w:rFonts w:ascii="Aptos" w:hAnsi="Aptos"/>
                <w:b w:val="0"/>
                <w:sz w:val="15"/>
              </w:rPr>
              <w:t>Procedure reference covering specified sheet configurations and welding equipment.</w:t>
            </w:r>
          </w:p>
        </w:tc>
        <w:tc>
          <w:tcPr>
            <w:tcW w:type="dxa" w:w="850"/>
            <w:vAlign w:val="center"/>
          </w:tcPr>
          <w:p>
            <w:pPr>
              <w:spacing w:after="40"/>
            </w:pPr>
            <w:r/>
            <w:r>
              <w:rPr>
                <w:rFonts w:ascii="Aptos" w:hAnsi="Aptos"/>
                <w:b w:val="0"/>
                <w:sz w:val="15"/>
              </w:rPr>
              <w:t>[6]</w:t>
            </w:r>
          </w:p>
        </w:tc>
      </w:tr>
      <w:tr>
        <w:tc>
          <w:tcPr>
            <w:tcW w:type="dxa" w:w="1701"/>
            <w:vAlign w:val="center"/>
          </w:tcPr>
          <w:p>
            <w:pPr>
              <w:spacing w:after="40"/>
            </w:pPr>
            <w:r/>
            <w:r>
              <w:rPr>
                <w:rFonts w:ascii="Aptos" w:hAnsi="Aptos"/>
                <w:b w:val="0"/>
                <w:sz w:val="15"/>
              </w:rPr>
              <w:t>ISO 17657-1:2005</w:t>
            </w:r>
          </w:p>
        </w:tc>
        <w:tc>
          <w:tcPr>
            <w:tcW w:type="dxa" w:w="3402"/>
            <w:vAlign w:val="center"/>
          </w:tcPr>
          <w:p>
            <w:pPr>
              <w:spacing w:after="40"/>
            </w:pPr>
            <w:r/>
            <w:r>
              <w:rPr>
                <w:rFonts w:ascii="Aptos" w:hAnsi="Aptos"/>
                <w:b w:val="0"/>
                <w:sz w:val="15"/>
              </w:rPr>
              <w:t>Resistance welding — Welding current measurement — Part 1</w:t>
            </w:r>
          </w:p>
        </w:tc>
        <w:tc>
          <w:tcPr>
            <w:tcW w:type="dxa" w:w="3969"/>
            <w:vAlign w:val="center"/>
          </w:tcPr>
          <w:p>
            <w:pPr>
              <w:spacing w:after="40"/>
            </w:pPr>
            <w:r/>
            <w:r>
              <w:rPr>
                <w:rFonts w:ascii="Aptos" w:hAnsi="Aptos"/>
                <w:b w:val="0"/>
                <w:sz w:val="15"/>
              </w:rPr>
              <w:t>Guidance for measurement/calibration of welding-current measurement systems; confirmed current in 2024.</w:t>
            </w:r>
          </w:p>
        </w:tc>
        <w:tc>
          <w:tcPr>
            <w:tcW w:type="dxa" w:w="850"/>
            <w:vAlign w:val="center"/>
          </w:tcPr>
          <w:p>
            <w:pPr>
              <w:spacing w:after="40"/>
            </w:pPr>
            <w:r/>
            <w:r>
              <w:rPr>
                <w:rFonts w:ascii="Aptos" w:hAnsi="Aptos"/>
                <w:b w:val="0"/>
                <w:sz w:val="15"/>
              </w:rPr>
              <w:t>[7]</w:t>
            </w:r>
          </w:p>
        </w:tc>
      </w:tr>
      <w:tr>
        <w:tc>
          <w:tcPr>
            <w:tcW w:type="dxa" w:w="1701"/>
            <w:vAlign w:val="center"/>
          </w:tcPr>
          <w:p>
            <w:pPr>
              <w:spacing w:after="40"/>
            </w:pPr>
            <w:r/>
            <w:r>
              <w:rPr>
                <w:rFonts w:ascii="Aptos" w:hAnsi="Aptos"/>
                <w:b w:val="0"/>
                <w:sz w:val="15"/>
              </w:rPr>
              <w:t>ISO 9283:1998</w:t>
            </w:r>
          </w:p>
        </w:tc>
        <w:tc>
          <w:tcPr>
            <w:tcW w:type="dxa" w:w="3402"/>
            <w:vAlign w:val="center"/>
          </w:tcPr>
          <w:p>
            <w:pPr>
              <w:spacing w:after="40"/>
            </w:pPr>
            <w:r/>
            <w:r>
              <w:rPr>
                <w:rFonts w:ascii="Aptos" w:hAnsi="Aptos"/>
                <w:b w:val="0"/>
                <w:sz w:val="15"/>
              </w:rPr>
              <w:t>Manipulating industrial robots — Performance criteria and related test methods</w:t>
            </w:r>
          </w:p>
        </w:tc>
        <w:tc>
          <w:tcPr>
            <w:tcW w:type="dxa" w:w="3969"/>
            <w:vAlign w:val="center"/>
          </w:tcPr>
          <w:p>
            <w:pPr>
              <w:spacing w:after="40"/>
            </w:pPr>
            <w:r/>
            <w:r>
              <w:rPr>
                <w:rFonts w:ascii="Aptos" w:hAnsi="Aptos"/>
                <w:b w:val="0"/>
                <w:sz w:val="15"/>
              </w:rPr>
              <w:t>Robot performance criteria and testing; current version confirmed in 2021.</w:t>
            </w:r>
          </w:p>
        </w:tc>
        <w:tc>
          <w:tcPr>
            <w:tcW w:type="dxa" w:w="850"/>
            <w:vAlign w:val="center"/>
          </w:tcPr>
          <w:p>
            <w:pPr>
              <w:spacing w:after="40"/>
            </w:pPr>
            <w:r/>
            <w:r>
              <w:rPr>
                <w:rFonts w:ascii="Aptos" w:hAnsi="Aptos"/>
                <w:b w:val="0"/>
                <w:sz w:val="15"/>
              </w:rPr>
              <w:t>[20]</w:t>
            </w:r>
          </w:p>
        </w:tc>
      </w:tr>
      <w:tr>
        <w:tc>
          <w:tcPr>
            <w:tcW w:type="dxa" w:w="1701"/>
            <w:vAlign w:val="center"/>
          </w:tcPr>
          <w:p>
            <w:pPr>
              <w:spacing w:after="40"/>
            </w:pPr>
            <w:r/>
            <w:r>
              <w:rPr>
                <w:rFonts w:ascii="Aptos" w:hAnsi="Aptos"/>
                <w:b w:val="0"/>
                <w:sz w:val="15"/>
              </w:rPr>
              <w:t>AWS D8.1M:2021</w:t>
            </w:r>
          </w:p>
        </w:tc>
        <w:tc>
          <w:tcPr>
            <w:tcW w:type="dxa" w:w="3402"/>
            <w:vAlign w:val="center"/>
          </w:tcPr>
          <w:p>
            <w:pPr>
              <w:spacing w:after="40"/>
            </w:pPr>
            <w:r/>
            <w:r>
              <w:rPr>
                <w:rFonts w:ascii="Aptos" w:hAnsi="Aptos"/>
                <w:b w:val="0"/>
                <w:sz w:val="15"/>
              </w:rPr>
              <w:t>Specification for Automotive Weld Quality — Resistance Spot Welding of Steel</w:t>
            </w:r>
          </w:p>
        </w:tc>
        <w:tc>
          <w:tcPr>
            <w:tcW w:type="dxa" w:w="3969"/>
            <w:vAlign w:val="center"/>
          </w:tcPr>
          <w:p>
            <w:pPr>
              <w:spacing w:after="40"/>
            </w:pPr>
            <w:r/>
            <w:r>
              <w:rPr>
                <w:rFonts w:ascii="Aptos" w:hAnsi="Aptos"/>
                <w:b w:val="0"/>
                <w:sz w:val="15"/>
              </w:rPr>
              <w:t>Visual and measurable acceptance criteria for automotive steel spot welds.</w:t>
            </w:r>
          </w:p>
        </w:tc>
        <w:tc>
          <w:tcPr>
            <w:tcW w:type="dxa" w:w="850"/>
            <w:vAlign w:val="center"/>
          </w:tcPr>
          <w:p>
            <w:pPr>
              <w:spacing w:after="40"/>
            </w:pPr>
            <w:r/>
            <w:r>
              <w:rPr>
                <w:rFonts w:ascii="Aptos" w:hAnsi="Aptos"/>
                <w:b w:val="0"/>
                <w:sz w:val="15"/>
              </w:rPr>
              <w:t>[8]</w:t>
            </w:r>
          </w:p>
        </w:tc>
      </w:tr>
      <w:tr>
        <w:tc>
          <w:tcPr>
            <w:tcW w:type="dxa" w:w="1701"/>
            <w:vAlign w:val="center"/>
          </w:tcPr>
          <w:p>
            <w:pPr>
              <w:spacing w:after="40"/>
            </w:pPr>
            <w:r/>
            <w:r>
              <w:rPr>
                <w:rFonts w:ascii="Aptos" w:hAnsi="Aptos"/>
                <w:b w:val="0"/>
                <w:sz w:val="15"/>
              </w:rPr>
              <w:t>AWS D8.2M:2026</w:t>
            </w:r>
          </w:p>
        </w:tc>
        <w:tc>
          <w:tcPr>
            <w:tcW w:type="dxa" w:w="3402"/>
            <w:vAlign w:val="center"/>
          </w:tcPr>
          <w:p>
            <w:pPr>
              <w:spacing w:after="40"/>
            </w:pPr>
            <w:r/>
            <w:r>
              <w:rPr>
                <w:rFonts w:ascii="Aptos" w:hAnsi="Aptos"/>
                <w:b w:val="0"/>
                <w:sz w:val="15"/>
              </w:rPr>
              <w:t>Specification for Automotive Weld Quality — Resistance Spot Welding of Aluminum</w:t>
            </w:r>
          </w:p>
        </w:tc>
        <w:tc>
          <w:tcPr>
            <w:tcW w:type="dxa" w:w="3969"/>
            <w:vAlign w:val="center"/>
          </w:tcPr>
          <w:p>
            <w:pPr>
              <w:spacing w:after="40"/>
            </w:pPr>
            <w:r/>
            <w:r>
              <w:rPr>
                <w:rFonts w:ascii="Aptos" w:hAnsi="Aptos"/>
                <w:b w:val="0"/>
                <w:sz w:val="15"/>
              </w:rPr>
              <w:t>Current automotive aluminum spot-weld quality specification.</w:t>
            </w:r>
          </w:p>
        </w:tc>
        <w:tc>
          <w:tcPr>
            <w:tcW w:type="dxa" w:w="850"/>
            <w:vAlign w:val="center"/>
          </w:tcPr>
          <w:p>
            <w:pPr>
              <w:spacing w:after="40"/>
            </w:pPr>
            <w:r/>
            <w:r>
              <w:rPr>
                <w:rFonts w:ascii="Aptos" w:hAnsi="Aptos"/>
                <w:b w:val="0"/>
                <w:sz w:val="15"/>
              </w:rPr>
              <w:t>[9]</w:t>
            </w:r>
          </w:p>
        </w:tc>
      </w:tr>
      <w:tr>
        <w:tc>
          <w:tcPr>
            <w:tcW w:type="dxa" w:w="1701"/>
            <w:vAlign w:val="center"/>
          </w:tcPr>
          <w:p>
            <w:pPr>
              <w:spacing w:after="40"/>
            </w:pPr>
            <w:r/>
            <w:r>
              <w:rPr>
                <w:rFonts w:ascii="Aptos" w:hAnsi="Aptos"/>
                <w:b w:val="0"/>
                <w:sz w:val="15"/>
              </w:rPr>
              <w:t>AWS D8.9M:2022</w:t>
            </w:r>
          </w:p>
        </w:tc>
        <w:tc>
          <w:tcPr>
            <w:tcW w:type="dxa" w:w="3402"/>
            <w:vAlign w:val="center"/>
          </w:tcPr>
          <w:p>
            <w:pPr>
              <w:spacing w:after="40"/>
            </w:pPr>
            <w:r/>
            <w:r>
              <w:rPr>
                <w:rFonts w:ascii="Aptos" w:hAnsi="Aptos"/>
                <w:b w:val="0"/>
                <w:sz w:val="15"/>
              </w:rPr>
              <w:t>Test Methods for Evaluating the Resistance Spot Welding Behavior of Automotive Sheet Steel Materials</w:t>
            </w:r>
          </w:p>
        </w:tc>
        <w:tc>
          <w:tcPr>
            <w:tcW w:type="dxa" w:w="3969"/>
            <w:vAlign w:val="center"/>
          </w:tcPr>
          <w:p>
            <w:pPr>
              <w:spacing w:after="40"/>
            </w:pPr>
            <w:r/>
            <w:r>
              <w:rPr>
                <w:rFonts w:ascii="Aptos" w:hAnsi="Aptos"/>
                <w:b w:val="0"/>
                <w:sz w:val="15"/>
              </w:rPr>
              <w:t>Tests for current range, electrode endurance and weld properties.</w:t>
            </w:r>
          </w:p>
        </w:tc>
        <w:tc>
          <w:tcPr>
            <w:tcW w:type="dxa" w:w="850"/>
            <w:vAlign w:val="center"/>
          </w:tcPr>
          <w:p>
            <w:pPr>
              <w:spacing w:after="40"/>
            </w:pPr>
            <w:r/>
            <w:r>
              <w:rPr>
                <w:rFonts w:ascii="Aptos" w:hAnsi="Aptos"/>
                <w:b w:val="0"/>
                <w:sz w:val="15"/>
              </w:rPr>
              <w:t>[10]</w:t>
            </w:r>
          </w:p>
        </w:tc>
      </w:tr>
    </w:tbl>
    <w:p/>
    <w:p>
      <w:pPr>
        <w:pStyle w:val="Heading2"/>
      </w:pPr>
      <w:r>
        <w:t>9.2 Safety Documentation Topics</w:t>
      </w:r>
    </w:p>
    <w:p>
      <w:pPr>
        <w:pStyle w:val="ListBullet"/>
        <w:spacing w:after="60"/>
      </w:pPr>
      <w:r>
        <w:t>Risk assessment for robot motion, welding current, hot surfaces, pinch/crush points, sparks and stored energy.</w:t>
      </w:r>
    </w:p>
    <w:p>
      <w:pPr>
        <w:pStyle w:val="ListBullet"/>
        <w:spacing w:after="60"/>
      </w:pPr>
      <w:r>
        <w:t>Safeguarding: physical barriers, gates/interlocks, emergency stops and appropriate safety-rated control functions.</w:t>
      </w:r>
    </w:p>
    <w:p>
      <w:pPr>
        <w:pStyle w:val="ListBullet"/>
        <w:spacing w:after="60"/>
      </w:pPr>
      <w:r>
        <w:t>Safe operating modes for teaching, setup, maintenance and automatic production.</w:t>
      </w:r>
    </w:p>
    <w:p>
      <w:pPr>
        <w:pStyle w:val="ListBullet"/>
        <w:spacing w:after="60"/>
      </w:pPr>
      <w:r>
        <w:t>Lockout/tagout or the applicable plant energy-isolation procedure during maintenance.</w:t>
      </w:r>
    </w:p>
    <w:p>
      <w:pPr>
        <w:pStyle w:val="ListBullet"/>
        <w:spacing w:after="60"/>
      </w:pPr>
      <w:r>
        <w:t>Electrical, pneumatic/hydraulic and thermal energy controls.</w:t>
      </w:r>
    </w:p>
    <w:p>
      <w:pPr>
        <w:pStyle w:val="ListBullet"/>
        <w:spacing w:after="60"/>
      </w:pPr>
      <w:r>
        <w:t>Welding fumes, arc flash/brightness, heat and fire risk appropriate to the equipment and process.</w:t>
      </w:r>
    </w:p>
    <w:p>
      <w:pPr>
        <w:pStyle w:val="ListBullet"/>
        <w:spacing w:after="60"/>
      </w:pPr>
      <w:r>
        <w:t>Clear distinction between robot manufacturer instructions, plant procedures and international standards.</w:t>
      </w:r>
    </w:p>
    <w:p>
      <w:r>
        <w:t>ISO 10218-1:2025 explicitly addresses industrial robots as partly completed machinery, while ISO 10218-2:2025 covers industrial robot applications and robot cells. The ISO source also notes that application-specific hazards, such as welding hazards, must be addressed during application design. [5][19]</w:t>
      </w:r>
    </w:p>
    <w:p>
      <w:pPr>
        <w:pStyle w:val="Heading1"/>
      </w:pPr>
      <w:r>
        <w:t>10. Benefits, Limitations and Implementation Considerations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vAlign w:val="center"/>
            <w:shd w:fill="D9EAF7"/>
          </w:tcPr>
          <w:p>
            <w:pPr>
              <w:spacing w:after="40"/>
            </w:pPr>
            <w:r/>
            <w:r>
              <w:rPr>
                <w:rFonts w:ascii="Aptos" w:hAnsi="Aptos"/>
                <w:b/>
                <w:sz w:val="16"/>
              </w:rPr>
              <w:t>Dimension</w:t>
            </w:r>
          </w:p>
        </w:tc>
        <w:tc>
          <w:tcPr>
            <w:tcW w:type="dxa" w:w="4082"/>
            <w:vAlign w:val="center"/>
            <w:shd w:fill="D9EAF7"/>
          </w:tcPr>
          <w:p>
            <w:pPr>
              <w:spacing w:after="40"/>
            </w:pPr>
            <w:r/>
            <w:r>
              <w:rPr>
                <w:rFonts w:ascii="Aptos" w:hAnsi="Aptos"/>
                <w:b/>
                <w:sz w:val="16"/>
              </w:rPr>
              <w:t>Benefits</w:t>
            </w:r>
          </w:p>
        </w:tc>
        <w:tc>
          <w:tcPr>
            <w:tcW w:type="dxa" w:w="4082"/>
            <w:vAlign w:val="center"/>
            <w:shd w:fill="D9EAF7"/>
          </w:tcPr>
          <w:p>
            <w:pPr>
              <w:spacing w:after="40"/>
            </w:pPr>
            <w:r/>
            <w:r>
              <w:rPr>
                <w:rFonts w:ascii="Aptos" w:hAnsi="Aptos"/>
                <w:b/>
                <w:sz w:val="16"/>
              </w:rPr>
              <w:t>Limitations / risks</w:t>
            </w:r>
          </w:p>
        </w:tc>
      </w:tr>
      <w:tr>
        <w:tc>
          <w:tcPr>
            <w:tcW w:type="dxa" w:w="1814"/>
            <w:vAlign w:val="center"/>
          </w:tcPr>
          <w:p>
            <w:pPr>
              <w:spacing w:after="40"/>
            </w:pPr>
            <w:r/>
            <w:r>
              <w:rPr>
                <w:rFonts w:ascii="Aptos" w:hAnsi="Aptos"/>
                <w:b w:val="0"/>
                <w:sz w:val="16"/>
              </w:rPr>
              <w:t>Productivity</w:t>
            </w:r>
          </w:p>
        </w:tc>
        <w:tc>
          <w:tcPr>
            <w:tcW w:type="dxa" w:w="4082"/>
            <w:vAlign w:val="center"/>
          </w:tcPr>
          <w:p>
            <w:pPr>
              <w:spacing w:after="40"/>
            </w:pPr>
            <w:r/>
            <w:r>
              <w:rPr>
                <w:rFonts w:ascii="Aptos" w:hAnsi="Aptos"/>
                <w:b w:val="0"/>
                <w:sz w:val="16"/>
              </w:rPr>
              <w:t>Fast repeatable joining and automation</w:t>
            </w:r>
          </w:p>
        </w:tc>
        <w:tc>
          <w:tcPr>
            <w:tcW w:type="dxa" w:w="4082"/>
            <w:vAlign w:val="center"/>
          </w:tcPr>
          <w:p>
            <w:pPr>
              <w:spacing w:after="40"/>
            </w:pPr>
            <w:r/>
            <w:r>
              <w:rPr>
                <w:rFonts w:ascii="Aptos" w:hAnsi="Aptos"/>
                <w:b w:val="0"/>
                <w:sz w:val="16"/>
              </w:rPr>
              <w:t>Downtime can be costly when a cell fault stops production</w:t>
            </w:r>
          </w:p>
        </w:tc>
      </w:tr>
      <w:tr>
        <w:tc>
          <w:tcPr>
            <w:tcW w:type="dxa" w:w="1814"/>
            <w:vAlign w:val="center"/>
          </w:tcPr>
          <w:p>
            <w:pPr>
              <w:spacing w:after="40"/>
            </w:pPr>
            <w:r/>
            <w:r>
              <w:rPr>
                <w:rFonts w:ascii="Aptos" w:hAnsi="Aptos"/>
                <w:b w:val="0"/>
                <w:sz w:val="16"/>
              </w:rPr>
              <w:t>Quality</w:t>
            </w:r>
          </w:p>
        </w:tc>
        <w:tc>
          <w:tcPr>
            <w:tcW w:type="dxa" w:w="4082"/>
            <w:vAlign w:val="center"/>
          </w:tcPr>
          <w:p>
            <w:pPr>
              <w:spacing w:after="40"/>
            </w:pPr>
            <w:r/>
            <w:r>
              <w:rPr>
                <w:rFonts w:ascii="Aptos" w:hAnsi="Aptos"/>
                <w:b w:val="0"/>
                <w:sz w:val="16"/>
              </w:rPr>
              <w:t>Controlled schedules and repeatable robot positioning</w:t>
            </w:r>
          </w:p>
        </w:tc>
        <w:tc>
          <w:tcPr>
            <w:tcW w:type="dxa" w:w="4082"/>
            <w:vAlign w:val="center"/>
          </w:tcPr>
          <w:p>
            <w:pPr>
              <w:spacing w:after="40"/>
            </w:pPr>
            <w:r/>
            <w:r>
              <w:rPr>
                <w:rFonts w:ascii="Aptos" w:hAnsi="Aptos"/>
                <w:b w:val="0"/>
                <w:sz w:val="16"/>
              </w:rPr>
              <w:t>Quality depends on material, electrodes, equipment and process discipline</w:t>
            </w:r>
          </w:p>
        </w:tc>
      </w:tr>
      <w:tr>
        <w:tc>
          <w:tcPr>
            <w:tcW w:type="dxa" w:w="1814"/>
            <w:vAlign w:val="center"/>
          </w:tcPr>
          <w:p>
            <w:pPr>
              <w:spacing w:after="40"/>
            </w:pPr>
            <w:r/>
            <w:r>
              <w:rPr>
                <w:rFonts w:ascii="Aptos" w:hAnsi="Aptos"/>
                <w:b w:val="0"/>
                <w:sz w:val="16"/>
              </w:rPr>
              <w:t>Flexibility</w:t>
            </w:r>
          </w:p>
        </w:tc>
        <w:tc>
          <w:tcPr>
            <w:tcW w:type="dxa" w:w="4082"/>
            <w:vAlign w:val="center"/>
          </w:tcPr>
          <w:p>
            <w:pPr>
              <w:spacing w:after="40"/>
            </w:pPr>
            <w:r/>
            <w:r>
              <w:rPr>
                <w:rFonts w:ascii="Aptos" w:hAnsi="Aptos"/>
                <w:b w:val="0"/>
                <w:sz w:val="16"/>
              </w:rPr>
              <w:t>Programmable robots can support multiple body variants</w:t>
            </w:r>
          </w:p>
        </w:tc>
        <w:tc>
          <w:tcPr>
            <w:tcW w:type="dxa" w:w="4082"/>
            <w:vAlign w:val="center"/>
          </w:tcPr>
          <w:p>
            <w:pPr>
              <w:spacing w:after="40"/>
            </w:pPr>
            <w:r/>
            <w:r>
              <w:rPr>
                <w:rFonts w:ascii="Aptos" w:hAnsi="Aptos"/>
                <w:b w:val="0"/>
                <w:sz w:val="16"/>
              </w:rPr>
              <w:t>Programming and commissioning complexity increases</w:t>
            </w:r>
          </w:p>
        </w:tc>
      </w:tr>
      <w:tr>
        <w:tc>
          <w:tcPr>
            <w:tcW w:type="dxa" w:w="1814"/>
            <w:vAlign w:val="center"/>
          </w:tcPr>
          <w:p>
            <w:pPr>
              <w:spacing w:after="40"/>
            </w:pPr>
            <w:r/>
            <w:r>
              <w:rPr>
                <w:rFonts w:ascii="Aptos" w:hAnsi="Aptos"/>
                <w:b w:val="0"/>
                <w:sz w:val="16"/>
              </w:rPr>
              <w:t>Safety</w:t>
            </w:r>
          </w:p>
        </w:tc>
        <w:tc>
          <w:tcPr>
            <w:tcW w:type="dxa" w:w="4082"/>
            <w:vAlign w:val="center"/>
          </w:tcPr>
          <w:p>
            <w:pPr>
              <w:spacing w:after="40"/>
            </w:pPr>
            <w:r/>
            <w:r>
              <w:rPr>
                <w:rFonts w:ascii="Aptos" w:hAnsi="Aptos"/>
                <w:b w:val="0"/>
                <w:sz w:val="16"/>
              </w:rPr>
              <w:t>Automation can isolate workers from repetitive welding operations</w:t>
            </w:r>
          </w:p>
        </w:tc>
        <w:tc>
          <w:tcPr>
            <w:tcW w:type="dxa" w:w="4082"/>
            <w:vAlign w:val="center"/>
          </w:tcPr>
          <w:p>
            <w:pPr>
              <w:spacing w:after="40"/>
            </w:pPr>
            <w:r/>
            <w:r>
              <w:rPr>
                <w:rFonts w:ascii="Aptos" w:hAnsi="Aptos"/>
                <w:b w:val="0"/>
                <w:sz w:val="16"/>
              </w:rPr>
              <w:t>Robot and welding hazards require engineered safeguards</w:t>
            </w:r>
          </w:p>
        </w:tc>
      </w:tr>
      <w:tr>
        <w:tc>
          <w:tcPr>
            <w:tcW w:type="dxa" w:w="1814"/>
            <w:vAlign w:val="center"/>
          </w:tcPr>
          <w:p>
            <w:pPr>
              <w:spacing w:after="40"/>
            </w:pPr>
            <w:r/>
            <w:r>
              <w:rPr>
                <w:rFonts w:ascii="Aptos" w:hAnsi="Aptos"/>
                <w:b w:val="0"/>
                <w:sz w:val="16"/>
              </w:rPr>
              <w:t>Data</w:t>
            </w:r>
          </w:p>
        </w:tc>
        <w:tc>
          <w:tcPr>
            <w:tcW w:type="dxa" w:w="4082"/>
            <w:vAlign w:val="center"/>
          </w:tcPr>
          <w:p>
            <w:pPr>
              <w:spacing w:after="40"/>
            </w:pPr>
            <w:r/>
            <w:r>
              <w:rPr>
                <w:rFonts w:ascii="Aptos" w:hAnsi="Aptos"/>
                <w:b w:val="0"/>
                <w:sz w:val="16"/>
              </w:rPr>
              <w:t>Process signals can support traceability and analytics</w:t>
            </w:r>
          </w:p>
        </w:tc>
        <w:tc>
          <w:tcPr>
            <w:tcW w:type="dxa" w:w="4082"/>
            <w:vAlign w:val="center"/>
          </w:tcPr>
          <w:p>
            <w:pPr>
              <w:spacing w:after="40"/>
            </w:pPr>
            <w:r/>
            <w:r>
              <w:rPr>
                <w:rFonts w:ascii="Aptos" w:hAnsi="Aptos"/>
                <w:b w:val="0"/>
                <w:sz w:val="16"/>
              </w:rPr>
              <w:t>Poor data quality can create misleading models</w:t>
            </w:r>
          </w:p>
        </w:tc>
      </w:tr>
      <w:tr>
        <w:tc>
          <w:tcPr>
            <w:tcW w:type="dxa" w:w="1814"/>
            <w:vAlign w:val="center"/>
          </w:tcPr>
          <w:p>
            <w:pPr>
              <w:spacing w:after="40"/>
            </w:pPr>
            <w:r/>
            <w:r>
              <w:rPr>
                <w:rFonts w:ascii="Aptos" w:hAnsi="Aptos"/>
                <w:b w:val="0"/>
                <w:sz w:val="16"/>
              </w:rPr>
              <w:t>AI</w:t>
            </w:r>
          </w:p>
        </w:tc>
        <w:tc>
          <w:tcPr>
            <w:tcW w:type="dxa" w:w="4082"/>
            <w:vAlign w:val="center"/>
          </w:tcPr>
          <w:p>
            <w:pPr>
              <w:spacing w:after="40"/>
            </w:pPr>
            <w:r/>
            <w:r>
              <w:rPr>
                <w:rFonts w:ascii="Aptos" w:hAnsi="Aptos"/>
                <w:b w:val="0"/>
                <w:sz w:val="16"/>
              </w:rPr>
              <w:t>Potential for early anomaly/quality detection</w:t>
            </w:r>
          </w:p>
        </w:tc>
        <w:tc>
          <w:tcPr>
            <w:tcW w:type="dxa" w:w="4082"/>
            <w:vAlign w:val="center"/>
          </w:tcPr>
          <w:p>
            <w:pPr>
              <w:spacing w:after="40"/>
            </w:pPr>
            <w:r/>
            <w:r>
              <w:rPr>
                <w:rFonts w:ascii="Aptos" w:hAnsi="Aptos"/>
                <w:b w:val="0"/>
                <w:sz w:val="16"/>
              </w:rPr>
              <w:t>Models may not generalize across materials, tools or plants</w:t>
            </w:r>
          </w:p>
        </w:tc>
      </w:tr>
      <w:tr>
        <w:tc>
          <w:tcPr>
            <w:tcW w:type="dxa" w:w="1814"/>
            <w:vAlign w:val="center"/>
          </w:tcPr>
          <w:p>
            <w:pPr>
              <w:spacing w:after="40"/>
            </w:pPr>
            <w:r/>
            <w:r>
              <w:rPr>
                <w:rFonts w:ascii="Aptos" w:hAnsi="Aptos"/>
                <w:b w:val="0"/>
                <w:sz w:val="16"/>
              </w:rPr>
              <w:t>Digital twin</w:t>
            </w:r>
          </w:p>
        </w:tc>
        <w:tc>
          <w:tcPr>
            <w:tcW w:type="dxa" w:w="4082"/>
            <w:vAlign w:val="center"/>
          </w:tcPr>
          <w:p>
            <w:pPr>
              <w:spacing w:after="40"/>
            </w:pPr>
            <w:r/>
            <w:r>
              <w:rPr>
                <w:rFonts w:ascii="Aptos" w:hAnsi="Aptos"/>
                <w:b w:val="0"/>
                <w:sz w:val="16"/>
              </w:rPr>
              <w:t>Virtual testing and process planning</w:t>
            </w:r>
          </w:p>
        </w:tc>
        <w:tc>
          <w:tcPr>
            <w:tcW w:type="dxa" w:w="4082"/>
            <w:vAlign w:val="center"/>
          </w:tcPr>
          <w:p>
            <w:pPr>
              <w:spacing w:after="40"/>
            </w:pPr>
            <w:r/>
            <w:r>
              <w:rPr>
                <w:rFonts w:ascii="Aptos" w:hAnsi="Aptos"/>
                <w:b w:val="0"/>
                <w:sz w:val="16"/>
              </w:rPr>
              <w:t>Model fidelity and data integration are difficult</w:t>
            </w:r>
          </w:p>
        </w:tc>
      </w:tr>
    </w:tbl>
    <w:p/>
    <w:p>
      <w:pPr>
        <w:pStyle w:val="Heading1"/>
      </w:pPr>
      <w:r>
        <w:t>11. Proposed Technical Document Structure</w:t>
      </w:r>
    </w:p>
    <w:p>
      <w:r>
        <w:t>The final technical document should be written as a practical engineering guide rather than as a literature-only paper. Each major section should begin with its purpose, explain the engineering concept, provide a table/diagram where useful, identify safety or quality implications, and end with a short takeaway.</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835"/>
            <w:vAlign w:val="center"/>
            <w:shd w:fill="D9EAF7"/>
          </w:tcPr>
          <w:p>
            <w:pPr>
              <w:spacing w:after="40"/>
            </w:pPr>
            <w:r/>
            <w:r>
              <w:rPr>
                <w:rFonts w:ascii="Aptos" w:hAnsi="Aptos"/>
                <w:b/>
                <w:sz w:val="17"/>
              </w:rPr>
              <w:t>Proposed section</w:t>
            </w:r>
          </w:p>
        </w:tc>
        <w:tc>
          <w:tcPr>
            <w:tcW w:type="dxa" w:w="7370"/>
            <w:vAlign w:val="center"/>
            <w:shd w:fill="D9EAF7"/>
          </w:tcPr>
          <w:p>
            <w:pPr>
              <w:spacing w:after="40"/>
            </w:pPr>
            <w:r/>
            <w:r>
              <w:rPr>
                <w:rFonts w:ascii="Aptos" w:hAnsi="Aptos"/>
                <w:b/>
                <w:sz w:val="17"/>
              </w:rPr>
              <w:t>Content</w:t>
            </w:r>
          </w:p>
        </w:tc>
      </w:tr>
      <w:tr>
        <w:tc>
          <w:tcPr>
            <w:tcW w:type="dxa" w:w="2835"/>
            <w:vAlign w:val="center"/>
          </w:tcPr>
          <w:p>
            <w:pPr>
              <w:spacing w:after="40"/>
            </w:pPr>
            <w:r/>
            <w:r>
              <w:rPr>
                <w:rFonts w:ascii="Aptos" w:hAnsi="Aptos"/>
                <w:b w:val="0"/>
                <w:sz w:val="17"/>
              </w:rPr>
              <w:t>Front matter</w:t>
            </w:r>
          </w:p>
        </w:tc>
        <w:tc>
          <w:tcPr>
            <w:tcW w:type="dxa" w:w="7370"/>
            <w:vAlign w:val="center"/>
          </w:tcPr>
          <w:p>
            <w:pPr>
              <w:spacing w:after="40"/>
            </w:pPr>
            <w:r/>
            <w:r>
              <w:rPr>
                <w:rFonts w:ascii="Aptos" w:hAnsi="Aptos"/>
                <w:b w:val="0"/>
                <w:sz w:val="17"/>
              </w:rPr>
              <w:t>Title page, document control, revision history, contents, list of figures/tables, abbreviations.</w:t>
            </w:r>
          </w:p>
        </w:tc>
      </w:tr>
      <w:tr>
        <w:tc>
          <w:tcPr>
            <w:tcW w:type="dxa" w:w="2835"/>
            <w:vAlign w:val="center"/>
          </w:tcPr>
          <w:p>
            <w:pPr>
              <w:spacing w:after="40"/>
            </w:pPr>
            <w:r/>
            <w:r>
              <w:rPr>
                <w:rFonts w:ascii="Aptos" w:hAnsi="Aptos"/>
                <w:b w:val="0"/>
                <w:sz w:val="17"/>
              </w:rPr>
              <w:t>1. Introduction</w:t>
            </w:r>
          </w:p>
        </w:tc>
        <w:tc>
          <w:tcPr>
            <w:tcW w:type="dxa" w:w="7370"/>
            <w:vAlign w:val="center"/>
          </w:tcPr>
          <w:p>
            <w:pPr>
              <w:spacing w:after="40"/>
            </w:pPr>
            <w:r/>
            <w:r>
              <w:rPr>
                <w:rFonts w:ascii="Aptos" w:hAnsi="Aptos"/>
                <w:b w:val="0"/>
                <w:sz w:val="17"/>
              </w:rPr>
              <w:t>Purpose, audience, scope, assumptions, terminology and document-use instructions.</w:t>
            </w:r>
          </w:p>
        </w:tc>
      </w:tr>
      <w:tr>
        <w:tc>
          <w:tcPr>
            <w:tcW w:type="dxa" w:w="2835"/>
            <w:vAlign w:val="center"/>
          </w:tcPr>
          <w:p>
            <w:pPr>
              <w:spacing w:after="40"/>
            </w:pPr>
            <w:r/>
            <w:r>
              <w:rPr>
                <w:rFonts w:ascii="Aptos" w:hAnsi="Aptos"/>
                <w:b w:val="0"/>
                <w:sz w:val="17"/>
              </w:rPr>
              <w:t>2. BIW Manufacturing Context</w:t>
            </w:r>
          </w:p>
        </w:tc>
        <w:tc>
          <w:tcPr>
            <w:tcW w:type="dxa" w:w="7370"/>
            <w:vAlign w:val="center"/>
          </w:tcPr>
          <w:p>
            <w:pPr>
              <w:spacing w:after="40"/>
            </w:pPr>
            <w:r/>
            <w:r>
              <w:rPr>
                <w:rFonts w:ascii="Aptos" w:hAnsi="Aptos"/>
                <w:b w:val="0"/>
                <w:sz w:val="17"/>
              </w:rPr>
              <w:t>Vehicle body structure, joining strategy and why RSW is used.</w:t>
            </w:r>
          </w:p>
        </w:tc>
      </w:tr>
      <w:tr>
        <w:tc>
          <w:tcPr>
            <w:tcW w:type="dxa" w:w="2835"/>
            <w:vAlign w:val="center"/>
          </w:tcPr>
          <w:p>
            <w:pPr>
              <w:spacing w:after="40"/>
            </w:pPr>
            <w:r/>
            <w:r>
              <w:rPr>
                <w:rFonts w:ascii="Aptos" w:hAnsi="Aptos"/>
                <w:b w:val="0"/>
                <w:sz w:val="17"/>
              </w:rPr>
              <w:t>3. RSW Fundamentals</w:t>
            </w:r>
          </w:p>
        </w:tc>
        <w:tc>
          <w:tcPr>
            <w:tcW w:type="dxa" w:w="7370"/>
            <w:vAlign w:val="center"/>
          </w:tcPr>
          <w:p>
            <w:pPr>
              <w:spacing w:after="40"/>
            </w:pPr>
            <w:r/>
            <w:r>
              <w:rPr>
                <w:rFonts w:ascii="Aptos" w:hAnsi="Aptos"/>
                <w:b w:val="0"/>
                <w:sz w:val="17"/>
              </w:rPr>
              <w:t>Electrical resistance heating, force, current, time, nugget formation and cooling.</w:t>
            </w:r>
          </w:p>
        </w:tc>
      </w:tr>
      <w:tr>
        <w:tc>
          <w:tcPr>
            <w:tcW w:type="dxa" w:w="2835"/>
            <w:vAlign w:val="center"/>
          </w:tcPr>
          <w:p>
            <w:pPr>
              <w:spacing w:after="40"/>
            </w:pPr>
            <w:r/>
            <w:r>
              <w:rPr>
                <w:rFonts w:ascii="Aptos" w:hAnsi="Aptos"/>
                <w:b w:val="0"/>
                <w:sz w:val="17"/>
              </w:rPr>
              <w:t>4. Robotic Welding Cell</w:t>
            </w:r>
          </w:p>
        </w:tc>
        <w:tc>
          <w:tcPr>
            <w:tcW w:type="dxa" w:w="7370"/>
            <w:vAlign w:val="center"/>
          </w:tcPr>
          <w:p>
            <w:pPr>
              <w:spacing w:after="40"/>
            </w:pPr>
            <w:r/>
            <w:r>
              <w:rPr>
                <w:rFonts w:ascii="Aptos" w:hAnsi="Aptos"/>
                <w:b w:val="0"/>
                <w:sz w:val="17"/>
              </w:rPr>
              <w:t>Robot, gun, transformer, controller, fixtures, PLC, safety system and utilities.</w:t>
            </w:r>
          </w:p>
        </w:tc>
      </w:tr>
      <w:tr>
        <w:tc>
          <w:tcPr>
            <w:tcW w:type="dxa" w:w="2835"/>
            <w:vAlign w:val="center"/>
          </w:tcPr>
          <w:p>
            <w:pPr>
              <w:spacing w:after="40"/>
            </w:pPr>
            <w:r/>
            <w:r>
              <w:rPr>
                <w:rFonts w:ascii="Aptos" w:hAnsi="Aptos"/>
                <w:b w:val="0"/>
                <w:sz w:val="17"/>
              </w:rPr>
              <w:t>5. Robot Programming</w:t>
            </w:r>
          </w:p>
        </w:tc>
        <w:tc>
          <w:tcPr>
            <w:tcW w:type="dxa" w:w="7370"/>
            <w:vAlign w:val="center"/>
          </w:tcPr>
          <w:p>
            <w:pPr>
              <w:spacing w:after="40"/>
            </w:pPr>
            <w:r/>
            <w:r>
              <w:rPr>
                <w:rFonts w:ascii="Aptos" w:hAnsi="Aptos"/>
                <w:b w:val="0"/>
                <w:sz w:val="17"/>
              </w:rPr>
              <w:t>TCP, frames, approach/retract, weld-point sequencing, collision avoidance and program control.</w:t>
            </w:r>
          </w:p>
        </w:tc>
      </w:tr>
      <w:tr>
        <w:tc>
          <w:tcPr>
            <w:tcW w:type="dxa" w:w="2835"/>
            <w:vAlign w:val="center"/>
          </w:tcPr>
          <w:p>
            <w:pPr>
              <w:spacing w:after="40"/>
            </w:pPr>
            <w:r/>
            <w:r>
              <w:rPr>
                <w:rFonts w:ascii="Aptos" w:hAnsi="Aptos"/>
                <w:b w:val="0"/>
                <w:sz w:val="17"/>
              </w:rPr>
              <w:t>6. Weld Schedule and Process Control</w:t>
            </w:r>
          </w:p>
        </w:tc>
        <w:tc>
          <w:tcPr>
            <w:tcW w:type="dxa" w:w="7370"/>
            <w:vAlign w:val="center"/>
          </w:tcPr>
          <w:p>
            <w:pPr>
              <w:spacing w:after="40"/>
            </w:pPr>
            <w:r/>
            <w:r>
              <w:rPr>
                <w:rFonts w:ascii="Aptos" w:hAnsi="Aptos"/>
                <w:b w:val="0"/>
                <w:sz w:val="17"/>
              </w:rPr>
              <w:t>Parameter windows, material stack-up, electrode management and process validation.</w:t>
            </w:r>
          </w:p>
        </w:tc>
      </w:tr>
      <w:tr>
        <w:tc>
          <w:tcPr>
            <w:tcW w:type="dxa" w:w="2835"/>
            <w:vAlign w:val="center"/>
          </w:tcPr>
          <w:p>
            <w:pPr>
              <w:spacing w:after="40"/>
            </w:pPr>
            <w:r/>
            <w:r>
              <w:rPr>
                <w:rFonts w:ascii="Aptos" w:hAnsi="Aptos"/>
                <w:b w:val="0"/>
                <w:sz w:val="17"/>
              </w:rPr>
              <w:t>7. Quality Assurance</w:t>
            </w:r>
          </w:p>
        </w:tc>
        <w:tc>
          <w:tcPr>
            <w:tcW w:type="dxa" w:w="7370"/>
            <w:vAlign w:val="center"/>
          </w:tcPr>
          <w:p>
            <w:pPr>
              <w:spacing w:after="40"/>
            </w:pPr>
            <w:r/>
            <w:r>
              <w:rPr>
                <w:rFonts w:ascii="Aptos" w:hAnsi="Aptos"/>
                <w:b w:val="0"/>
                <w:sz w:val="17"/>
              </w:rPr>
              <w:t>Acceptance criteria, inspection, traceability, defect modes and reaction plans.</w:t>
            </w:r>
          </w:p>
        </w:tc>
      </w:tr>
      <w:tr>
        <w:tc>
          <w:tcPr>
            <w:tcW w:type="dxa" w:w="2835"/>
            <w:vAlign w:val="center"/>
          </w:tcPr>
          <w:p>
            <w:pPr>
              <w:spacing w:after="40"/>
            </w:pPr>
            <w:r/>
            <w:r>
              <w:rPr>
                <w:rFonts w:ascii="Aptos" w:hAnsi="Aptos"/>
                <w:b w:val="0"/>
                <w:sz w:val="17"/>
              </w:rPr>
              <w:t>8. Maintenance</w:t>
            </w:r>
          </w:p>
        </w:tc>
        <w:tc>
          <w:tcPr>
            <w:tcW w:type="dxa" w:w="7370"/>
            <w:vAlign w:val="center"/>
          </w:tcPr>
          <w:p>
            <w:pPr>
              <w:spacing w:after="40"/>
            </w:pPr>
            <w:r/>
            <w:r>
              <w:rPr>
                <w:rFonts w:ascii="Aptos" w:hAnsi="Aptos"/>
                <w:b w:val="0"/>
                <w:sz w:val="17"/>
              </w:rPr>
              <w:t>Electrode dressing, tip life, cooling, calibration, preventive/predictive maintenance.</w:t>
            </w:r>
          </w:p>
        </w:tc>
      </w:tr>
      <w:tr>
        <w:tc>
          <w:tcPr>
            <w:tcW w:type="dxa" w:w="2835"/>
            <w:vAlign w:val="center"/>
          </w:tcPr>
          <w:p>
            <w:pPr>
              <w:spacing w:after="40"/>
            </w:pPr>
            <w:r/>
            <w:r>
              <w:rPr>
                <w:rFonts w:ascii="Aptos" w:hAnsi="Aptos"/>
                <w:b w:val="0"/>
                <w:sz w:val="17"/>
              </w:rPr>
              <w:t>9. Safety</w:t>
            </w:r>
          </w:p>
        </w:tc>
        <w:tc>
          <w:tcPr>
            <w:tcW w:type="dxa" w:w="7370"/>
            <w:vAlign w:val="center"/>
          </w:tcPr>
          <w:p>
            <w:pPr>
              <w:spacing w:after="40"/>
            </w:pPr>
            <w:r/>
            <w:r>
              <w:rPr>
                <w:rFonts w:ascii="Aptos" w:hAnsi="Aptos"/>
                <w:b w:val="0"/>
                <w:sz w:val="17"/>
              </w:rPr>
              <w:t>Risk assessment, safeguarding, operating modes, energy isolation and welding hazards.</w:t>
            </w:r>
          </w:p>
        </w:tc>
      </w:tr>
      <w:tr>
        <w:tc>
          <w:tcPr>
            <w:tcW w:type="dxa" w:w="2835"/>
            <w:vAlign w:val="center"/>
          </w:tcPr>
          <w:p>
            <w:pPr>
              <w:spacing w:after="40"/>
            </w:pPr>
            <w:r/>
            <w:r>
              <w:rPr>
                <w:rFonts w:ascii="Aptos" w:hAnsi="Aptos"/>
                <w:b w:val="0"/>
                <w:sz w:val="17"/>
              </w:rPr>
              <w:t>10. Digitalization and AI</w:t>
            </w:r>
          </w:p>
        </w:tc>
        <w:tc>
          <w:tcPr>
            <w:tcW w:type="dxa" w:w="7370"/>
            <w:vAlign w:val="center"/>
          </w:tcPr>
          <w:p>
            <w:pPr>
              <w:spacing w:after="40"/>
            </w:pPr>
            <w:r/>
            <w:r>
              <w:rPr>
                <w:rFonts w:ascii="Aptos" w:hAnsi="Aptos"/>
                <w:b w:val="0"/>
                <w:sz w:val="17"/>
              </w:rPr>
              <w:t>Sensors, MES/edge architecture, analytics, ML, computer vision and digital twins.</w:t>
            </w:r>
          </w:p>
        </w:tc>
      </w:tr>
      <w:tr>
        <w:tc>
          <w:tcPr>
            <w:tcW w:type="dxa" w:w="2835"/>
            <w:vAlign w:val="center"/>
          </w:tcPr>
          <w:p>
            <w:pPr>
              <w:spacing w:after="40"/>
            </w:pPr>
            <w:r/>
            <w:r>
              <w:rPr>
                <w:rFonts w:ascii="Aptos" w:hAnsi="Aptos"/>
                <w:b w:val="0"/>
                <w:sz w:val="17"/>
              </w:rPr>
              <w:t>11. Standards and Compliance</w:t>
            </w:r>
          </w:p>
        </w:tc>
        <w:tc>
          <w:tcPr>
            <w:tcW w:type="dxa" w:w="7370"/>
            <w:vAlign w:val="center"/>
          </w:tcPr>
          <w:p>
            <w:pPr>
              <w:spacing w:after="40"/>
            </w:pPr>
            <w:r/>
            <w:r>
              <w:rPr>
                <w:rFonts w:ascii="Aptos" w:hAnsi="Aptos"/>
                <w:b w:val="0"/>
                <w:sz w:val="17"/>
              </w:rPr>
              <w:t>Applicable ISO/AWS references and how to use them without replacing plant requirements.</w:t>
            </w:r>
          </w:p>
        </w:tc>
      </w:tr>
      <w:tr>
        <w:tc>
          <w:tcPr>
            <w:tcW w:type="dxa" w:w="2835"/>
            <w:vAlign w:val="center"/>
          </w:tcPr>
          <w:p>
            <w:pPr>
              <w:spacing w:after="40"/>
            </w:pPr>
            <w:r/>
            <w:r>
              <w:rPr>
                <w:rFonts w:ascii="Aptos" w:hAnsi="Aptos"/>
                <w:b w:val="0"/>
                <w:sz w:val="17"/>
              </w:rPr>
              <w:t>12. Troubleshooting</w:t>
            </w:r>
          </w:p>
        </w:tc>
        <w:tc>
          <w:tcPr>
            <w:tcW w:type="dxa" w:w="7370"/>
            <w:vAlign w:val="center"/>
          </w:tcPr>
          <w:p>
            <w:pPr>
              <w:spacing w:after="40"/>
            </w:pPr>
            <w:r/>
            <w:r>
              <w:rPr>
                <w:rFonts w:ascii="Aptos" w:hAnsi="Aptos"/>
                <w:b w:val="0"/>
                <w:sz w:val="17"/>
              </w:rPr>
              <w:t>Symptom → probable cause → verification → corrective action.</w:t>
            </w:r>
          </w:p>
        </w:tc>
      </w:tr>
      <w:tr>
        <w:tc>
          <w:tcPr>
            <w:tcW w:type="dxa" w:w="2835"/>
            <w:vAlign w:val="center"/>
          </w:tcPr>
          <w:p>
            <w:pPr>
              <w:spacing w:after="40"/>
            </w:pPr>
            <w:r/>
            <w:r>
              <w:rPr>
                <w:rFonts w:ascii="Aptos" w:hAnsi="Aptos"/>
                <w:b w:val="0"/>
                <w:sz w:val="17"/>
              </w:rPr>
              <w:t>13. Case Study / Example</w:t>
            </w:r>
          </w:p>
        </w:tc>
        <w:tc>
          <w:tcPr>
            <w:tcW w:type="dxa" w:w="7370"/>
            <w:vAlign w:val="center"/>
          </w:tcPr>
          <w:p>
            <w:pPr>
              <w:spacing w:after="40"/>
            </w:pPr>
            <w:r/>
            <w:r>
              <w:rPr>
                <w:rFonts w:ascii="Aptos" w:hAnsi="Aptos"/>
                <w:b w:val="0"/>
                <w:sz w:val="17"/>
              </w:rPr>
              <w:t>Generic BIW workcell example with a safe, non-proprietary process narrative.</w:t>
            </w:r>
          </w:p>
        </w:tc>
      </w:tr>
      <w:tr>
        <w:tc>
          <w:tcPr>
            <w:tcW w:type="dxa" w:w="2835"/>
            <w:vAlign w:val="center"/>
          </w:tcPr>
          <w:p>
            <w:pPr>
              <w:spacing w:after="40"/>
            </w:pPr>
            <w:r/>
            <w:r>
              <w:rPr>
                <w:rFonts w:ascii="Aptos" w:hAnsi="Aptos"/>
                <w:b w:val="0"/>
                <w:sz w:val="17"/>
              </w:rPr>
              <w:t>14. Conclusion</w:t>
            </w:r>
          </w:p>
        </w:tc>
        <w:tc>
          <w:tcPr>
            <w:tcW w:type="dxa" w:w="7370"/>
            <w:vAlign w:val="center"/>
          </w:tcPr>
          <w:p>
            <w:pPr>
              <w:spacing w:after="40"/>
            </w:pPr>
            <w:r/>
            <w:r>
              <w:rPr>
                <w:rFonts w:ascii="Aptos" w:hAnsi="Aptos"/>
                <w:b w:val="0"/>
                <w:sz w:val="17"/>
              </w:rPr>
              <w:t>Key lessons, implementation priorities and future opportunities.</w:t>
            </w:r>
          </w:p>
        </w:tc>
      </w:tr>
      <w:tr>
        <w:tc>
          <w:tcPr>
            <w:tcW w:type="dxa" w:w="2835"/>
            <w:vAlign w:val="center"/>
          </w:tcPr>
          <w:p>
            <w:pPr>
              <w:spacing w:after="40"/>
            </w:pPr>
            <w:r/>
            <w:r>
              <w:rPr>
                <w:rFonts w:ascii="Aptos" w:hAnsi="Aptos"/>
                <w:b w:val="0"/>
                <w:sz w:val="17"/>
              </w:rPr>
              <w:t>Appendices</w:t>
            </w:r>
          </w:p>
        </w:tc>
        <w:tc>
          <w:tcPr>
            <w:tcW w:type="dxa" w:w="7370"/>
            <w:vAlign w:val="center"/>
          </w:tcPr>
          <w:p>
            <w:pPr>
              <w:spacing w:after="40"/>
            </w:pPr>
            <w:r/>
            <w:r>
              <w:rPr>
                <w:rFonts w:ascii="Aptos" w:hAnsi="Aptos"/>
                <w:b w:val="0"/>
                <w:sz w:val="17"/>
              </w:rPr>
              <w:t>Glossary, parameter worksheet, inspection checklist, revision history and references.</w:t>
            </w:r>
          </w:p>
        </w:tc>
      </w:tr>
    </w:tbl>
    <w:p/>
    <w:p>
      <w:pPr>
        <w:pStyle w:val="Heading1"/>
      </w:pPr>
      <w:r>
        <w:t>12. Documentation Roadmap and Writing Strategy</w:t>
      </w:r>
    </w:p>
    <w:p>
      <w:pPr>
        <w:pStyle w:val="Heading2"/>
      </w:pPr>
      <w:r>
        <w:t>12.1 Phase-Gate Approach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vAlign w:val="center"/>
            <w:shd w:fill="D9EAF7"/>
          </w:tcPr>
          <w:p>
            <w:pPr>
              <w:spacing w:after="40"/>
            </w:pPr>
            <w:r/>
            <w:r>
              <w:rPr>
                <w:rFonts w:ascii="Aptos" w:hAnsi="Aptos"/>
                <w:b/>
                <w:sz w:val="17"/>
              </w:rPr>
              <w:t>Gate</w:t>
            </w:r>
          </w:p>
        </w:tc>
        <w:tc>
          <w:tcPr>
            <w:tcW w:type="dxa" w:w="5669"/>
            <w:vAlign w:val="center"/>
            <w:shd w:fill="D9EAF7"/>
          </w:tcPr>
          <w:p>
            <w:pPr>
              <w:spacing w:after="40"/>
            </w:pPr>
            <w:r/>
            <w:r>
              <w:rPr>
                <w:rFonts w:ascii="Aptos" w:hAnsi="Aptos"/>
                <w:b/>
                <w:sz w:val="17"/>
              </w:rPr>
              <w:t>Main activity</w:t>
            </w:r>
          </w:p>
        </w:tc>
        <w:tc>
          <w:tcPr>
            <w:tcW w:type="dxa" w:w="2268"/>
            <w:vAlign w:val="center"/>
            <w:shd w:fill="D9EAF7"/>
          </w:tcPr>
          <w:p>
            <w:pPr>
              <w:spacing w:after="40"/>
            </w:pPr>
            <w:r/>
            <w:r>
              <w:rPr>
                <w:rFonts w:ascii="Aptos" w:hAnsi="Aptos"/>
                <w:b/>
                <w:sz w:val="17"/>
              </w:rPr>
              <w:t>Output</w:t>
            </w:r>
          </w:p>
        </w:tc>
      </w:tr>
      <w:tr>
        <w:tc>
          <w:tcPr>
            <w:tcW w:type="dxa" w:w="2268"/>
            <w:vAlign w:val="center"/>
          </w:tcPr>
          <w:p>
            <w:pPr>
              <w:spacing w:after="40"/>
            </w:pPr>
            <w:r/>
            <w:r>
              <w:rPr>
                <w:rFonts w:ascii="Aptos" w:hAnsi="Aptos"/>
                <w:b w:val="0"/>
                <w:sz w:val="17"/>
              </w:rPr>
              <w:t>Gate 1 — Define</w:t>
            </w:r>
          </w:p>
        </w:tc>
        <w:tc>
          <w:tcPr>
            <w:tcW w:type="dxa" w:w="5669"/>
            <w:vAlign w:val="center"/>
          </w:tcPr>
          <w:p>
            <w:pPr>
              <w:spacing w:after="40"/>
            </w:pPr>
            <w:r/>
            <w:r>
              <w:rPr>
                <w:rFonts w:ascii="Aptos" w:hAnsi="Aptos"/>
                <w:b w:val="0"/>
                <w:sz w:val="17"/>
              </w:rPr>
              <w:t>Confirm topic, audience, scope and research questions.</w:t>
            </w:r>
          </w:p>
        </w:tc>
        <w:tc>
          <w:tcPr>
            <w:tcW w:type="dxa" w:w="2268"/>
            <w:vAlign w:val="center"/>
          </w:tcPr>
          <w:p>
            <w:pPr>
              <w:spacing w:after="40"/>
            </w:pPr>
            <w:r/>
            <w:r>
              <w:rPr>
                <w:rFonts w:ascii="Aptos" w:hAnsi="Aptos"/>
                <w:b w:val="0"/>
                <w:sz w:val="17"/>
              </w:rPr>
              <w:t>Approved scope statement</w:t>
            </w:r>
          </w:p>
        </w:tc>
      </w:tr>
      <w:tr>
        <w:tc>
          <w:tcPr>
            <w:tcW w:type="dxa" w:w="2268"/>
            <w:vAlign w:val="center"/>
          </w:tcPr>
          <w:p>
            <w:pPr>
              <w:spacing w:after="40"/>
            </w:pPr>
            <w:r/>
            <w:r>
              <w:rPr>
                <w:rFonts w:ascii="Aptos" w:hAnsi="Aptos"/>
                <w:b w:val="0"/>
                <w:sz w:val="17"/>
              </w:rPr>
              <w:t>Gate 2 — Research</w:t>
            </w:r>
          </w:p>
        </w:tc>
        <w:tc>
          <w:tcPr>
            <w:tcW w:type="dxa" w:w="5669"/>
            <w:vAlign w:val="center"/>
          </w:tcPr>
          <w:p>
            <w:pPr>
              <w:spacing w:after="40"/>
            </w:pPr>
            <w:r/>
            <w:r>
              <w:rPr>
                <w:rFonts w:ascii="Aptos" w:hAnsi="Aptos"/>
                <w:b w:val="0"/>
                <w:sz w:val="17"/>
              </w:rPr>
              <w:t>Collect and classify authoritative standards and literature.</w:t>
            </w:r>
          </w:p>
        </w:tc>
        <w:tc>
          <w:tcPr>
            <w:tcW w:type="dxa" w:w="2268"/>
            <w:vAlign w:val="center"/>
          </w:tcPr>
          <w:p>
            <w:pPr>
              <w:spacing w:after="40"/>
            </w:pPr>
            <w:r/>
            <w:r>
              <w:rPr>
                <w:rFonts w:ascii="Aptos" w:hAnsi="Aptos"/>
                <w:b w:val="0"/>
                <w:sz w:val="17"/>
              </w:rPr>
              <w:t>Source matrix + notes</w:t>
            </w:r>
          </w:p>
        </w:tc>
      </w:tr>
      <w:tr>
        <w:tc>
          <w:tcPr>
            <w:tcW w:type="dxa" w:w="2268"/>
            <w:vAlign w:val="center"/>
          </w:tcPr>
          <w:p>
            <w:pPr>
              <w:spacing w:after="40"/>
            </w:pPr>
            <w:r/>
            <w:r>
              <w:rPr>
                <w:rFonts w:ascii="Aptos" w:hAnsi="Aptos"/>
                <w:b w:val="0"/>
                <w:sz w:val="17"/>
              </w:rPr>
              <w:t>Gate 3 — Architect</w:t>
            </w:r>
          </w:p>
        </w:tc>
        <w:tc>
          <w:tcPr>
            <w:tcW w:type="dxa" w:w="5669"/>
            <w:vAlign w:val="center"/>
          </w:tcPr>
          <w:p>
            <w:pPr>
              <w:spacing w:after="40"/>
            </w:pPr>
            <w:r/>
            <w:r>
              <w:rPr>
                <w:rFonts w:ascii="Aptos" w:hAnsi="Aptos"/>
                <w:b w:val="0"/>
                <w:sz w:val="17"/>
              </w:rPr>
              <w:t>Build document outline, information hierarchy and figure/table plan.</w:t>
            </w:r>
          </w:p>
        </w:tc>
        <w:tc>
          <w:tcPr>
            <w:tcW w:type="dxa" w:w="2268"/>
            <w:vAlign w:val="center"/>
          </w:tcPr>
          <w:p>
            <w:pPr>
              <w:spacing w:after="40"/>
            </w:pPr>
            <w:r/>
            <w:r>
              <w:rPr>
                <w:rFonts w:ascii="Aptos" w:hAnsi="Aptos"/>
                <w:b w:val="0"/>
                <w:sz w:val="17"/>
              </w:rPr>
              <w:t>Approved outline</w:t>
            </w:r>
          </w:p>
        </w:tc>
      </w:tr>
      <w:tr>
        <w:tc>
          <w:tcPr>
            <w:tcW w:type="dxa" w:w="2268"/>
            <w:vAlign w:val="center"/>
          </w:tcPr>
          <w:p>
            <w:pPr>
              <w:spacing w:after="40"/>
            </w:pPr>
            <w:r/>
            <w:r>
              <w:rPr>
                <w:rFonts w:ascii="Aptos" w:hAnsi="Aptos"/>
                <w:b w:val="0"/>
                <w:sz w:val="17"/>
              </w:rPr>
              <w:t>Gate 4 — Draft</w:t>
            </w:r>
          </w:p>
        </w:tc>
        <w:tc>
          <w:tcPr>
            <w:tcW w:type="dxa" w:w="5669"/>
            <w:vAlign w:val="center"/>
          </w:tcPr>
          <w:p>
            <w:pPr>
              <w:spacing w:after="40"/>
            </w:pPr>
            <w:r/>
            <w:r>
              <w:rPr>
                <w:rFonts w:ascii="Aptos" w:hAnsi="Aptos"/>
                <w:b w:val="0"/>
                <w:sz w:val="17"/>
              </w:rPr>
              <w:t>Write core technical sections using citations.</w:t>
            </w:r>
          </w:p>
        </w:tc>
        <w:tc>
          <w:tcPr>
            <w:tcW w:type="dxa" w:w="2268"/>
            <w:vAlign w:val="center"/>
          </w:tcPr>
          <w:p>
            <w:pPr>
              <w:spacing w:after="40"/>
            </w:pPr>
            <w:r/>
            <w:r>
              <w:rPr>
                <w:rFonts w:ascii="Aptos" w:hAnsi="Aptos"/>
                <w:b w:val="0"/>
                <w:sz w:val="17"/>
              </w:rPr>
              <w:t>First complete draft</w:t>
            </w:r>
          </w:p>
        </w:tc>
      </w:tr>
      <w:tr>
        <w:tc>
          <w:tcPr>
            <w:tcW w:type="dxa" w:w="2268"/>
            <w:vAlign w:val="center"/>
          </w:tcPr>
          <w:p>
            <w:pPr>
              <w:spacing w:after="40"/>
            </w:pPr>
            <w:r/>
            <w:r>
              <w:rPr>
                <w:rFonts w:ascii="Aptos" w:hAnsi="Aptos"/>
                <w:b w:val="0"/>
                <w:sz w:val="17"/>
              </w:rPr>
              <w:t>Gate 5 — Validate</w:t>
            </w:r>
          </w:p>
        </w:tc>
        <w:tc>
          <w:tcPr>
            <w:tcW w:type="dxa" w:w="5669"/>
            <w:vAlign w:val="center"/>
          </w:tcPr>
          <w:p>
            <w:pPr>
              <w:spacing w:after="40"/>
            </w:pPr>
            <w:r/>
            <w:r>
              <w:rPr>
                <w:rFonts w:ascii="Aptos" w:hAnsi="Aptos"/>
                <w:b w:val="0"/>
                <w:sz w:val="17"/>
              </w:rPr>
              <w:t>Check technical claims, standards editions, terminology and numerical statements.</w:t>
            </w:r>
          </w:p>
        </w:tc>
        <w:tc>
          <w:tcPr>
            <w:tcW w:type="dxa" w:w="2268"/>
            <w:vAlign w:val="center"/>
          </w:tcPr>
          <w:p>
            <w:pPr>
              <w:spacing w:after="40"/>
            </w:pPr>
            <w:r/>
            <w:r>
              <w:rPr>
                <w:rFonts w:ascii="Aptos" w:hAnsi="Aptos"/>
                <w:b w:val="0"/>
                <w:sz w:val="17"/>
              </w:rPr>
              <w:t>Validated draft</w:t>
            </w:r>
          </w:p>
        </w:tc>
      </w:tr>
      <w:tr>
        <w:tc>
          <w:tcPr>
            <w:tcW w:type="dxa" w:w="2268"/>
            <w:vAlign w:val="center"/>
          </w:tcPr>
          <w:p>
            <w:pPr>
              <w:spacing w:after="40"/>
            </w:pPr>
            <w:r/>
            <w:r>
              <w:rPr>
                <w:rFonts w:ascii="Aptos" w:hAnsi="Aptos"/>
                <w:b w:val="0"/>
                <w:sz w:val="17"/>
              </w:rPr>
              <w:t>Gate 6 — Edit</w:t>
            </w:r>
          </w:p>
        </w:tc>
        <w:tc>
          <w:tcPr>
            <w:tcW w:type="dxa" w:w="5669"/>
            <w:vAlign w:val="center"/>
          </w:tcPr>
          <w:p>
            <w:pPr>
              <w:spacing w:after="40"/>
            </w:pPr>
            <w:r/>
            <w:r>
              <w:rPr>
                <w:rFonts w:ascii="Aptos" w:hAnsi="Aptos"/>
                <w:b w:val="0"/>
                <w:sz w:val="17"/>
              </w:rPr>
              <w:t>Improve clarity, consistency, diagrams/tables, references and formatting.</w:t>
            </w:r>
          </w:p>
        </w:tc>
        <w:tc>
          <w:tcPr>
            <w:tcW w:type="dxa" w:w="2268"/>
            <w:vAlign w:val="center"/>
          </w:tcPr>
          <w:p>
            <w:pPr>
              <w:spacing w:after="40"/>
            </w:pPr>
            <w:r/>
            <w:r>
              <w:rPr>
                <w:rFonts w:ascii="Aptos" w:hAnsi="Aptos"/>
                <w:b w:val="0"/>
                <w:sz w:val="17"/>
              </w:rPr>
              <w:t>Publication-ready draft</w:t>
            </w:r>
          </w:p>
        </w:tc>
      </w:tr>
      <w:tr>
        <w:tc>
          <w:tcPr>
            <w:tcW w:type="dxa" w:w="2268"/>
            <w:vAlign w:val="center"/>
          </w:tcPr>
          <w:p>
            <w:pPr>
              <w:spacing w:after="40"/>
            </w:pPr>
            <w:r/>
            <w:r>
              <w:rPr>
                <w:rFonts w:ascii="Aptos" w:hAnsi="Aptos"/>
                <w:b w:val="0"/>
                <w:sz w:val="17"/>
              </w:rPr>
              <w:t>Gate 7 — QA</w:t>
            </w:r>
          </w:p>
        </w:tc>
        <w:tc>
          <w:tcPr>
            <w:tcW w:type="dxa" w:w="5669"/>
            <w:vAlign w:val="center"/>
          </w:tcPr>
          <w:p>
            <w:pPr>
              <w:spacing w:after="40"/>
            </w:pPr>
            <w:r/>
            <w:r>
              <w:rPr>
                <w:rFonts w:ascii="Aptos" w:hAnsi="Aptos"/>
                <w:b w:val="0"/>
                <w:sz w:val="17"/>
              </w:rPr>
              <w:t>Final checklist, file test, citation check and submission packaging.</w:t>
            </w:r>
          </w:p>
        </w:tc>
        <w:tc>
          <w:tcPr>
            <w:tcW w:type="dxa" w:w="2268"/>
            <w:vAlign w:val="center"/>
          </w:tcPr>
          <w:p>
            <w:pPr>
              <w:spacing w:after="40"/>
            </w:pPr>
            <w:r/>
            <w:r>
              <w:rPr>
                <w:rFonts w:ascii="Aptos" w:hAnsi="Aptos"/>
                <w:b w:val="0"/>
                <w:sz w:val="17"/>
              </w:rPr>
              <w:t>Final DOCX</w:t>
            </w:r>
          </w:p>
        </w:tc>
      </w:tr>
    </w:tbl>
    <w:p/>
    <w:p>
      <w:pPr>
        <w:pStyle w:val="Heading2"/>
      </w:pPr>
      <w:r>
        <w:t>12.2 Source Management Strategy</w:t>
      </w:r>
    </w:p>
    <w:p>
      <w:pPr>
        <w:pStyle w:val="ListBullet"/>
        <w:spacing w:after="60"/>
      </w:pPr>
      <w:r>
        <w:t>Use standards-body pages as the primary authority for current standard titles, editions and scope.</w:t>
      </w:r>
    </w:p>
    <w:p>
      <w:pPr>
        <w:pStyle w:val="ListBullet"/>
        <w:spacing w:after="60"/>
      </w:pPr>
      <w:r>
        <w:t>Use peer-reviewed literature for scientific findings, performance results and emerging methods.</w:t>
      </w:r>
    </w:p>
    <w:p>
      <w:pPr>
        <w:pStyle w:val="ListBullet"/>
        <w:spacing w:after="60"/>
      </w:pPr>
      <w:r>
        <w:t>Record the publication year and DOI/URL for every research source.</w:t>
      </w:r>
    </w:p>
    <w:p>
      <w:pPr>
        <w:pStyle w:val="ListBullet"/>
        <w:spacing w:after="60"/>
      </w:pPr>
      <w:r>
        <w:t>Do not convert one laboratory result into a universal manufacturing specification.</w:t>
      </w:r>
    </w:p>
    <w:p>
      <w:pPr>
        <w:pStyle w:val="ListBullet"/>
        <w:spacing w:after="60"/>
      </w:pPr>
      <w:r>
        <w:t>Mark withdrawn/superseded standards clearly; use current editions in the main compliance discussion.</w:t>
      </w:r>
    </w:p>
    <w:p>
      <w:pPr>
        <w:pStyle w:val="ListBullet"/>
        <w:spacing w:after="60"/>
      </w:pPr>
      <w:r>
        <w:t>Keep OEM-specific process schedules and passwords out of a public technical document.</w:t>
      </w:r>
    </w:p>
    <w:p>
      <w:pPr>
        <w:pStyle w:val="ListBullet"/>
        <w:spacing w:after="60"/>
      </w:pPr>
      <w:r>
        <w:t>Maintain a claim-to-source matrix so every important technical statement can be traced to evidence.</w:t>
      </w:r>
    </w:p>
    <w:p>
      <w:pPr>
        <w:pStyle w:val="Heading2"/>
      </w:pPr>
      <w:r>
        <w:t>12.3 Planned Figures and Tables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34"/>
            <w:vAlign w:val="center"/>
            <w:shd w:fill="D9EAF7"/>
          </w:tcPr>
          <w:p>
            <w:pPr>
              <w:spacing w:after="40"/>
            </w:pPr>
            <w:r/>
            <w:r>
              <w:rPr>
                <w:rFonts w:ascii="Aptos" w:hAnsi="Aptos"/>
                <w:b/>
                <w:sz w:val="17"/>
              </w:rPr>
              <w:t>No.</w:t>
            </w:r>
          </w:p>
        </w:tc>
        <w:tc>
          <w:tcPr>
            <w:tcW w:type="dxa" w:w="3969"/>
            <w:vAlign w:val="center"/>
            <w:shd w:fill="D9EAF7"/>
          </w:tcPr>
          <w:p>
            <w:pPr>
              <w:spacing w:after="40"/>
            </w:pPr>
            <w:r/>
            <w:r>
              <w:rPr>
                <w:rFonts w:ascii="Aptos" w:hAnsi="Aptos"/>
                <w:b/>
                <w:sz w:val="17"/>
              </w:rPr>
              <w:t>Planned visual</w:t>
            </w:r>
          </w:p>
        </w:tc>
        <w:tc>
          <w:tcPr>
            <w:tcW w:type="dxa" w:w="5102"/>
            <w:vAlign w:val="center"/>
            <w:shd w:fill="D9EAF7"/>
          </w:tcPr>
          <w:p>
            <w:pPr>
              <w:spacing w:after="40"/>
            </w:pPr>
            <w:r/>
            <w:r>
              <w:rPr>
                <w:rFonts w:ascii="Aptos" w:hAnsi="Aptos"/>
                <w:b/>
                <w:sz w:val="17"/>
              </w:rPr>
              <w:t>Purpose</w:t>
            </w:r>
          </w:p>
        </w:tc>
      </w:tr>
      <w:tr>
        <w:tc>
          <w:tcPr>
            <w:tcW w:type="dxa" w:w="1134"/>
            <w:vAlign w:val="center"/>
          </w:tcPr>
          <w:p>
            <w:pPr>
              <w:spacing w:after="40"/>
            </w:pPr>
            <w:r/>
            <w:r>
              <w:rPr>
                <w:rFonts w:ascii="Aptos" w:hAnsi="Aptos"/>
                <w:b w:val="0"/>
                <w:sz w:val="17"/>
              </w:rPr>
              <w:t>Figure 1</w:t>
            </w:r>
          </w:p>
        </w:tc>
        <w:tc>
          <w:tcPr>
            <w:tcW w:type="dxa" w:w="3969"/>
            <w:vAlign w:val="center"/>
          </w:tcPr>
          <w:p>
            <w:pPr>
              <w:spacing w:after="40"/>
            </w:pPr>
            <w:r/>
            <w:r>
              <w:rPr>
                <w:rFonts w:ascii="Aptos" w:hAnsi="Aptos"/>
                <w:b w:val="0"/>
                <w:sz w:val="17"/>
              </w:rPr>
              <w:t>Simplified RSW principle diagram</w:t>
            </w:r>
          </w:p>
        </w:tc>
        <w:tc>
          <w:tcPr>
            <w:tcW w:type="dxa" w:w="5102"/>
            <w:vAlign w:val="center"/>
          </w:tcPr>
          <w:p>
            <w:pPr>
              <w:spacing w:after="40"/>
            </w:pPr>
            <w:r/>
            <w:r>
              <w:rPr>
                <w:rFonts w:ascii="Aptos" w:hAnsi="Aptos"/>
                <w:b w:val="0"/>
                <w:sz w:val="17"/>
              </w:rPr>
              <w:t>Explain current path, electrode force and nugget formation</w:t>
            </w:r>
          </w:p>
        </w:tc>
      </w:tr>
      <w:tr>
        <w:tc>
          <w:tcPr>
            <w:tcW w:type="dxa" w:w="1134"/>
            <w:vAlign w:val="center"/>
          </w:tcPr>
          <w:p>
            <w:pPr>
              <w:spacing w:after="40"/>
            </w:pPr>
            <w:r/>
            <w:r>
              <w:rPr>
                <w:rFonts w:ascii="Aptos" w:hAnsi="Aptos"/>
                <w:b w:val="0"/>
                <w:sz w:val="17"/>
              </w:rPr>
              <w:t>Figure 2</w:t>
            </w:r>
          </w:p>
        </w:tc>
        <w:tc>
          <w:tcPr>
            <w:tcW w:type="dxa" w:w="3969"/>
            <w:vAlign w:val="center"/>
          </w:tcPr>
          <w:p>
            <w:pPr>
              <w:spacing w:after="40"/>
            </w:pPr>
            <w:r/>
            <w:r>
              <w:rPr>
                <w:rFonts w:ascii="Aptos" w:hAnsi="Aptos"/>
                <w:b w:val="0"/>
                <w:sz w:val="17"/>
              </w:rPr>
              <w:t>Generic robotic BIW cell architecture</w:t>
            </w:r>
          </w:p>
        </w:tc>
        <w:tc>
          <w:tcPr>
            <w:tcW w:type="dxa" w:w="5102"/>
            <w:vAlign w:val="center"/>
          </w:tcPr>
          <w:p>
            <w:pPr>
              <w:spacing w:after="40"/>
            </w:pPr>
            <w:r/>
            <w:r>
              <w:rPr>
                <w:rFonts w:ascii="Aptos" w:hAnsi="Aptos"/>
                <w:b w:val="0"/>
                <w:sz w:val="17"/>
              </w:rPr>
              <w:t>Show robot/gun/fixture/PLC/safety relationships</w:t>
            </w:r>
          </w:p>
        </w:tc>
      </w:tr>
      <w:tr>
        <w:tc>
          <w:tcPr>
            <w:tcW w:type="dxa" w:w="1134"/>
            <w:vAlign w:val="center"/>
          </w:tcPr>
          <w:p>
            <w:pPr>
              <w:spacing w:after="40"/>
            </w:pPr>
            <w:r/>
            <w:r>
              <w:rPr>
                <w:rFonts w:ascii="Aptos" w:hAnsi="Aptos"/>
                <w:b w:val="0"/>
                <w:sz w:val="17"/>
              </w:rPr>
              <w:t>Figure 3</w:t>
            </w:r>
          </w:p>
        </w:tc>
        <w:tc>
          <w:tcPr>
            <w:tcW w:type="dxa" w:w="3969"/>
            <w:vAlign w:val="center"/>
          </w:tcPr>
          <w:p>
            <w:pPr>
              <w:spacing w:after="40"/>
            </w:pPr>
            <w:r/>
            <w:r>
              <w:rPr>
                <w:rFonts w:ascii="Aptos" w:hAnsi="Aptos"/>
                <w:b w:val="0"/>
                <w:sz w:val="17"/>
              </w:rPr>
              <w:t>Weld-cycle timing diagram</w:t>
            </w:r>
          </w:p>
        </w:tc>
        <w:tc>
          <w:tcPr>
            <w:tcW w:type="dxa" w:w="5102"/>
            <w:vAlign w:val="center"/>
          </w:tcPr>
          <w:p>
            <w:pPr>
              <w:spacing w:after="40"/>
            </w:pPr>
            <w:r/>
            <w:r>
              <w:rPr>
                <w:rFonts w:ascii="Aptos" w:hAnsi="Aptos"/>
                <w:b w:val="0"/>
                <w:sz w:val="17"/>
              </w:rPr>
              <w:t>Explain squeeze–weld–hold–open sequence</w:t>
            </w:r>
          </w:p>
        </w:tc>
      </w:tr>
      <w:tr>
        <w:tc>
          <w:tcPr>
            <w:tcW w:type="dxa" w:w="1134"/>
            <w:vAlign w:val="center"/>
          </w:tcPr>
          <w:p>
            <w:pPr>
              <w:spacing w:after="40"/>
            </w:pPr>
            <w:r/>
            <w:r>
              <w:rPr>
                <w:rFonts w:ascii="Aptos" w:hAnsi="Aptos"/>
                <w:b w:val="0"/>
                <w:sz w:val="17"/>
              </w:rPr>
              <w:t>Figure 4</w:t>
            </w:r>
          </w:p>
        </w:tc>
        <w:tc>
          <w:tcPr>
            <w:tcW w:type="dxa" w:w="3969"/>
            <w:vAlign w:val="center"/>
          </w:tcPr>
          <w:p>
            <w:pPr>
              <w:spacing w:after="40"/>
            </w:pPr>
            <w:r/>
            <w:r>
              <w:rPr>
                <w:rFonts w:ascii="Aptos" w:hAnsi="Aptos"/>
                <w:b w:val="0"/>
                <w:sz w:val="17"/>
              </w:rPr>
              <w:t>Robot programming coordinate concept</w:t>
            </w:r>
          </w:p>
        </w:tc>
        <w:tc>
          <w:tcPr>
            <w:tcW w:type="dxa" w:w="5102"/>
            <w:vAlign w:val="center"/>
          </w:tcPr>
          <w:p>
            <w:pPr>
              <w:spacing w:after="40"/>
            </w:pPr>
            <w:r/>
            <w:r>
              <w:rPr>
                <w:rFonts w:ascii="Aptos" w:hAnsi="Aptos"/>
                <w:b w:val="0"/>
                <w:sz w:val="17"/>
              </w:rPr>
              <w:t>Explain TCP and work/object frames</w:t>
            </w:r>
          </w:p>
        </w:tc>
      </w:tr>
      <w:tr>
        <w:tc>
          <w:tcPr>
            <w:tcW w:type="dxa" w:w="1134"/>
            <w:vAlign w:val="center"/>
          </w:tcPr>
          <w:p>
            <w:pPr>
              <w:spacing w:after="40"/>
            </w:pPr>
            <w:r/>
            <w:r>
              <w:rPr>
                <w:rFonts w:ascii="Aptos" w:hAnsi="Aptos"/>
                <w:b w:val="0"/>
                <w:sz w:val="17"/>
              </w:rPr>
              <w:t>Figure 5</w:t>
            </w:r>
          </w:p>
        </w:tc>
        <w:tc>
          <w:tcPr>
            <w:tcW w:type="dxa" w:w="3969"/>
            <w:vAlign w:val="center"/>
          </w:tcPr>
          <w:p>
            <w:pPr>
              <w:spacing w:after="40"/>
            </w:pPr>
            <w:r/>
            <w:r>
              <w:rPr>
                <w:rFonts w:ascii="Aptos" w:hAnsi="Aptos"/>
                <w:b w:val="0"/>
                <w:sz w:val="17"/>
              </w:rPr>
              <w:t>Quality data pipeline</w:t>
            </w:r>
          </w:p>
        </w:tc>
        <w:tc>
          <w:tcPr>
            <w:tcW w:type="dxa" w:w="5102"/>
            <w:vAlign w:val="center"/>
          </w:tcPr>
          <w:p>
            <w:pPr>
              <w:spacing w:after="40"/>
            </w:pPr>
            <w:r/>
            <w:r>
              <w:rPr>
                <w:rFonts w:ascii="Aptos" w:hAnsi="Aptos"/>
                <w:b w:val="0"/>
                <w:sz w:val="17"/>
              </w:rPr>
              <w:t>Show sensor → edge/MES → analytics → action</w:t>
            </w:r>
          </w:p>
        </w:tc>
      </w:tr>
      <w:tr>
        <w:tc>
          <w:tcPr>
            <w:tcW w:type="dxa" w:w="1134"/>
            <w:vAlign w:val="center"/>
          </w:tcPr>
          <w:p>
            <w:pPr>
              <w:spacing w:after="40"/>
            </w:pPr>
            <w:r/>
            <w:r>
              <w:rPr>
                <w:rFonts w:ascii="Aptos" w:hAnsi="Aptos"/>
                <w:b w:val="0"/>
                <w:sz w:val="17"/>
              </w:rPr>
              <w:t>Figure 6</w:t>
            </w:r>
          </w:p>
        </w:tc>
        <w:tc>
          <w:tcPr>
            <w:tcW w:type="dxa" w:w="3969"/>
            <w:vAlign w:val="center"/>
          </w:tcPr>
          <w:p>
            <w:pPr>
              <w:spacing w:after="40"/>
            </w:pPr>
            <w:r/>
            <w:r>
              <w:rPr>
                <w:rFonts w:ascii="Aptos" w:hAnsi="Aptos"/>
                <w:b w:val="0"/>
                <w:sz w:val="17"/>
              </w:rPr>
              <w:t>Digital-twin concept</w:t>
            </w:r>
          </w:p>
        </w:tc>
        <w:tc>
          <w:tcPr>
            <w:tcW w:type="dxa" w:w="5102"/>
            <w:vAlign w:val="center"/>
          </w:tcPr>
          <w:p>
            <w:pPr>
              <w:spacing w:after="40"/>
            </w:pPr>
            <w:r/>
            <w:r>
              <w:rPr>
                <w:rFonts w:ascii="Aptos" w:hAnsi="Aptos"/>
                <w:b w:val="0"/>
                <w:sz w:val="17"/>
              </w:rPr>
              <w:t>Show physical and virtual process relationship</w:t>
            </w:r>
          </w:p>
        </w:tc>
      </w:tr>
      <w:tr>
        <w:tc>
          <w:tcPr>
            <w:tcW w:type="dxa" w:w="1134"/>
            <w:vAlign w:val="center"/>
          </w:tcPr>
          <w:p>
            <w:pPr>
              <w:spacing w:after="40"/>
            </w:pPr>
            <w:r/>
            <w:r>
              <w:rPr>
                <w:rFonts w:ascii="Aptos" w:hAnsi="Aptos"/>
                <w:b w:val="0"/>
                <w:sz w:val="17"/>
              </w:rPr>
              <w:t>Table 1</w:t>
            </w:r>
          </w:p>
        </w:tc>
        <w:tc>
          <w:tcPr>
            <w:tcW w:type="dxa" w:w="3969"/>
            <w:vAlign w:val="center"/>
          </w:tcPr>
          <w:p>
            <w:pPr>
              <w:spacing w:after="40"/>
            </w:pPr>
            <w:r/>
            <w:r>
              <w:rPr>
                <w:rFonts w:ascii="Aptos" w:hAnsi="Aptos"/>
                <w:b w:val="0"/>
                <w:sz w:val="17"/>
              </w:rPr>
              <w:t>Key process variables</w:t>
            </w:r>
          </w:p>
        </w:tc>
        <w:tc>
          <w:tcPr>
            <w:tcW w:type="dxa" w:w="5102"/>
            <w:vAlign w:val="center"/>
          </w:tcPr>
          <w:p>
            <w:pPr>
              <w:spacing w:after="40"/>
            </w:pPr>
            <w:r/>
            <w:r>
              <w:rPr>
                <w:rFonts w:ascii="Aptos" w:hAnsi="Aptos"/>
                <w:b w:val="0"/>
                <w:sz w:val="17"/>
              </w:rPr>
              <w:t>Quick technical reference</w:t>
            </w:r>
          </w:p>
        </w:tc>
      </w:tr>
      <w:tr>
        <w:tc>
          <w:tcPr>
            <w:tcW w:type="dxa" w:w="1134"/>
            <w:vAlign w:val="center"/>
          </w:tcPr>
          <w:p>
            <w:pPr>
              <w:spacing w:after="40"/>
            </w:pPr>
            <w:r/>
            <w:r>
              <w:rPr>
                <w:rFonts w:ascii="Aptos" w:hAnsi="Aptos"/>
                <w:b w:val="0"/>
                <w:sz w:val="17"/>
              </w:rPr>
              <w:t>Table 2</w:t>
            </w:r>
          </w:p>
        </w:tc>
        <w:tc>
          <w:tcPr>
            <w:tcW w:type="dxa" w:w="3969"/>
            <w:vAlign w:val="center"/>
          </w:tcPr>
          <w:p>
            <w:pPr>
              <w:spacing w:after="40"/>
            </w:pPr>
            <w:r/>
            <w:r>
              <w:rPr>
                <w:rFonts w:ascii="Aptos" w:hAnsi="Aptos"/>
                <w:b w:val="0"/>
                <w:sz w:val="17"/>
              </w:rPr>
              <w:t>Defects and corrective actions</w:t>
            </w:r>
          </w:p>
        </w:tc>
        <w:tc>
          <w:tcPr>
            <w:tcW w:type="dxa" w:w="5102"/>
            <w:vAlign w:val="center"/>
          </w:tcPr>
          <w:p>
            <w:pPr>
              <w:spacing w:after="40"/>
            </w:pPr>
            <w:r/>
            <w:r>
              <w:rPr>
                <w:rFonts w:ascii="Aptos" w:hAnsi="Aptos"/>
                <w:b w:val="0"/>
                <w:sz w:val="17"/>
              </w:rPr>
              <w:t>Troubleshooting</w:t>
            </w:r>
          </w:p>
        </w:tc>
      </w:tr>
      <w:tr>
        <w:tc>
          <w:tcPr>
            <w:tcW w:type="dxa" w:w="1134"/>
            <w:vAlign w:val="center"/>
          </w:tcPr>
          <w:p>
            <w:pPr>
              <w:spacing w:after="40"/>
            </w:pPr>
            <w:r/>
            <w:r>
              <w:rPr>
                <w:rFonts w:ascii="Aptos" w:hAnsi="Aptos"/>
                <w:b w:val="0"/>
                <w:sz w:val="17"/>
              </w:rPr>
              <w:t>Table 3</w:t>
            </w:r>
          </w:p>
        </w:tc>
        <w:tc>
          <w:tcPr>
            <w:tcW w:type="dxa" w:w="3969"/>
            <w:vAlign w:val="center"/>
          </w:tcPr>
          <w:p>
            <w:pPr>
              <w:spacing w:after="40"/>
            </w:pPr>
            <w:r/>
            <w:r>
              <w:rPr>
                <w:rFonts w:ascii="Aptos" w:hAnsi="Aptos"/>
                <w:b w:val="0"/>
                <w:sz w:val="17"/>
              </w:rPr>
              <w:t>Standards matrix</w:t>
            </w:r>
          </w:p>
        </w:tc>
        <w:tc>
          <w:tcPr>
            <w:tcW w:type="dxa" w:w="5102"/>
            <w:vAlign w:val="center"/>
          </w:tcPr>
          <w:p>
            <w:pPr>
              <w:spacing w:after="40"/>
            </w:pPr>
            <w:r/>
            <w:r>
              <w:rPr>
                <w:rFonts w:ascii="Aptos" w:hAnsi="Aptos"/>
                <w:b w:val="0"/>
                <w:sz w:val="17"/>
              </w:rPr>
              <w:t>Compliance/reference overview</w:t>
            </w:r>
          </w:p>
        </w:tc>
      </w:tr>
    </w:tbl>
    <w:p/>
    <w:p>
      <w:pPr>
        <w:pStyle w:val="Heading1"/>
      </w:pPr>
      <w:r>
        <w:t>13. 30–35 Hour Timeline and Milestones</w:t>
      </w:r>
    </w:p>
    <w:p>
      <w:r>
        <w:t>The task is estimated at approximately 33 hours, within the requested 30–35 hour range. The schedule below is designed for focused individual work and includes review time rather than assuming that drafting is the only activity.</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680"/>
            <w:vAlign w:val="center"/>
            <w:shd w:fill="D9EAF7"/>
          </w:tcPr>
          <w:p>
            <w:pPr>
              <w:spacing w:after="40"/>
            </w:pPr>
            <w:r/>
            <w:r>
              <w:rPr>
                <w:rFonts w:ascii="Aptos" w:hAnsi="Aptos"/>
                <w:b/>
                <w:sz w:val="16"/>
              </w:rPr>
              <w:t>Stage</w:t>
            </w:r>
          </w:p>
        </w:tc>
        <w:tc>
          <w:tcPr>
            <w:tcW w:type="dxa" w:w="2268"/>
            <w:vAlign w:val="center"/>
            <w:shd w:fill="D9EAF7"/>
          </w:tcPr>
          <w:p>
            <w:pPr>
              <w:spacing w:after="40"/>
            </w:pPr>
            <w:r/>
            <w:r>
              <w:rPr>
                <w:rFonts w:ascii="Aptos" w:hAnsi="Aptos"/>
                <w:b/>
                <w:sz w:val="16"/>
              </w:rPr>
              <w:t>Activity</w:t>
            </w:r>
          </w:p>
        </w:tc>
        <w:tc>
          <w:tcPr>
            <w:tcW w:type="dxa" w:w="850"/>
            <w:vAlign w:val="center"/>
            <w:shd w:fill="D9EAF7"/>
          </w:tcPr>
          <w:p>
            <w:pPr>
              <w:spacing w:after="40"/>
            </w:pPr>
            <w:r/>
            <w:r>
              <w:rPr>
                <w:rFonts w:ascii="Aptos" w:hAnsi="Aptos"/>
                <w:b/>
                <w:sz w:val="16"/>
              </w:rPr>
              <w:t>Hours</w:t>
            </w:r>
          </w:p>
        </w:tc>
        <w:tc>
          <w:tcPr>
            <w:tcW w:type="dxa" w:w="4535"/>
            <w:vAlign w:val="center"/>
            <w:shd w:fill="D9EAF7"/>
          </w:tcPr>
          <w:p>
            <w:pPr>
              <w:spacing w:after="40"/>
            </w:pPr>
            <w:r/>
            <w:r>
              <w:rPr>
                <w:rFonts w:ascii="Aptos" w:hAnsi="Aptos"/>
                <w:b/>
                <w:sz w:val="16"/>
              </w:rPr>
              <w:t>Work package</w:t>
            </w:r>
          </w:p>
        </w:tc>
        <w:tc>
          <w:tcPr>
            <w:tcW w:type="dxa" w:w="1871"/>
            <w:vAlign w:val="center"/>
            <w:shd w:fill="D9EAF7"/>
          </w:tcPr>
          <w:p>
            <w:pPr>
              <w:spacing w:after="40"/>
            </w:pPr>
            <w:r/>
            <w:r>
              <w:rPr>
                <w:rFonts w:ascii="Aptos" w:hAnsi="Aptos"/>
                <w:b/>
                <w:sz w:val="16"/>
              </w:rPr>
              <w:t>Milestone</w:t>
            </w:r>
          </w:p>
        </w:tc>
      </w:tr>
      <w:tr>
        <w:tc>
          <w:tcPr>
            <w:tcW w:type="dxa" w:w="680"/>
            <w:vAlign w:val="center"/>
          </w:tcPr>
          <w:p>
            <w:pPr>
              <w:spacing w:after="40"/>
            </w:pPr>
            <w:r/>
            <w:r>
              <w:rPr>
                <w:rFonts w:ascii="Aptos" w:hAnsi="Aptos"/>
                <w:b w:val="0"/>
                <w:sz w:val="16"/>
              </w:rPr>
              <w:t>1</w:t>
            </w:r>
          </w:p>
        </w:tc>
        <w:tc>
          <w:tcPr>
            <w:tcW w:type="dxa" w:w="2268"/>
            <w:vAlign w:val="center"/>
          </w:tcPr>
          <w:p>
            <w:pPr>
              <w:spacing w:after="40"/>
            </w:pPr>
            <w:r/>
            <w:r>
              <w:rPr>
                <w:rFonts w:ascii="Aptos" w:hAnsi="Aptos"/>
                <w:b w:val="0"/>
                <w:sz w:val="16"/>
              </w:rPr>
              <w:t>Topic confirmation + scope</w:t>
            </w:r>
          </w:p>
        </w:tc>
        <w:tc>
          <w:tcPr>
            <w:tcW w:type="dxa" w:w="850"/>
            <w:vAlign w:val="center"/>
          </w:tcPr>
          <w:p>
            <w:pPr>
              <w:spacing w:after="40"/>
            </w:pPr>
            <w:r/>
            <w:r>
              <w:rPr>
                <w:rFonts w:ascii="Aptos" w:hAnsi="Aptos"/>
                <w:b w:val="0"/>
                <w:sz w:val="16"/>
              </w:rPr>
              <w:t>2.0</w:t>
            </w:r>
          </w:p>
        </w:tc>
        <w:tc>
          <w:tcPr>
            <w:tcW w:type="dxa" w:w="4535"/>
            <w:vAlign w:val="center"/>
          </w:tcPr>
          <w:p>
            <w:pPr>
              <w:spacing w:after="40"/>
            </w:pPr>
            <w:r/>
            <w:r>
              <w:rPr>
                <w:rFonts w:ascii="Aptos" w:hAnsi="Aptos"/>
                <w:b w:val="0"/>
                <w:sz w:val="16"/>
              </w:rPr>
              <w:t>Finalize technology topic, audience, research questions and boundaries</w:t>
            </w:r>
          </w:p>
        </w:tc>
        <w:tc>
          <w:tcPr>
            <w:tcW w:type="dxa" w:w="1871"/>
            <w:vAlign w:val="center"/>
          </w:tcPr>
          <w:p>
            <w:pPr>
              <w:spacing w:after="40"/>
            </w:pPr>
            <w:r/>
            <w:r>
              <w:rPr>
                <w:rFonts w:ascii="Aptos" w:hAnsi="Aptos"/>
                <w:b w:val="0"/>
                <w:sz w:val="16"/>
              </w:rPr>
              <w:t>Scope approved</w:t>
            </w:r>
          </w:p>
        </w:tc>
      </w:tr>
      <w:tr>
        <w:tc>
          <w:tcPr>
            <w:tcW w:type="dxa" w:w="680"/>
            <w:vAlign w:val="center"/>
          </w:tcPr>
          <w:p>
            <w:pPr>
              <w:spacing w:after="40"/>
            </w:pPr>
            <w:r/>
            <w:r>
              <w:rPr>
                <w:rFonts w:ascii="Aptos" w:hAnsi="Aptos"/>
                <w:b w:val="0"/>
                <w:sz w:val="16"/>
              </w:rPr>
              <w:t>2</w:t>
            </w:r>
          </w:p>
        </w:tc>
        <w:tc>
          <w:tcPr>
            <w:tcW w:type="dxa" w:w="2268"/>
            <w:vAlign w:val="center"/>
          </w:tcPr>
          <w:p>
            <w:pPr>
              <w:spacing w:after="40"/>
            </w:pPr>
            <w:r/>
            <w:r>
              <w:rPr>
                <w:rFonts w:ascii="Aptos" w:hAnsi="Aptos"/>
                <w:b w:val="0"/>
                <w:sz w:val="16"/>
              </w:rPr>
              <w:t>Literature search</w:t>
            </w:r>
          </w:p>
        </w:tc>
        <w:tc>
          <w:tcPr>
            <w:tcW w:type="dxa" w:w="850"/>
            <w:vAlign w:val="center"/>
          </w:tcPr>
          <w:p>
            <w:pPr>
              <w:spacing w:after="40"/>
            </w:pPr>
            <w:r/>
            <w:r>
              <w:rPr>
                <w:rFonts w:ascii="Aptos" w:hAnsi="Aptos"/>
                <w:b w:val="0"/>
                <w:sz w:val="16"/>
              </w:rPr>
              <w:t>4.0</w:t>
            </w:r>
          </w:p>
        </w:tc>
        <w:tc>
          <w:tcPr>
            <w:tcW w:type="dxa" w:w="4535"/>
            <w:vAlign w:val="center"/>
          </w:tcPr>
          <w:p>
            <w:pPr>
              <w:spacing w:after="40"/>
            </w:pPr>
            <w:r/>
            <w:r>
              <w:rPr>
                <w:rFonts w:ascii="Aptos" w:hAnsi="Aptos"/>
                <w:b w:val="0"/>
                <w:sz w:val="16"/>
              </w:rPr>
              <w:t>Find peer-reviewed papers, standards and credible industry sources</w:t>
            </w:r>
          </w:p>
        </w:tc>
        <w:tc>
          <w:tcPr>
            <w:tcW w:type="dxa" w:w="1871"/>
            <w:vAlign w:val="center"/>
          </w:tcPr>
          <w:p>
            <w:pPr>
              <w:spacing w:after="40"/>
            </w:pPr>
            <w:r/>
            <w:r>
              <w:rPr>
                <w:rFonts w:ascii="Aptos" w:hAnsi="Aptos"/>
                <w:b w:val="0"/>
                <w:sz w:val="16"/>
              </w:rPr>
              <w:t>Source library</w:t>
            </w:r>
          </w:p>
        </w:tc>
      </w:tr>
      <w:tr>
        <w:tc>
          <w:tcPr>
            <w:tcW w:type="dxa" w:w="680"/>
            <w:vAlign w:val="center"/>
          </w:tcPr>
          <w:p>
            <w:pPr>
              <w:spacing w:after="40"/>
            </w:pPr>
            <w:r/>
            <w:r>
              <w:rPr>
                <w:rFonts w:ascii="Aptos" w:hAnsi="Aptos"/>
                <w:b w:val="0"/>
                <w:sz w:val="16"/>
              </w:rPr>
              <w:t>3</w:t>
            </w:r>
          </w:p>
        </w:tc>
        <w:tc>
          <w:tcPr>
            <w:tcW w:type="dxa" w:w="2268"/>
            <w:vAlign w:val="center"/>
          </w:tcPr>
          <w:p>
            <w:pPr>
              <w:spacing w:after="40"/>
            </w:pPr>
            <w:r/>
            <w:r>
              <w:rPr>
                <w:rFonts w:ascii="Aptos" w:hAnsi="Aptos"/>
                <w:b w:val="0"/>
                <w:sz w:val="16"/>
              </w:rPr>
              <w:t>Literature review</w:t>
            </w:r>
          </w:p>
        </w:tc>
        <w:tc>
          <w:tcPr>
            <w:tcW w:type="dxa" w:w="850"/>
            <w:vAlign w:val="center"/>
          </w:tcPr>
          <w:p>
            <w:pPr>
              <w:spacing w:after="40"/>
            </w:pPr>
            <w:r/>
            <w:r>
              <w:rPr>
                <w:rFonts w:ascii="Aptos" w:hAnsi="Aptos"/>
                <w:b w:val="0"/>
                <w:sz w:val="16"/>
              </w:rPr>
              <w:t>4.0</w:t>
            </w:r>
          </w:p>
        </w:tc>
        <w:tc>
          <w:tcPr>
            <w:tcW w:type="dxa" w:w="4535"/>
            <w:vAlign w:val="center"/>
          </w:tcPr>
          <w:p>
            <w:pPr>
              <w:spacing w:after="40"/>
            </w:pPr>
            <w:r/>
            <w:r>
              <w:rPr>
                <w:rFonts w:ascii="Aptos" w:hAnsi="Aptos"/>
                <w:b w:val="0"/>
                <w:sz w:val="16"/>
              </w:rPr>
              <w:t>Read, compare, classify and summarize findings</w:t>
            </w:r>
          </w:p>
        </w:tc>
        <w:tc>
          <w:tcPr>
            <w:tcW w:type="dxa" w:w="1871"/>
            <w:vAlign w:val="center"/>
          </w:tcPr>
          <w:p>
            <w:pPr>
              <w:spacing w:after="40"/>
            </w:pPr>
            <w:r/>
            <w:r>
              <w:rPr>
                <w:rFonts w:ascii="Aptos" w:hAnsi="Aptos"/>
                <w:b w:val="0"/>
                <w:sz w:val="16"/>
              </w:rPr>
              <w:t>Literature matrix</w:t>
            </w:r>
          </w:p>
        </w:tc>
      </w:tr>
      <w:tr>
        <w:tc>
          <w:tcPr>
            <w:tcW w:type="dxa" w:w="680"/>
            <w:vAlign w:val="center"/>
          </w:tcPr>
          <w:p>
            <w:pPr>
              <w:spacing w:after="40"/>
            </w:pPr>
            <w:r/>
            <w:r>
              <w:rPr>
                <w:rFonts w:ascii="Aptos" w:hAnsi="Aptos"/>
                <w:b w:val="0"/>
                <w:sz w:val="16"/>
              </w:rPr>
              <w:t>4</w:t>
            </w:r>
          </w:p>
        </w:tc>
        <w:tc>
          <w:tcPr>
            <w:tcW w:type="dxa" w:w="2268"/>
            <w:vAlign w:val="center"/>
          </w:tcPr>
          <w:p>
            <w:pPr>
              <w:spacing w:after="40"/>
            </w:pPr>
            <w:r/>
            <w:r>
              <w:rPr>
                <w:rFonts w:ascii="Aptos" w:hAnsi="Aptos"/>
                <w:b w:val="0"/>
                <w:sz w:val="16"/>
              </w:rPr>
              <w:t>Technical analysis</w:t>
            </w:r>
          </w:p>
        </w:tc>
        <w:tc>
          <w:tcPr>
            <w:tcW w:type="dxa" w:w="850"/>
            <w:vAlign w:val="center"/>
          </w:tcPr>
          <w:p>
            <w:pPr>
              <w:spacing w:after="40"/>
            </w:pPr>
            <w:r/>
            <w:r>
              <w:rPr>
                <w:rFonts w:ascii="Aptos" w:hAnsi="Aptos"/>
                <w:b w:val="0"/>
                <w:sz w:val="16"/>
              </w:rPr>
              <w:t>4.0</w:t>
            </w:r>
          </w:p>
        </w:tc>
        <w:tc>
          <w:tcPr>
            <w:tcW w:type="dxa" w:w="4535"/>
            <w:vAlign w:val="center"/>
          </w:tcPr>
          <w:p>
            <w:pPr>
              <w:spacing w:after="40"/>
            </w:pPr>
            <w:r/>
            <w:r>
              <w:rPr>
                <w:rFonts w:ascii="Aptos" w:hAnsi="Aptos"/>
                <w:b w:val="0"/>
                <w:sz w:val="16"/>
              </w:rPr>
              <w:t>Map RSW process, robot cell, variables, quality and maintenance</w:t>
            </w:r>
          </w:p>
        </w:tc>
        <w:tc>
          <w:tcPr>
            <w:tcW w:type="dxa" w:w="1871"/>
            <w:vAlign w:val="center"/>
          </w:tcPr>
          <w:p>
            <w:pPr>
              <w:spacing w:after="40"/>
            </w:pPr>
            <w:r/>
            <w:r>
              <w:rPr>
                <w:rFonts w:ascii="Aptos" w:hAnsi="Aptos"/>
                <w:b w:val="0"/>
                <w:sz w:val="16"/>
              </w:rPr>
              <w:t>Technical notes</w:t>
            </w:r>
          </w:p>
        </w:tc>
      </w:tr>
      <w:tr>
        <w:tc>
          <w:tcPr>
            <w:tcW w:type="dxa" w:w="680"/>
            <w:vAlign w:val="center"/>
          </w:tcPr>
          <w:p>
            <w:pPr>
              <w:spacing w:after="40"/>
            </w:pPr>
            <w:r/>
            <w:r>
              <w:rPr>
                <w:rFonts w:ascii="Aptos" w:hAnsi="Aptos"/>
                <w:b w:val="0"/>
                <w:sz w:val="16"/>
              </w:rPr>
              <w:t>5</w:t>
            </w:r>
          </w:p>
        </w:tc>
        <w:tc>
          <w:tcPr>
            <w:tcW w:type="dxa" w:w="2268"/>
            <w:vAlign w:val="center"/>
          </w:tcPr>
          <w:p>
            <w:pPr>
              <w:spacing w:after="40"/>
            </w:pPr>
            <w:r/>
            <w:r>
              <w:rPr>
                <w:rFonts w:ascii="Aptos" w:hAnsi="Aptos"/>
                <w:b w:val="0"/>
                <w:sz w:val="16"/>
              </w:rPr>
              <w:t>Standards analysis</w:t>
            </w:r>
          </w:p>
        </w:tc>
        <w:tc>
          <w:tcPr>
            <w:tcW w:type="dxa" w:w="850"/>
            <w:vAlign w:val="center"/>
          </w:tcPr>
          <w:p>
            <w:pPr>
              <w:spacing w:after="40"/>
            </w:pPr>
            <w:r/>
            <w:r>
              <w:rPr>
                <w:rFonts w:ascii="Aptos" w:hAnsi="Aptos"/>
                <w:b w:val="0"/>
                <w:sz w:val="16"/>
              </w:rPr>
              <w:t>3.0</w:t>
            </w:r>
          </w:p>
        </w:tc>
        <w:tc>
          <w:tcPr>
            <w:tcW w:type="dxa" w:w="4535"/>
            <w:vAlign w:val="center"/>
          </w:tcPr>
          <w:p>
            <w:pPr>
              <w:spacing w:after="40"/>
            </w:pPr>
            <w:r/>
            <w:r>
              <w:rPr>
                <w:rFonts w:ascii="Aptos" w:hAnsi="Aptos"/>
                <w:b w:val="0"/>
                <w:sz w:val="16"/>
              </w:rPr>
              <w:t>Verify current ISO/AWS editions and relevance</w:t>
            </w:r>
          </w:p>
        </w:tc>
        <w:tc>
          <w:tcPr>
            <w:tcW w:type="dxa" w:w="1871"/>
            <w:vAlign w:val="center"/>
          </w:tcPr>
          <w:p>
            <w:pPr>
              <w:spacing w:after="40"/>
            </w:pPr>
            <w:r/>
            <w:r>
              <w:rPr>
                <w:rFonts w:ascii="Aptos" w:hAnsi="Aptos"/>
                <w:b w:val="0"/>
                <w:sz w:val="16"/>
              </w:rPr>
              <w:t>Standards matrix</w:t>
            </w:r>
          </w:p>
        </w:tc>
      </w:tr>
      <w:tr>
        <w:tc>
          <w:tcPr>
            <w:tcW w:type="dxa" w:w="680"/>
            <w:vAlign w:val="center"/>
          </w:tcPr>
          <w:p>
            <w:pPr>
              <w:spacing w:after="40"/>
            </w:pPr>
            <w:r/>
            <w:r>
              <w:rPr>
                <w:rFonts w:ascii="Aptos" w:hAnsi="Aptos"/>
                <w:b w:val="0"/>
                <w:sz w:val="16"/>
              </w:rPr>
              <w:t>6</w:t>
            </w:r>
          </w:p>
        </w:tc>
        <w:tc>
          <w:tcPr>
            <w:tcW w:type="dxa" w:w="2268"/>
            <w:vAlign w:val="center"/>
          </w:tcPr>
          <w:p>
            <w:pPr>
              <w:spacing w:after="40"/>
            </w:pPr>
            <w:r/>
            <w:r>
              <w:rPr>
                <w:rFonts w:ascii="Aptos" w:hAnsi="Aptos"/>
                <w:b w:val="0"/>
                <w:sz w:val="16"/>
              </w:rPr>
              <w:t>Document architecture</w:t>
            </w:r>
          </w:p>
        </w:tc>
        <w:tc>
          <w:tcPr>
            <w:tcW w:type="dxa" w:w="850"/>
            <w:vAlign w:val="center"/>
          </w:tcPr>
          <w:p>
            <w:pPr>
              <w:spacing w:after="40"/>
            </w:pPr>
            <w:r/>
            <w:r>
              <w:rPr>
                <w:rFonts w:ascii="Aptos" w:hAnsi="Aptos"/>
                <w:b w:val="0"/>
                <w:sz w:val="16"/>
              </w:rPr>
              <w:t>2.0</w:t>
            </w:r>
          </w:p>
        </w:tc>
        <w:tc>
          <w:tcPr>
            <w:tcW w:type="dxa" w:w="4535"/>
            <w:vAlign w:val="center"/>
          </w:tcPr>
          <w:p>
            <w:pPr>
              <w:spacing w:after="40"/>
            </w:pPr>
            <w:r/>
            <w:r>
              <w:rPr>
                <w:rFonts w:ascii="Aptos" w:hAnsi="Aptos"/>
                <w:b w:val="0"/>
                <w:sz w:val="16"/>
              </w:rPr>
              <w:t>Create final outline, figure/table plan and information hierarchy</w:t>
            </w:r>
          </w:p>
        </w:tc>
        <w:tc>
          <w:tcPr>
            <w:tcW w:type="dxa" w:w="1871"/>
            <w:vAlign w:val="center"/>
          </w:tcPr>
          <w:p>
            <w:pPr>
              <w:spacing w:after="40"/>
            </w:pPr>
            <w:r/>
            <w:r>
              <w:rPr>
                <w:rFonts w:ascii="Aptos" w:hAnsi="Aptos"/>
                <w:b w:val="0"/>
                <w:sz w:val="16"/>
              </w:rPr>
              <w:t>Approved outline</w:t>
            </w:r>
          </w:p>
        </w:tc>
      </w:tr>
      <w:tr>
        <w:tc>
          <w:tcPr>
            <w:tcW w:type="dxa" w:w="680"/>
            <w:vAlign w:val="center"/>
          </w:tcPr>
          <w:p>
            <w:pPr>
              <w:spacing w:after="40"/>
            </w:pPr>
            <w:r/>
            <w:r>
              <w:rPr>
                <w:rFonts w:ascii="Aptos" w:hAnsi="Aptos"/>
                <w:b w:val="0"/>
                <w:sz w:val="16"/>
              </w:rPr>
              <w:t>7</w:t>
            </w:r>
          </w:p>
        </w:tc>
        <w:tc>
          <w:tcPr>
            <w:tcW w:type="dxa" w:w="2268"/>
            <w:vAlign w:val="center"/>
          </w:tcPr>
          <w:p>
            <w:pPr>
              <w:spacing w:after="40"/>
            </w:pPr>
            <w:r/>
            <w:r>
              <w:rPr>
                <w:rFonts w:ascii="Aptos" w:hAnsi="Aptos"/>
                <w:b w:val="0"/>
                <w:sz w:val="16"/>
              </w:rPr>
              <w:t>Drafting</w:t>
            </w:r>
          </w:p>
        </w:tc>
        <w:tc>
          <w:tcPr>
            <w:tcW w:type="dxa" w:w="850"/>
            <w:vAlign w:val="center"/>
          </w:tcPr>
          <w:p>
            <w:pPr>
              <w:spacing w:after="40"/>
            </w:pPr>
            <w:r/>
            <w:r>
              <w:rPr>
                <w:rFonts w:ascii="Aptos" w:hAnsi="Aptos"/>
                <w:b w:val="0"/>
                <w:sz w:val="16"/>
              </w:rPr>
              <w:t>6.0</w:t>
            </w:r>
          </w:p>
        </w:tc>
        <w:tc>
          <w:tcPr>
            <w:tcW w:type="dxa" w:w="4535"/>
            <w:vAlign w:val="center"/>
          </w:tcPr>
          <w:p>
            <w:pPr>
              <w:spacing w:after="40"/>
            </w:pPr>
            <w:r/>
            <w:r>
              <w:rPr>
                <w:rFonts w:ascii="Aptos" w:hAnsi="Aptos"/>
                <w:b w:val="0"/>
                <w:sz w:val="16"/>
              </w:rPr>
              <w:t>Write introduction, technical sections, trends and standards</w:t>
            </w:r>
          </w:p>
        </w:tc>
        <w:tc>
          <w:tcPr>
            <w:tcW w:type="dxa" w:w="1871"/>
            <w:vAlign w:val="center"/>
          </w:tcPr>
          <w:p>
            <w:pPr>
              <w:spacing w:after="40"/>
            </w:pPr>
            <w:r/>
            <w:r>
              <w:rPr>
                <w:rFonts w:ascii="Aptos" w:hAnsi="Aptos"/>
                <w:b w:val="0"/>
                <w:sz w:val="16"/>
              </w:rPr>
              <w:t>Complete first draft</w:t>
            </w:r>
          </w:p>
        </w:tc>
      </w:tr>
      <w:tr>
        <w:tc>
          <w:tcPr>
            <w:tcW w:type="dxa" w:w="680"/>
            <w:vAlign w:val="center"/>
          </w:tcPr>
          <w:p>
            <w:pPr>
              <w:spacing w:after="40"/>
            </w:pPr>
            <w:r/>
            <w:r>
              <w:rPr>
                <w:rFonts w:ascii="Aptos" w:hAnsi="Aptos"/>
                <w:b w:val="0"/>
                <w:sz w:val="16"/>
              </w:rPr>
              <w:t>8</w:t>
            </w:r>
          </w:p>
        </w:tc>
        <w:tc>
          <w:tcPr>
            <w:tcW w:type="dxa" w:w="2268"/>
            <w:vAlign w:val="center"/>
          </w:tcPr>
          <w:p>
            <w:pPr>
              <w:spacing w:after="40"/>
            </w:pPr>
            <w:r/>
            <w:r>
              <w:rPr>
                <w:rFonts w:ascii="Aptos" w:hAnsi="Aptos"/>
                <w:b w:val="0"/>
                <w:sz w:val="16"/>
              </w:rPr>
              <w:t>Roadmap + conclusion</w:t>
            </w:r>
          </w:p>
        </w:tc>
        <w:tc>
          <w:tcPr>
            <w:tcW w:type="dxa" w:w="850"/>
            <w:vAlign w:val="center"/>
          </w:tcPr>
          <w:p>
            <w:pPr>
              <w:spacing w:after="40"/>
            </w:pPr>
            <w:r/>
            <w:r>
              <w:rPr>
                <w:rFonts w:ascii="Aptos" w:hAnsi="Aptos"/>
                <w:b w:val="0"/>
                <w:sz w:val="16"/>
              </w:rPr>
              <w:t>2.0</w:t>
            </w:r>
          </w:p>
        </w:tc>
        <w:tc>
          <w:tcPr>
            <w:tcW w:type="dxa" w:w="4535"/>
            <w:vAlign w:val="center"/>
          </w:tcPr>
          <w:p>
            <w:pPr>
              <w:spacing w:after="40"/>
            </w:pPr>
            <w:r/>
            <w:r>
              <w:rPr>
                <w:rFonts w:ascii="Aptos" w:hAnsi="Aptos"/>
                <w:b w:val="0"/>
                <w:sz w:val="16"/>
              </w:rPr>
              <w:t>Write documentation plan, milestones and conclusion</w:t>
            </w:r>
          </w:p>
        </w:tc>
        <w:tc>
          <w:tcPr>
            <w:tcW w:type="dxa" w:w="1871"/>
            <w:vAlign w:val="center"/>
          </w:tcPr>
          <w:p>
            <w:pPr>
              <w:spacing w:after="40"/>
            </w:pPr>
            <w:r/>
            <w:r>
              <w:rPr>
                <w:rFonts w:ascii="Aptos" w:hAnsi="Aptos"/>
                <w:b w:val="0"/>
                <w:sz w:val="16"/>
              </w:rPr>
              <w:t>Planning section</w:t>
            </w:r>
          </w:p>
        </w:tc>
      </w:tr>
      <w:tr>
        <w:tc>
          <w:tcPr>
            <w:tcW w:type="dxa" w:w="680"/>
            <w:vAlign w:val="center"/>
          </w:tcPr>
          <w:p>
            <w:pPr>
              <w:spacing w:after="40"/>
            </w:pPr>
            <w:r/>
            <w:r>
              <w:rPr>
                <w:rFonts w:ascii="Aptos" w:hAnsi="Aptos"/>
                <w:b w:val="0"/>
                <w:sz w:val="16"/>
              </w:rPr>
              <w:t>9</w:t>
            </w:r>
          </w:p>
        </w:tc>
        <w:tc>
          <w:tcPr>
            <w:tcW w:type="dxa" w:w="2268"/>
            <w:vAlign w:val="center"/>
          </w:tcPr>
          <w:p>
            <w:pPr>
              <w:spacing w:after="40"/>
            </w:pPr>
            <w:r/>
            <w:r>
              <w:rPr>
                <w:rFonts w:ascii="Aptos" w:hAnsi="Aptos"/>
                <w:b w:val="0"/>
                <w:sz w:val="16"/>
              </w:rPr>
              <w:t>Technical review</w:t>
            </w:r>
          </w:p>
        </w:tc>
        <w:tc>
          <w:tcPr>
            <w:tcW w:type="dxa" w:w="850"/>
            <w:vAlign w:val="center"/>
          </w:tcPr>
          <w:p>
            <w:pPr>
              <w:spacing w:after="40"/>
            </w:pPr>
            <w:r/>
            <w:r>
              <w:rPr>
                <w:rFonts w:ascii="Aptos" w:hAnsi="Aptos"/>
                <w:b w:val="0"/>
                <w:sz w:val="16"/>
              </w:rPr>
              <w:t>2.0</w:t>
            </w:r>
          </w:p>
        </w:tc>
        <w:tc>
          <w:tcPr>
            <w:tcW w:type="dxa" w:w="4535"/>
            <w:vAlign w:val="center"/>
          </w:tcPr>
          <w:p>
            <w:pPr>
              <w:spacing w:after="40"/>
            </w:pPr>
            <w:r/>
            <w:r>
              <w:rPr>
                <w:rFonts w:ascii="Aptos" w:hAnsi="Aptos"/>
                <w:b w:val="0"/>
                <w:sz w:val="16"/>
              </w:rPr>
              <w:t>Check claims, units, terminology, standards and source alignment</w:t>
            </w:r>
          </w:p>
        </w:tc>
        <w:tc>
          <w:tcPr>
            <w:tcW w:type="dxa" w:w="1871"/>
            <w:vAlign w:val="center"/>
          </w:tcPr>
          <w:p>
            <w:pPr>
              <w:spacing w:after="40"/>
            </w:pPr>
            <w:r/>
            <w:r>
              <w:rPr>
                <w:rFonts w:ascii="Aptos" w:hAnsi="Aptos"/>
                <w:b w:val="0"/>
                <w:sz w:val="16"/>
              </w:rPr>
              <w:t>Validated draft</w:t>
            </w:r>
          </w:p>
        </w:tc>
      </w:tr>
      <w:tr>
        <w:tc>
          <w:tcPr>
            <w:tcW w:type="dxa" w:w="680"/>
            <w:vAlign w:val="center"/>
          </w:tcPr>
          <w:p>
            <w:pPr>
              <w:spacing w:after="40"/>
            </w:pPr>
            <w:r/>
            <w:r>
              <w:rPr>
                <w:rFonts w:ascii="Aptos" w:hAnsi="Aptos"/>
                <w:b w:val="0"/>
                <w:sz w:val="16"/>
              </w:rPr>
              <w:t>10</w:t>
            </w:r>
          </w:p>
        </w:tc>
        <w:tc>
          <w:tcPr>
            <w:tcW w:type="dxa" w:w="2268"/>
            <w:vAlign w:val="center"/>
          </w:tcPr>
          <w:p>
            <w:pPr>
              <w:spacing w:after="40"/>
            </w:pPr>
            <w:r/>
            <w:r>
              <w:rPr>
                <w:rFonts w:ascii="Aptos" w:hAnsi="Aptos"/>
                <w:b w:val="0"/>
                <w:sz w:val="16"/>
              </w:rPr>
              <w:t>Formatting + final QA</w:t>
            </w:r>
          </w:p>
        </w:tc>
        <w:tc>
          <w:tcPr>
            <w:tcW w:type="dxa" w:w="850"/>
            <w:vAlign w:val="center"/>
          </w:tcPr>
          <w:p>
            <w:pPr>
              <w:spacing w:after="40"/>
            </w:pPr>
            <w:r/>
            <w:r>
              <w:rPr>
                <w:rFonts w:ascii="Aptos" w:hAnsi="Aptos"/>
                <w:b w:val="0"/>
                <w:sz w:val="16"/>
              </w:rPr>
              <w:t>4.0</w:t>
            </w:r>
          </w:p>
        </w:tc>
        <w:tc>
          <w:tcPr>
            <w:tcW w:type="dxa" w:w="4535"/>
            <w:vAlign w:val="center"/>
          </w:tcPr>
          <w:p>
            <w:pPr>
              <w:spacing w:after="40"/>
            </w:pPr>
            <w:r/>
            <w:r>
              <w:rPr>
                <w:rFonts w:ascii="Aptos" w:hAnsi="Aptos"/>
                <w:b w:val="0"/>
                <w:sz w:val="16"/>
              </w:rPr>
              <w:t>Format Word document, references, headers, tables and submission checklist</w:t>
            </w:r>
          </w:p>
        </w:tc>
        <w:tc>
          <w:tcPr>
            <w:tcW w:type="dxa" w:w="1871"/>
            <w:vAlign w:val="center"/>
          </w:tcPr>
          <w:p>
            <w:pPr>
              <w:spacing w:after="40"/>
            </w:pPr>
            <w:r/>
            <w:r>
              <w:rPr>
                <w:rFonts w:ascii="Aptos" w:hAnsi="Aptos"/>
                <w:b w:val="0"/>
                <w:sz w:val="16"/>
              </w:rPr>
              <w:t>Final DOCX</w:t>
            </w:r>
          </w:p>
        </w:tc>
      </w:tr>
      <w:tr>
        <w:tc>
          <w:tcPr>
            <w:tcW w:type="dxa" w:w="680"/>
            <w:vAlign w:val="center"/>
          </w:tcPr>
          <w:p>
            <w:pPr>
              <w:spacing w:after="40"/>
            </w:pPr>
            <w:r/>
            <w:r>
              <w:rPr>
                <w:rFonts w:ascii="Aptos" w:hAnsi="Aptos"/>
                <w:b w:val="0"/>
                <w:sz w:val="16"/>
              </w:rPr>
            </w:r>
          </w:p>
        </w:tc>
        <w:tc>
          <w:tcPr>
            <w:tcW w:type="dxa" w:w="2268"/>
            <w:vAlign w:val="center"/>
          </w:tcPr>
          <w:p>
            <w:pPr>
              <w:spacing w:after="40"/>
            </w:pPr>
            <w:r/>
            <w:r>
              <w:rPr>
                <w:rFonts w:ascii="Aptos" w:hAnsi="Aptos"/>
                <w:b w:val="0"/>
                <w:sz w:val="16"/>
              </w:rPr>
              <w:t>TOTAL</w:t>
            </w:r>
          </w:p>
        </w:tc>
        <w:tc>
          <w:tcPr>
            <w:tcW w:type="dxa" w:w="850"/>
            <w:vAlign w:val="center"/>
          </w:tcPr>
          <w:p>
            <w:pPr>
              <w:spacing w:after="40"/>
            </w:pPr>
            <w:r/>
            <w:r>
              <w:rPr>
                <w:rFonts w:ascii="Aptos" w:hAnsi="Aptos"/>
                <w:b w:val="0"/>
                <w:sz w:val="16"/>
              </w:rPr>
              <w:t>33.0</w:t>
            </w:r>
          </w:p>
        </w:tc>
        <w:tc>
          <w:tcPr>
            <w:tcW w:type="dxa" w:w="4535"/>
            <w:vAlign w:val="center"/>
          </w:tcPr>
          <w:p>
            <w:pPr>
              <w:spacing w:after="40"/>
            </w:pPr>
            <w:r/>
            <w:r>
              <w:rPr>
                <w:rFonts w:ascii="Aptos" w:hAnsi="Aptos"/>
                <w:b w:val="0"/>
                <w:sz w:val="16"/>
              </w:rPr>
            </w:r>
          </w:p>
        </w:tc>
        <w:tc>
          <w:tcPr>
            <w:tcW w:type="dxa" w:w="1871"/>
            <w:vAlign w:val="center"/>
          </w:tcPr>
          <w:p>
            <w:pPr>
              <w:spacing w:after="40"/>
            </w:pPr>
            <w:r/>
            <w:r>
              <w:rPr>
                <w:rFonts w:ascii="Aptos" w:hAnsi="Aptos"/>
                <w:b w:val="0"/>
                <w:sz w:val="16"/>
              </w:rPr>
              <w:t>Submission-ready document</w:t>
            </w:r>
          </w:p>
        </w:tc>
      </w:tr>
    </w:tbl>
    <w:p/>
    <w:p>
      <w:pPr>
        <w:pStyle w:val="Heading2"/>
      </w:pPr>
      <w:r>
        <w:t>13.1 Milestone Acceptance Criteria</w:t>
      </w:r>
    </w:p>
    <w:p>
      <w:pPr>
        <w:pStyle w:val="ListBullet"/>
        <w:spacing w:after="60"/>
      </w:pPr>
      <w:r>
        <w:t>M1: Topic and scope are specific enough to prevent the document becoming a general automotive overview.</w:t>
      </w:r>
    </w:p>
    <w:p>
      <w:pPr>
        <w:pStyle w:val="ListBullet"/>
        <w:spacing w:after="60"/>
      </w:pPr>
      <w:r>
        <w:t>M2: At least one authoritative standards source supports each standards claim.</w:t>
      </w:r>
    </w:p>
    <w:p>
      <w:pPr>
        <w:pStyle w:val="ListBullet"/>
        <w:spacing w:after="60"/>
      </w:pPr>
      <w:r>
        <w:t>M3: Research findings distinguish peer-reviewed evidence from supplier marketing or illustrative case studies.</w:t>
      </w:r>
    </w:p>
    <w:p>
      <w:pPr>
        <w:pStyle w:val="ListBullet"/>
        <w:spacing w:after="60"/>
      </w:pPr>
      <w:r>
        <w:t>M4: Every major technical section has a clear purpose and intended audience.</w:t>
      </w:r>
    </w:p>
    <w:p>
      <w:pPr>
        <w:pStyle w:val="ListBullet"/>
        <w:spacing w:after="60"/>
      </w:pPr>
      <w:r>
        <w:t>M5: Current trends are linked to engineering implications rather than listed as buzzwords.</w:t>
      </w:r>
    </w:p>
    <w:p>
      <w:pPr>
        <w:pStyle w:val="ListBullet"/>
        <w:spacing w:after="60"/>
      </w:pPr>
      <w:r>
        <w:t>M6: Draft contains traceable citations and a complete reference list.</w:t>
      </w:r>
    </w:p>
    <w:p>
      <w:pPr>
        <w:pStyle w:val="ListBullet"/>
        <w:spacing w:after="60"/>
      </w:pPr>
      <w:r>
        <w:t>M7: Final Word file passes formatting, spelling, citation, table and submission checks.</w:t>
      </w:r>
    </w:p>
    <w:p>
      <w:pPr>
        <w:pStyle w:val="Heading1"/>
      </w:pPr>
      <w:r>
        <w:t>14. Conclusion</w:t>
      </w:r>
    </w:p>
    <w:p>
      <w:r>
        <w:t>Robotic resistance spot welding is an appropriate and technically rich topic for a comprehensive automotive technical document because it sits at the intersection of manufacturing engineering, welding science, industrial robotics, quality assurance and digital manufacturing. The research reviewed for this plan shows that the technology remains fundamental to BIW assembly while its supporting ecosystem is changing rapidly.</w:t>
      </w:r>
    </w:p>
    <w:p>
      <w:r>
        <w:t>The strongest direction for the final document is therefore not simply to explain how a spot weld is made. It should explain how a modern robotic welding process is engineered, programmed, validated, monitored, maintained and improved. The standards framework provides the safety and quality foundation; peer-reviewed research provides evidence for process and digitalization developments; and current industry work points toward more connected, data-driven and flexible welding cells.</w:t>
      </w:r>
    </w:p>
    <w:p>
      <w:r>
        <w:t>A disciplined 33-hour workflow provides enough time to research, analyze, draft, validate and professionally format the final document. The proposed roadmap can subsequently be expanded into a plant-neutral technical manual, training module, troubleshooting guide, or digital manufacturing improvement project.</w:t>
      </w:r>
    </w:p>
    <w:p>
      <w:pPr>
        <w:pStyle w:val="Heading1"/>
      </w:pPr>
      <w:r>
        <w:t>15. References</w:t>
      </w:r>
    </w:p>
    <w:p>
      <w:pPr>
        <w:spacing w:after="100"/>
        <w:ind w:left="397" w:hanging="397"/>
      </w:pPr>
      <w:r>
        <w:rPr>
          <w:sz w:val="18"/>
        </w:rPr>
        <w:t xml:space="preserve">[1] American Welding Society (AWS), D8 Committee on Automotive Welding — published automotive welding standards and committee scope. </w:t>
      </w:r>
      <w:hyperlink r:id="rId11">
        <w:r>
          <w:rPr>
            <w:color w:val="0563C1"/>
            <w:u w:val="single"/>
          </w:rPr>
          <w:t>https://www.aws.org/About/Get-Involved/Committees/D8-Committee-on-Automotive-Welding/</w:t>
        </w:r>
      </w:hyperlink>
    </w:p>
    <w:p>
      <w:pPr>
        <w:spacing w:after="100"/>
        <w:ind w:left="397" w:hanging="397"/>
      </w:pPr>
      <w:r>
        <w:rPr>
          <w:sz w:val="18"/>
        </w:rPr>
        <w:t xml:space="preserve">[2] Wang, P. E., et al. (2025). Applicable and generalizable machine learning for intelligent welding in automotive manufacturing. Welding in the World, 69, 1349–1384. </w:t>
      </w:r>
      <w:hyperlink r:id="rId12">
        <w:r>
          <w:rPr>
            <w:color w:val="0563C1"/>
            <w:u w:val="single"/>
          </w:rPr>
          <w:t>https://link.springer.com/article/10.1007/s40194-025-01951-5</w:t>
        </w:r>
      </w:hyperlink>
    </w:p>
    <w:p>
      <w:pPr>
        <w:spacing w:after="100"/>
        <w:ind w:left="397" w:hanging="397"/>
      </w:pPr>
      <w:r>
        <w:rPr>
          <w:sz w:val="18"/>
        </w:rPr>
        <w:t xml:space="preserve">[3] Pellegrinelli, S., Pedrocchi, N., Molinari Tosatti, L., Fischer, A., &amp; Tolio, T. (2017). Multi-robot spot-welding cells for car-body assembly: Design and motion planning. Robotics and Computer-Integrated Manufacturing, 44, 97–116. DOI: 10.1016/j.rcim.2016.08.006. </w:t>
      </w:r>
      <w:hyperlink r:id="rId13">
        <w:r>
          <w:rPr>
            <w:color w:val="0563C1"/>
            <w:u w:val="single"/>
          </w:rPr>
          <w:t>https://www.sciencedirect.com/science/article/pii/S0736584515300302</w:t>
        </w:r>
      </w:hyperlink>
    </w:p>
    <w:p>
      <w:pPr>
        <w:spacing w:after="100"/>
        <w:ind w:left="397" w:hanging="397"/>
      </w:pPr>
      <w:r>
        <w:rPr>
          <w:sz w:val="18"/>
        </w:rPr>
        <w:t xml:space="preserve">[4] Digitalization of Process Planning of Spot Welding in Body-in-white (2016). Procedia CIRP, 50, 618–623. DOI: 10.1016/j.procir.2016.05.082. </w:t>
      </w:r>
      <w:hyperlink r:id="rId14">
        <w:r>
          <w:rPr>
            <w:color w:val="0563C1"/>
            <w:u w:val="single"/>
          </w:rPr>
          <w:t>https://www.sciencedirect.com/science/article/pii/S2212827116305728</w:t>
        </w:r>
      </w:hyperlink>
    </w:p>
    <w:p>
      <w:pPr>
        <w:spacing w:after="100"/>
        <w:ind w:left="397" w:hanging="397"/>
      </w:pPr>
      <w:r>
        <w:rPr>
          <w:sz w:val="18"/>
        </w:rPr>
        <w:t xml:space="preserve">[5] ISO (2025). ISO 10218-1:2025 — Robotics — Safety requirements — Part 1: Industrial robots. </w:t>
      </w:r>
      <w:hyperlink r:id="rId15">
        <w:r>
          <w:rPr>
            <w:color w:val="0563C1"/>
            <w:u w:val="single"/>
          </w:rPr>
          <w:t>https://www.iso.org/standard/73933.html</w:t>
        </w:r>
      </w:hyperlink>
    </w:p>
    <w:p>
      <w:pPr>
        <w:spacing w:after="100"/>
        <w:ind w:left="397" w:hanging="397"/>
      </w:pPr>
      <w:r>
        <w:rPr>
          <w:sz w:val="18"/>
        </w:rPr>
        <w:t xml:space="preserve">[6] ISO (2024). ISO 14373:2024 — Resistance welding — Procedure for spot welding of uncoated and coated low-carbon steels. </w:t>
      </w:r>
      <w:hyperlink r:id="rId16">
        <w:r>
          <w:rPr>
            <w:color w:val="0563C1"/>
            <w:u w:val="single"/>
          </w:rPr>
          <w:t>https://www.iso.org/standard/83934.html</w:t>
        </w:r>
      </w:hyperlink>
    </w:p>
    <w:p>
      <w:pPr>
        <w:spacing w:after="100"/>
        <w:ind w:left="397" w:hanging="397"/>
      </w:pPr>
      <w:r>
        <w:rPr>
          <w:sz w:val="18"/>
        </w:rPr>
        <w:t xml:space="preserve">[7] ISO (2005). ISO 17657-1:2005 — Resistance welding — Welding current measurement for resistance welding — Part 1: Guidelines for measurement. </w:t>
      </w:r>
      <w:hyperlink r:id="rId17">
        <w:r>
          <w:rPr>
            <w:color w:val="0563C1"/>
            <w:u w:val="single"/>
          </w:rPr>
          <w:t>https://www.iso.org/standard/39996.html</w:t>
        </w:r>
      </w:hyperlink>
    </w:p>
    <w:p>
      <w:pPr>
        <w:spacing w:after="100"/>
        <w:ind w:left="397" w:hanging="397"/>
      </w:pPr>
      <w:r>
        <w:rPr>
          <w:sz w:val="18"/>
        </w:rPr>
        <w:t xml:space="preserve">[8] AWS (2021). AWS D8.1M:2021 — Specification for Automotive Weld Quality — Resistance Spot Welding of Steel. </w:t>
      </w:r>
      <w:hyperlink r:id="rId18">
        <w:r>
          <w:rPr>
            <w:color w:val="0563C1"/>
            <w:u w:val="single"/>
          </w:rPr>
          <w:t>https://pubs.aws.org/p/2067/d81m2021-specification-for-automotive-weld-quality-resistance-spot-welding-of-steel</w:t>
        </w:r>
      </w:hyperlink>
    </w:p>
    <w:p>
      <w:pPr>
        <w:spacing w:after="100"/>
        <w:ind w:left="397" w:hanging="397"/>
      </w:pPr>
      <w:r>
        <w:rPr>
          <w:sz w:val="18"/>
        </w:rPr>
        <w:t xml:space="preserve">[9] AWS (2026). AWS D8.2M:2026 — Specification for Automotive Weld Quality — Resistance Spot Welding of Aluminum. </w:t>
      </w:r>
      <w:hyperlink r:id="rId19">
        <w:r>
          <w:rPr>
            <w:color w:val="0563C1"/>
            <w:u w:val="single"/>
          </w:rPr>
          <w:t>https://pubs.aws.org/p/2327/d82m2026-specification-for-automotive-weld-quality-resistance-spot-welding-of-aluminum</w:t>
        </w:r>
      </w:hyperlink>
    </w:p>
    <w:p>
      <w:pPr>
        <w:spacing w:after="100"/>
        <w:ind w:left="397" w:hanging="397"/>
      </w:pPr>
      <w:r>
        <w:rPr>
          <w:sz w:val="18"/>
        </w:rPr>
        <w:t xml:space="preserve">[10] AWS (2022). AWS D8.9M:2022 — Test Methods for Evaluating the Resistance Spot Welding Behavior of Automotive Sheet Steel Materials. </w:t>
      </w:r>
      <w:hyperlink r:id="rId20">
        <w:r>
          <w:rPr>
            <w:color w:val="0563C1"/>
            <w:u w:val="single"/>
          </w:rPr>
          <w:t>https://pubs.aws.org/p/2095</w:t>
        </w:r>
      </w:hyperlink>
    </w:p>
    <w:p>
      <w:pPr>
        <w:spacing w:after="100"/>
        <w:ind w:left="397" w:hanging="397"/>
      </w:pPr>
      <w:r>
        <w:rPr>
          <w:sz w:val="18"/>
        </w:rPr>
        <w:t xml:space="preserve">[11] Failure behaviour of Spot-welds on automotive steel sheets (2022). Materials Today: Proceedings, 62, 6120–6124. DOI: 10.1016/j.matpr.2022.05.020. </w:t>
      </w:r>
      <w:hyperlink r:id="rId21">
        <w:r>
          <w:rPr>
            <w:color w:val="0563C1"/>
            <w:u w:val="single"/>
          </w:rPr>
          <w:t>https://www.sciencedirect.com/science/article/pii/S2214785322032916</w:t>
        </w:r>
      </w:hyperlink>
    </w:p>
    <w:p>
      <w:pPr>
        <w:spacing w:after="100"/>
        <w:ind w:left="397" w:hanging="397"/>
      </w:pPr>
      <w:r>
        <w:rPr>
          <w:sz w:val="18"/>
        </w:rPr>
        <w:t xml:space="preserve">[12] Quality Assurance in Resistance Spot Welding: State of Practice, State of the Art, and Prospects (2024). Metals, 14(2), 185. </w:t>
      </w:r>
      <w:hyperlink r:id="rId22">
        <w:r>
          <w:rPr>
            <w:color w:val="0563C1"/>
            <w:u w:val="single"/>
          </w:rPr>
          <w:t>https://www.mdpi.com/2075-4701/14/2/185</w:t>
        </w:r>
      </w:hyperlink>
    </w:p>
    <w:p>
      <w:pPr>
        <w:spacing w:after="100"/>
        <w:ind w:left="397" w:hanging="397"/>
      </w:pPr>
      <w:r>
        <w:rPr>
          <w:sz w:val="18"/>
        </w:rPr>
        <w:t xml:space="preserve">[13] Machine learning for predicting resistance spot weld quality in automotive manufacturing (2024). Results in Engineering. DOI: 10.1016/j.rineng.2024.103570. </w:t>
      </w:r>
      <w:hyperlink r:id="rId23">
        <w:r>
          <w:rPr>
            <w:color w:val="0563C1"/>
            <w:u w:val="single"/>
          </w:rPr>
          <w:t>https://www.sciencedirect.com/science/article/pii/S2590123024018139</w:t>
        </w:r>
      </w:hyperlink>
    </w:p>
    <w:p>
      <w:pPr>
        <w:spacing w:after="100"/>
        <w:ind w:left="397" w:hanging="397"/>
      </w:pPr>
      <w:r>
        <w:rPr>
          <w:sz w:val="18"/>
        </w:rPr>
        <w:t xml:space="preserve">[14] Luo, R., Zhou, S., Nie, L., et al. (2025). Quality prediction method for automotive body resistance spot welding based on digital twin technology. Scientific Reports, 15, 24391. DOI: 10.1038/s41598-025-09959-z. </w:t>
      </w:r>
      <w:hyperlink r:id="rId24">
        <w:r>
          <w:rPr>
            <w:color w:val="0563C1"/>
            <w:u w:val="single"/>
          </w:rPr>
          <w:t>https://www.nature.com/articles/s41598-025-09959-z</w:t>
        </w:r>
      </w:hyperlink>
    </w:p>
    <w:p>
      <w:pPr>
        <w:spacing w:after="100"/>
        <w:ind w:left="397" w:hanging="397"/>
      </w:pPr>
      <w:r>
        <w:rPr>
          <w:sz w:val="18"/>
        </w:rPr>
        <w:t xml:space="preserve">[15] Resistance Welding Quality Through Artificial Intelligence Techniques (2025). Sensors, 25(6), 1744. </w:t>
      </w:r>
      <w:hyperlink r:id="rId25">
        <w:r>
          <w:rPr>
            <w:color w:val="0563C1"/>
            <w:u w:val="single"/>
          </w:rPr>
          <w:t>https://www.mdpi.com/1424-8220/25/6/1744</w:t>
        </w:r>
      </w:hyperlink>
    </w:p>
    <w:p>
      <w:pPr>
        <w:spacing w:after="100"/>
        <w:ind w:left="397" w:hanging="397"/>
      </w:pPr>
      <w:r>
        <w:rPr>
          <w:sz w:val="18"/>
        </w:rPr>
        <w:t xml:space="preserve">[16] Influences of Various Parameters on the Weld Spot Diameter during Resistance Spot Welding of the Aluminum Alloy EN AW-6014 (2026). Procedia Structural Integrity, 77, 229–236. DOI: 10.1016/j.prostr.2026.01.031. </w:t>
      </w:r>
      <w:hyperlink r:id="rId26">
        <w:r>
          <w:rPr>
            <w:color w:val="0563C1"/>
            <w:u w:val="single"/>
          </w:rPr>
          <w:t>https://www.sciencedirect.com/science/article/pii/S2452321626000314</w:t>
        </w:r>
      </w:hyperlink>
    </w:p>
    <w:p>
      <w:pPr>
        <w:spacing w:after="100"/>
        <w:ind w:left="397" w:hanging="397"/>
      </w:pPr>
      <w:r>
        <w:rPr>
          <w:sz w:val="18"/>
        </w:rPr>
        <w:t xml:space="preserve">[17] American Welding Society Welding Journal (2025). AI in Automotive Welding — virtual sensing, resistance spot welding models and machine learning. </w:t>
      </w:r>
      <w:hyperlink r:id="rId27">
        <w:r>
          <w:rPr>
            <w:color w:val="0563C1"/>
            <w:u w:val="single"/>
          </w:rPr>
          <w:t>https://www.aws.org/magazines-and-media/welding-journal/2025/january/wj-jan-25-feature-01-ghassemi-armaki-gm</w:t>
        </w:r>
      </w:hyperlink>
    </w:p>
    <w:p>
      <w:pPr>
        <w:spacing w:after="100"/>
        <w:ind w:left="397" w:hanging="397"/>
      </w:pPr>
      <w:r>
        <w:rPr>
          <w:sz w:val="18"/>
        </w:rPr>
        <w:t xml:space="preserve">[18] An Approach for Expulsion Predicting in Resistance Spot Welding (2024). Procedia CIRP, 130, 1732–1738. DOI: 10.1016/j.procir.2024.10.308. </w:t>
      </w:r>
      <w:hyperlink r:id="rId28">
        <w:r>
          <w:rPr>
            <w:color w:val="0563C1"/>
            <w:u w:val="single"/>
          </w:rPr>
          <w:t>https://www.sciencedirect.com/science/article/pii/S2212827124014665</w:t>
        </w:r>
      </w:hyperlink>
    </w:p>
    <w:p>
      <w:pPr>
        <w:spacing w:after="100"/>
        <w:ind w:left="397" w:hanging="397"/>
      </w:pPr>
      <w:r>
        <w:rPr>
          <w:sz w:val="18"/>
        </w:rPr>
        <w:t xml:space="preserve">[19] ISO (2025). ISO 10218-2:2025 — Robotics — Safety requirements — Part 2: Industrial robot applications and robot cells. </w:t>
      </w:r>
      <w:hyperlink r:id="rId29">
        <w:r>
          <w:rPr>
            <w:color w:val="0563C1"/>
            <w:u w:val="single"/>
          </w:rPr>
          <w:t>https://www.iso.org/ics/25.040.30/x/</w:t>
        </w:r>
      </w:hyperlink>
    </w:p>
    <w:p>
      <w:pPr>
        <w:spacing w:after="100"/>
        <w:ind w:left="397" w:hanging="397"/>
      </w:pPr>
      <w:r>
        <w:rPr>
          <w:sz w:val="18"/>
        </w:rPr>
        <w:t xml:space="preserve">[20] ISO (1998). ISO 9283:1998 — Manipulating industrial robots — Performance criteria and related test methods. </w:t>
      </w:r>
      <w:hyperlink r:id="rId30">
        <w:r>
          <w:rPr>
            <w:color w:val="0563C1"/>
            <w:u w:val="single"/>
          </w:rPr>
          <w:t>https://www.iso.org/standard/22244.html</w:t>
        </w:r>
      </w:hyperlink>
    </w:p>
    <w:p>
      <w:pPr>
        <w:pStyle w:val="Heading1"/>
      </w:pPr>
      <w:r>
        <w:t>Appendix A — Research Source Matrix</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vAlign w:val="center"/>
            <w:shd w:fill="D9EAF7"/>
          </w:tcPr>
          <w:p>
            <w:pPr>
              <w:spacing w:after="40"/>
            </w:pPr>
            <w:r/>
            <w:r>
              <w:rPr>
                <w:rFonts w:ascii="Aptos" w:hAnsi="Aptos"/>
                <w:b/>
                <w:sz w:val="17"/>
              </w:rPr>
              <w:t>Source type</w:t>
            </w:r>
          </w:p>
        </w:tc>
        <w:tc>
          <w:tcPr>
            <w:tcW w:type="dxa" w:w="4535"/>
            <w:vAlign w:val="center"/>
            <w:shd w:fill="D9EAF7"/>
          </w:tcPr>
          <w:p>
            <w:pPr>
              <w:spacing w:after="40"/>
            </w:pPr>
            <w:r/>
            <w:r>
              <w:rPr>
                <w:rFonts w:ascii="Aptos" w:hAnsi="Aptos"/>
                <w:b/>
                <w:sz w:val="17"/>
              </w:rPr>
              <w:t>Examples used</w:t>
            </w:r>
          </w:p>
        </w:tc>
        <w:tc>
          <w:tcPr>
            <w:tcW w:type="dxa" w:w="3402"/>
            <w:vAlign w:val="center"/>
            <w:shd w:fill="D9EAF7"/>
          </w:tcPr>
          <w:p>
            <w:pPr>
              <w:spacing w:after="40"/>
            </w:pPr>
            <w:r/>
            <w:r>
              <w:rPr>
                <w:rFonts w:ascii="Aptos" w:hAnsi="Aptos"/>
                <w:b/>
                <w:sz w:val="17"/>
              </w:rPr>
              <w:t>Best use in final document</w:t>
            </w:r>
          </w:p>
        </w:tc>
      </w:tr>
      <w:tr>
        <w:tc>
          <w:tcPr>
            <w:tcW w:type="dxa" w:w="2268"/>
            <w:vAlign w:val="center"/>
          </w:tcPr>
          <w:p>
            <w:pPr>
              <w:spacing w:after="40"/>
            </w:pPr>
            <w:r/>
            <w:r>
              <w:rPr>
                <w:rFonts w:ascii="Aptos" w:hAnsi="Aptos"/>
                <w:b w:val="0"/>
                <w:sz w:val="17"/>
              </w:rPr>
              <w:t>International standards</w:t>
            </w:r>
          </w:p>
        </w:tc>
        <w:tc>
          <w:tcPr>
            <w:tcW w:type="dxa" w:w="4535"/>
            <w:vAlign w:val="center"/>
          </w:tcPr>
          <w:p>
            <w:pPr>
              <w:spacing w:after="40"/>
            </w:pPr>
            <w:r/>
            <w:r>
              <w:rPr>
                <w:rFonts w:ascii="Aptos" w:hAnsi="Aptos"/>
                <w:b w:val="0"/>
                <w:sz w:val="17"/>
              </w:rPr>
              <w:t>ISO 10218, ISO 14373, ISO 17657, ISO 9283</w:t>
            </w:r>
          </w:p>
        </w:tc>
        <w:tc>
          <w:tcPr>
            <w:tcW w:type="dxa" w:w="3402"/>
            <w:vAlign w:val="center"/>
          </w:tcPr>
          <w:p>
            <w:pPr>
              <w:spacing w:after="40"/>
            </w:pPr>
            <w:r/>
            <w:r>
              <w:rPr>
                <w:rFonts w:ascii="Aptos" w:hAnsi="Aptos"/>
                <w:b w:val="0"/>
                <w:sz w:val="17"/>
              </w:rPr>
              <w:t>Safety, procedures, measurement, robot performance</w:t>
            </w:r>
          </w:p>
        </w:tc>
      </w:tr>
      <w:tr>
        <w:tc>
          <w:tcPr>
            <w:tcW w:type="dxa" w:w="2268"/>
            <w:vAlign w:val="center"/>
          </w:tcPr>
          <w:p>
            <w:pPr>
              <w:spacing w:after="40"/>
            </w:pPr>
            <w:r/>
            <w:r>
              <w:rPr>
                <w:rFonts w:ascii="Aptos" w:hAnsi="Aptos"/>
                <w:b w:val="0"/>
                <w:sz w:val="17"/>
              </w:rPr>
              <w:t>Professional welding standards</w:t>
            </w:r>
          </w:p>
        </w:tc>
        <w:tc>
          <w:tcPr>
            <w:tcW w:type="dxa" w:w="4535"/>
            <w:vAlign w:val="center"/>
          </w:tcPr>
          <w:p>
            <w:pPr>
              <w:spacing w:after="40"/>
            </w:pPr>
            <w:r/>
            <w:r>
              <w:rPr>
                <w:rFonts w:ascii="Aptos" w:hAnsi="Aptos"/>
                <w:b w:val="0"/>
                <w:sz w:val="17"/>
              </w:rPr>
              <w:t>AWS D8.1M, D8.2M, D8.9M</w:t>
            </w:r>
          </w:p>
        </w:tc>
        <w:tc>
          <w:tcPr>
            <w:tcW w:type="dxa" w:w="3402"/>
            <w:vAlign w:val="center"/>
          </w:tcPr>
          <w:p>
            <w:pPr>
              <w:spacing w:after="40"/>
            </w:pPr>
            <w:r/>
            <w:r>
              <w:rPr>
                <w:rFonts w:ascii="Aptos" w:hAnsi="Aptos"/>
                <w:b w:val="0"/>
                <w:sz w:val="17"/>
              </w:rPr>
              <w:t>Automotive weld quality and test methods</w:t>
            </w:r>
          </w:p>
        </w:tc>
      </w:tr>
      <w:tr>
        <w:tc>
          <w:tcPr>
            <w:tcW w:type="dxa" w:w="2268"/>
            <w:vAlign w:val="center"/>
          </w:tcPr>
          <w:p>
            <w:pPr>
              <w:spacing w:after="40"/>
            </w:pPr>
            <w:r/>
            <w:r>
              <w:rPr>
                <w:rFonts w:ascii="Aptos" w:hAnsi="Aptos"/>
                <w:b w:val="0"/>
                <w:sz w:val="17"/>
              </w:rPr>
              <w:t>Peer-reviewed research</w:t>
            </w:r>
          </w:p>
        </w:tc>
        <w:tc>
          <w:tcPr>
            <w:tcW w:type="dxa" w:w="4535"/>
            <w:vAlign w:val="center"/>
          </w:tcPr>
          <w:p>
            <w:pPr>
              <w:spacing w:after="40"/>
            </w:pPr>
            <w:r/>
            <w:r>
              <w:rPr>
                <w:rFonts w:ascii="Aptos" w:hAnsi="Aptos"/>
                <w:b w:val="0"/>
                <w:sz w:val="17"/>
              </w:rPr>
              <w:t>Robotics/BIW, RSW quality, AI/ML, digital twins</w:t>
            </w:r>
          </w:p>
        </w:tc>
        <w:tc>
          <w:tcPr>
            <w:tcW w:type="dxa" w:w="3402"/>
            <w:vAlign w:val="center"/>
          </w:tcPr>
          <w:p>
            <w:pPr>
              <w:spacing w:after="40"/>
            </w:pPr>
            <w:r/>
            <w:r>
              <w:rPr>
                <w:rFonts w:ascii="Aptos" w:hAnsi="Aptos"/>
                <w:b w:val="0"/>
                <w:sz w:val="17"/>
              </w:rPr>
              <w:t>Technical evidence and emerging methods</w:t>
            </w:r>
          </w:p>
        </w:tc>
      </w:tr>
      <w:tr>
        <w:tc>
          <w:tcPr>
            <w:tcW w:type="dxa" w:w="2268"/>
            <w:vAlign w:val="center"/>
          </w:tcPr>
          <w:p>
            <w:pPr>
              <w:spacing w:after="40"/>
            </w:pPr>
            <w:r/>
            <w:r>
              <w:rPr>
                <w:rFonts w:ascii="Aptos" w:hAnsi="Aptos"/>
                <w:b w:val="0"/>
                <w:sz w:val="17"/>
              </w:rPr>
              <w:t>Industry publication</w:t>
            </w:r>
          </w:p>
        </w:tc>
        <w:tc>
          <w:tcPr>
            <w:tcW w:type="dxa" w:w="4535"/>
            <w:vAlign w:val="center"/>
          </w:tcPr>
          <w:p>
            <w:pPr>
              <w:spacing w:after="40"/>
            </w:pPr>
            <w:r/>
            <w:r>
              <w:rPr>
                <w:rFonts w:ascii="Aptos" w:hAnsi="Aptos"/>
                <w:b w:val="0"/>
                <w:sz w:val="17"/>
              </w:rPr>
              <w:t>AWS Welding Journal</w:t>
            </w:r>
          </w:p>
        </w:tc>
        <w:tc>
          <w:tcPr>
            <w:tcW w:type="dxa" w:w="3402"/>
            <w:vAlign w:val="center"/>
          </w:tcPr>
          <w:p>
            <w:pPr>
              <w:spacing w:after="40"/>
            </w:pPr>
            <w:r/>
            <w:r>
              <w:rPr>
                <w:rFonts w:ascii="Aptos" w:hAnsi="Aptos"/>
                <w:b w:val="0"/>
                <w:sz w:val="17"/>
              </w:rPr>
              <w:t>Current technology and practical trend context</w:t>
            </w:r>
          </w:p>
        </w:tc>
      </w:tr>
      <w:tr>
        <w:tc>
          <w:tcPr>
            <w:tcW w:type="dxa" w:w="2268"/>
            <w:vAlign w:val="center"/>
          </w:tcPr>
          <w:p>
            <w:pPr>
              <w:spacing w:after="40"/>
            </w:pPr>
            <w:r/>
            <w:r>
              <w:rPr>
                <w:rFonts w:ascii="Aptos" w:hAnsi="Aptos"/>
                <w:b w:val="0"/>
                <w:sz w:val="17"/>
              </w:rPr>
              <w:t>Supplier case studies</w:t>
            </w:r>
          </w:p>
        </w:tc>
        <w:tc>
          <w:tcPr>
            <w:tcW w:type="dxa" w:w="4535"/>
            <w:vAlign w:val="center"/>
          </w:tcPr>
          <w:p>
            <w:pPr>
              <w:spacing w:after="40"/>
            </w:pPr>
            <w:r/>
            <w:r>
              <w:rPr>
                <w:rFonts w:ascii="Aptos" w:hAnsi="Aptos"/>
                <w:b w:val="0"/>
                <w:sz w:val="17"/>
              </w:rPr>
              <w:t>Digital-twin/offline programming examples</w:t>
            </w:r>
          </w:p>
        </w:tc>
        <w:tc>
          <w:tcPr>
            <w:tcW w:type="dxa" w:w="3402"/>
            <w:vAlign w:val="center"/>
          </w:tcPr>
          <w:p>
            <w:pPr>
              <w:spacing w:after="40"/>
            </w:pPr>
            <w:r/>
            <w:r>
              <w:rPr>
                <w:rFonts w:ascii="Aptos" w:hAnsi="Aptos"/>
                <w:b w:val="0"/>
                <w:sz w:val="17"/>
              </w:rPr>
              <w:t>Illustrative implementation only</w:t>
            </w:r>
          </w:p>
        </w:tc>
      </w:tr>
    </w:tbl>
    <w:p/>
    <w:p>
      <w:pPr>
        <w:pStyle w:val="Heading1"/>
      </w:pPr>
      <w:r>
        <w:t>Appendix B — Final Submission Quality Checklist</w:t>
      </w:r>
    </w:p>
    <w:p>
      <w:pPr>
        <w:pStyle w:val="ListBullet"/>
        <w:spacing w:after="60"/>
      </w:pPr>
      <w:r>
        <w:t>☐ File is saved as .docx and opens correctly in Microsoft Word.</w:t>
      </w:r>
    </w:p>
    <w:p>
      <w:pPr>
        <w:pStyle w:val="ListBullet"/>
        <w:spacing w:after="60"/>
      </w:pPr>
      <w:r>
        <w:t>☐ Title, author and research topic are clearly identified.</w:t>
      </w:r>
    </w:p>
    <w:p>
      <w:pPr>
        <w:pStyle w:val="ListBullet"/>
        <w:spacing w:after="60"/>
      </w:pPr>
      <w:r>
        <w:t>☐ Research objective and scope are explicit.</w:t>
      </w:r>
    </w:p>
    <w:p>
      <w:pPr>
        <w:pStyle w:val="ListBullet"/>
        <w:spacing w:after="60"/>
      </w:pPr>
      <w:r>
        <w:t>☐ Literature review includes findings, not only a source list.</w:t>
      </w:r>
    </w:p>
    <w:p>
      <w:pPr>
        <w:pStyle w:val="ListBullet"/>
        <w:spacing w:after="60"/>
      </w:pPr>
      <w:r>
        <w:t>☐ Current trends are supported by recent sources.</w:t>
      </w:r>
    </w:p>
    <w:p>
      <w:pPr>
        <w:pStyle w:val="ListBullet"/>
        <w:spacing w:after="60"/>
      </w:pPr>
      <w:r>
        <w:t>☐ Technical specifications are clearly separated from universal claims.</w:t>
      </w:r>
    </w:p>
    <w:p>
      <w:pPr>
        <w:pStyle w:val="ListBullet"/>
        <w:spacing w:after="60"/>
      </w:pPr>
      <w:r>
        <w:t>☐ Standards are identified by exact title and edition/year.</w:t>
      </w:r>
    </w:p>
    <w:p>
      <w:pPr>
        <w:pStyle w:val="ListBullet"/>
        <w:spacing w:after="60"/>
      </w:pPr>
      <w:r>
        <w:t>☐ Withdrawn/superseded standards are not presented as current requirements.</w:t>
      </w:r>
    </w:p>
    <w:p>
      <w:pPr>
        <w:pStyle w:val="ListBullet"/>
        <w:spacing w:after="60"/>
      </w:pPr>
      <w:r>
        <w:t>☐ In-text citations correspond to the reference list.</w:t>
      </w:r>
    </w:p>
    <w:p>
      <w:pPr>
        <w:pStyle w:val="ListBullet"/>
        <w:spacing w:after="60"/>
      </w:pPr>
      <w:r>
        <w:t>☐ Tables are readable and headings are consistent.</w:t>
      </w:r>
    </w:p>
    <w:p>
      <w:pPr>
        <w:pStyle w:val="ListBullet"/>
        <w:spacing w:after="60"/>
      </w:pPr>
      <w:r>
        <w:t>☐ Safety statements do not replace plant risk assessment or official procedures.</w:t>
      </w:r>
    </w:p>
    <w:p>
      <w:pPr>
        <w:pStyle w:val="ListBullet"/>
        <w:spacing w:after="60"/>
      </w:pPr>
      <w:r>
        <w:t>☐ AI/ML results are described as research findings rather than guaranteed production performance.</w:t>
      </w:r>
    </w:p>
    <w:p>
      <w:pPr>
        <w:pStyle w:val="ListBullet"/>
        <w:spacing w:after="60"/>
      </w:pPr>
      <w:r>
        <w:t>☐ Roadmap includes introduction, main sections, conclusion and writing timeline.</w:t>
      </w:r>
    </w:p>
    <w:p>
      <w:pPr>
        <w:pStyle w:val="ListBullet"/>
        <w:spacing w:after="60"/>
      </w:pPr>
      <w:r>
        <w:t>☐ Total planned effort is between 30 and 35 hours.</w:t>
      </w:r>
    </w:p>
    <w:p>
      <w:pPr>
        <w:pStyle w:val="ListBullet"/>
        <w:spacing w:after="60"/>
      </w:pPr>
      <w:r>
        <w:t>☐ Final proofread completed for spelling, grammar and formatting.</w:t>
      </w:r>
    </w:p>
    <w:p/>
    <w:p>
      <w:pPr>
        <w:jc w:val="center"/>
      </w:pPr>
      <w:r>
        <w:rPr>
          <w:b/>
          <w:sz w:val="20"/>
        </w:rPr>
        <w:t>END OF REPORT</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Kuganraj K  |  Research Report &amp; Documentation Roadmap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AUTOMOTIVE TECHNICAL DOCUMENTATION • ROBOTIC RSW IN BIW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60" w:line="276" w:lineRule="auto"/>
    </w:pPr>
    <w:rPr>
      <w:rFonts w:ascii="Aptos" w:hAnsi="Aptos"/>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ws.org/About/Get-Involved/Committees/D8-Committee-on-Automotive-Welding/" TargetMode="External"/><Relationship Id="rId12" Type="http://schemas.openxmlformats.org/officeDocument/2006/relationships/hyperlink" Target="https://link.springer.com/article/10.1007/s40194-025-01951-5" TargetMode="External"/><Relationship Id="rId13" Type="http://schemas.openxmlformats.org/officeDocument/2006/relationships/hyperlink" Target="https://www.sciencedirect.com/science/article/pii/S0736584515300302" TargetMode="External"/><Relationship Id="rId14" Type="http://schemas.openxmlformats.org/officeDocument/2006/relationships/hyperlink" Target="https://www.sciencedirect.com/science/article/pii/S2212827116305728" TargetMode="External"/><Relationship Id="rId15" Type="http://schemas.openxmlformats.org/officeDocument/2006/relationships/hyperlink" Target="https://www.iso.org/standard/73933.html" TargetMode="External"/><Relationship Id="rId16" Type="http://schemas.openxmlformats.org/officeDocument/2006/relationships/hyperlink" Target="https://www.iso.org/standard/83934.html" TargetMode="External"/><Relationship Id="rId17" Type="http://schemas.openxmlformats.org/officeDocument/2006/relationships/hyperlink" Target="https://www.iso.org/standard/39996.html" TargetMode="External"/><Relationship Id="rId18" Type="http://schemas.openxmlformats.org/officeDocument/2006/relationships/hyperlink" Target="https://pubs.aws.org/p/2067/d81m2021-specification-for-automotive-weld-quality-resistance-spot-welding-of-steel" TargetMode="External"/><Relationship Id="rId19" Type="http://schemas.openxmlformats.org/officeDocument/2006/relationships/hyperlink" Target="https://pubs.aws.org/p/2327/d82m2026-specification-for-automotive-weld-quality-resistance-spot-welding-of-aluminum" TargetMode="External"/><Relationship Id="rId20" Type="http://schemas.openxmlformats.org/officeDocument/2006/relationships/hyperlink" Target="https://pubs.aws.org/p/2095" TargetMode="External"/><Relationship Id="rId21" Type="http://schemas.openxmlformats.org/officeDocument/2006/relationships/hyperlink" Target="https://www.sciencedirect.com/science/article/pii/S2214785322032916" TargetMode="External"/><Relationship Id="rId22" Type="http://schemas.openxmlformats.org/officeDocument/2006/relationships/hyperlink" Target="https://www.mdpi.com/2075-4701/14/2/185" TargetMode="External"/><Relationship Id="rId23" Type="http://schemas.openxmlformats.org/officeDocument/2006/relationships/hyperlink" Target="https://www.sciencedirect.com/science/article/pii/S2590123024018139" TargetMode="External"/><Relationship Id="rId24" Type="http://schemas.openxmlformats.org/officeDocument/2006/relationships/hyperlink" Target="https://www.nature.com/articles/s41598-025-09959-z" TargetMode="External"/><Relationship Id="rId25" Type="http://schemas.openxmlformats.org/officeDocument/2006/relationships/hyperlink" Target="https://www.mdpi.com/1424-8220/25/6/1744" TargetMode="External"/><Relationship Id="rId26" Type="http://schemas.openxmlformats.org/officeDocument/2006/relationships/hyperlink" Target="https://www.sciencedirect.com/science/article/pii/S2452321626000314" TargetMode="External"/><Relationship Id="rId27" Type="http://schemas.openxmlformats.org/officeDocument/2006/relationships/hyperlink" Target="https://www.aws.org/magazines-and-media/welding-journal/2025/january/wj-jan-25-feature-01-ghassemi-armaki-gm" TargetMode="External"/><Relationship Id="rId28" Type="http://schemas.openxmlformats.org/officeDocument/2006/relationships/hyperlink" Target="https://www.sciencedirect.com/science/article/pii/S2212827124014665" TargetMode="External"/><Relationship Id="rId29" Type="http://schemas.openxmlformats.org/officeDocument/2006/relationships/hyperlink" Target="https://www.iso.org/ics/25.040.30/x/" TargetMode="External"/><Relationship Id="rId30" Type="http://schemas.openxmlformats.org/officeDocument/2006/relationships/hyperlink" Target="https://www.iso.org/standard/222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