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before="1000" w:after="100"/>
        <w:jc w:val="center"/>
        <w:rPr/>
      </w:pPr>
      <w:r>
        <w:rPr>
          <w:b/>
          <w:color w:val="287D7D"/>
          <w:sz w:val="22"/>
        </w:rPr>
        <w:t>WEEK 3  |  CYBERSECURITY INTERNSHIP</w:t>
      </w:r>
    </w:p>
    <w:p>
      <w:pPr>
        <w:pStyle w:val="Normal"/>
        <w:widowControl/>
        <w:spacing w:before="440" w:after="100"/>
        <w:jc w:val="center"/>
        <w:rPr/>
      </w:pPr>
      <w:r>
        <w:rPr>
          <w:rFonts w:ascii="Aptos Display" w:hAnsi="Aptos Display"/>
          <w:b/>
          <w:color w:val="17324D"/>
          <w:sz w:val="62"/>
        </w:rPr>
        <w:t>Vulnerability and</w:t>
        <w:br/>
        <w:t>Risk Assessment</w:t>
      </w:r>
    </w:p>
    <w:p>
      <w:pPr>
        <w:pStyle w:val="Normal"/>
        <w:widowControl/>
        <w:spacing w:before="100" w:after="100"/>
        <w:jc w:val="center"/>
        <w:rPr/>
      </w:pPr>
      <w:r>
        <w:rPr>
          <w:color w:val="245B83"/>
          <w:sz w:val="36"/>
        </w:rPr>
        <w:t>for E-Governance Platforms</w:t>
      </w:r>
    </w:p>
    <w:p>
      <w:pPr>
        <w:pStyle w:val="Normal"/>
        <w:widowControl/>
        <w:spacing w:before="340" w:after="100"/>
        <w:jc w:val="center"/>
        <w:rPr/>
      </w:pPr>
      <w:r>
        <w:rPr>
          <w:color w:val="263746"/>
          <w:sz w:val="22"/>
        </w:rPr>
        <w:t>A framework-based assessment of application, identity, data, infrastructure, people, suppliers, and service continuity risks</w:t>
      </w:r>
    </w:p>
    <w:p>
      <w:pPr>
        <w:pStyle w:val="Normal"/>
        <w:widowControl/>
        <w:jc w:val="center"/>
        <w:rPr/>
      </w:pPr>
      <w:r>
        <w:rPr/>
        <w:drawing>
          <wp:inline distT="0" distB="0" distL="0" distR="0">
            <wp:extent cx="6126480" cy="3654425"/>
            <wp:effectExtent l="0" t="0" r="0" b="0"/>
            <wp:docPr id="1" name="Picture 1" descr="Logical architecture for a hypothetical e-governance service, showing citizen and staff access, edge protection, web and API layers, identity, service and data layers, monitoring, administration, and recovery." title="Hypothetical e-governance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ical architecture for a hypothetical e-governance service, showing citizen and staff access, edge protection, web and API layers, identity, service and data layers, monitoring, administration, and recovery." title="Hypothetical e-governance reference architecture"/>
                    <pic:cNvPicPr>
                      <a:picLocks noChangeAspect="1" noChangeArrowheads="1"/>
                    </pic:cNvPicPr>
                  </pic:nvPicPr>
                  <pic:blipFill>
                    <a:blip r:embed="rId2"/>
                    <a:stretch>
                      <a:fillRect/>
                    </a:stretch>
                  </pic:blipFill>
                  <pic:spPr bwMode="auto">
                    <a:xfrm>
                      <a:off x="0" y="0"/>
                      <a:ext cx="6126480" cy="3654425"/>
                    </a:xfrm>
                    <a:prstGeom prst="rect">
                      <a:avLst/>
                    </a:prstGeom>
                    <a:noFill/>
                  </pic:spPr>
                </pic:pic>
              </a:graphicData>
            </a:graphic>
          </wp:inline>
        </w:drawing>
      </w:r>
    </w:p>
    <w:p>
      <w:pPr>
        <w:pStyle w:val="Normal"/>
        <w:widowControl/>
        <w:spacing w:before="160" w:after="100"/>
        <w:jc w:val="center"/>
        <w:rPr/>
      </w:pPr>
      <w:r>
        <w:rPr>
          <w:b/>
          <w:color w:val="17324D"/>
          <w:sz w:val="24"/>
        </w:rPr>
        <w:t>Prepared by: Ritesh Kumawat</w:t>
      </w:r>
    </w:p>
    <w:p>
      <w:pPr>
        <w:pStyle w:val="Normal"/>
        <w:widowControl/>
        <w:jc w:val="center"/>
        <w:rPr/>
      </w:pPr>
      <w:r>
        <w:rPr>
          <w:color w:val="64748B"/>
          <w:sz w:val="18"/>
        </w:rPr>
        <w:t>Date: 2</w:t>
      </w:r>
      <w:r>
        <w:rPr>
          <w:color w:val="64748B"/>
          <w:sz w:val="18"/>
        </w:rPr>
        <w:t>4</w:t>
      </w:r>
      <w:r>
        <w:rPr>
          <w:color w:val="64748B"/>
          <w:sz w:val="18"/>
        </w:rPr>
        <w:t xml:space="preserve"> October 2026  |  Version 1.0</w:t>
      </w:r>
    </w:p>
    <w:tbl>
      <w:tblPr>
        <w:tblW w:w="10454" w:type="dxa"/>
        <w:jc w:val="center"/>
        <w:tblInd w:w="0" w:type="dxa"/>
        <w:tblLayout w:type="fixed"/>
        <w:tblCellMar>
          <w:top w:w="140" w:type="dxa"/>
          <w:start w:w="170" w:type="dxa"/>
          <w:bottom w:w="140" w:type="dxa"/>
          <w:end w:w="170" w:type="dxa"/>
        </w:tblCellMar>
        <w:tblLook w:noHBand="0" w:noVBand="1" w:firstColumn="1" w:lastRow="0" w:lastColumn="0" w:firstRow="1" w:val="04a0"/>
      </w:tblPr>
      <w:tblGrid>
        <w:gridCol w:w="10454"/>
      </w:tblGrid>
      <w:tr>
        <w:trPr/>
        <w:tc>
          <w:tcPr>
            <w:tcW w:w="10454" w:type="dxa"/>
            <w:tcBorders>
              <w:top w:val="single" w:sz="6" w:space="0" w:color="FFF4E5"/>
              <w:start w:val="single" w:sz="6" w:space="0" w:color="FFF4E5"/>
              <w:bottom w:val="single" w:sz="6" w:space="0" w:color="FFF4E5"/>
              <w:end w:val="single" w:sz="6" w:space="0" w:color="FFF4E5"/>
            </w:tcBorders>
            <w:shd w:fill="FFF4E5" w:val="clear"/>
          </w:tcPr>
          <w:p>
            <w:pPr>
              <w:pStyle w:val="Normal"/>
              <w:spacing w:before="0" w:after="60"/>
              <w:rPr/>
            </w:pPr>
            <w:r>
              <w:rPr>
                <w:b/>
                <w:color w:val="17324D"/>
                <w:sz w:val="19"/>
              </w:rPr>
              <w:t xml:space="preserve">IMPORTANT SCOPE NOTE: </w:t>
            </w:r>
            <w:r>
              <w:rPr>
                <w:color w:val="263746"/>
                <w:sz w:val="18"/>
              </w:rPr>
              <w:t>This is a desk-based assessment of a hypothetical e-governance platform. No live system was scanned, no real government system was accessed, and the listed risks are illustrative until validated against an authorised asset inventory and technical evidence.</w:t>
            </w:r>
          </w:p>
        </w:tc>
      </w:tr>
    </w:tbl>
    <w:p>
      <w:pPr>
        <w:pStyle w:val="Normal"/>
        <w:widowControl/>
        <w:spacing w:before="0" w:after="0"/>
        <w:rPr/>
      </w:pPr>
      <w:r>
        <w:rPr/>
      </w:r>
    </w:p>
    <w:p>
      <w:pPr>
        <w:pStyle w:val="Normal"/>
        <w:widowControl/>
        <w:rPr/>
      </w:pPr>
      <w:r>
        <w:rPr/>
      </w:r>
      <w:r>
        <w:br w:type="page"/>
      </w:r>
    </w:p>
    <w:p>
      <w:pPr>
        <w:pStyle w:val="Heading1"/>
        <w:keepNext w:val="true"/>
        <w:widowControl/>
        <w:spacing w:before="0" w:after="80"/>
        <w:rPr/>
      </w:pPr>
      <w:r>
        <w:rPr>
          <w:rFonts w:ascii="Aptos Display" w:hAnsi="Aptos Display"/>
          <w:b/>
          <w:color w:val="17324D"/>
        </w:rPr>
        <w:t>Document Control</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7"/>
              </w:rPr>
              <w:t>Item</w:t>
            </w:r>
          </w:p>
        </w:tc>
        <w:tc>
          <w:tcPr>
            <w:tcW w:w="5227"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7"/>
              </w:rPr>
              <w:t>Details</w:t>
            </w:r>
          </w:p>
        </w:tc>
      </w:tr>
      <w:tr>
        <w:trPr>
          <w:cantSplit/>
        </w:trPr>
        <w:tc>
          <w:tcPr>
            <w:tcW w:w="5227"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7"/>
              </w:rPr>
              <w:t>Report title</w:t>
            </w:r>
          </w:p>
        </w:tc>
        <w:tc>
          <w:tcPr>
            <w:tcW w:w="5227"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7"/>
              </w:rPr>
              <w:t>Vulnerability and Risk Assessment for E-Governance Platforms</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7"/>
              </w:rPr>
              <w:t>Task</w:t>
            </w:r>
          </w:p>
        </w:tc>
        <w:tc>
          <w:tcPr>
            <w:tcW w:w="5227"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7"/>
              </w:rPr>
              <w:t>Week 3 - Vulnerability and Risk Assessment for E-Governance Platforms</w:t>
            </w:r>
          </w:p>
        </w:tc>
      </w:tr>
      <w:tr>
        <w:trPr>
          <w:cantSplit/>
        </w:trPr>
        <w:tc>
          <w:tcPr>
            <w:tcW w:w="5227"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7"/>
              </w:rPr>
              <w:t>Prepared by</w:t>
            </w:r>
          </w:p>
        </w:tc>
        <w:tc>
          <w:tcPr>
            <w:tcW w:w="5227"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7"/>
              </w:rPr>
              <w:t>Ritesh Kumawat</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7"/>
              </w:rPr>
              <w:t>Version / date</w:t>
            </w:r>
          </w:p>
        </w:tc>
        <w:tc>
          <w:tcPr>
            <w:tcW w:w="5227"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7"/>
              </w:rPr>
              <w:t>1.0 / 2</w:t>
            </w:r>
            <w:r>
              <w:rPr>
                <w:b w:val="false"/>
                <w:color w:val="263746"/>
                <w:sz w:val="17"/>
              </w:rPr>
              <w:t>4</w:t>
            </w:r>
            <w:r>
              <w:rPr>
                <w:b w:val="false"/>
                <w:color w:val="263746"/>
                <w:sz w:val="17"/>
              </w:rPr>
              <w:t xml:space="preserve"> October 2026</w:t>
            </w:r>
          </w:p>
        </w:tc>
      </w:tr>
      <w:tr>
        <w:trPr>
          <w:cantSplit/>
        </w:trPr>
        <w:tc>
          <w:tcPr>
            <w:tcW w:w="5227"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7"/>
              </w:rPr>
              <w:t>Assessment type</w:t>
            </w:r>
          </w:p>
        </w:tc>
        <w:tc>
          <w:tcPr>
            <w:tcW w:w="5227"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7"/>
              </w:rPr>
              <w:t>Hypothetical, qualitative, risk-based assessment; not a penetration-test report</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7"/>
              </w:rPr>
              <w:t>Intended audience</w:t>
            </w:r>
          </w:p>
        </w:tc>
        <w:tc>
          <w:tcPr>
            <w:tcW w:w="5227"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7"/>
              </w:rPr>
              <w:t>Internship evaluator, service owner, IT/security administrators, application and privacy teams</w:t>
            </w:r>
          </w:p>
        </w:tc>
      </w:tr>
      <w:tr>
        <w:trPr>
          <w:cantSplit/>
        </w:trPr>
        <w:tc>
          <w:tcPr>
            <w:tcW w:w="5227"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7"/>
              </w:rPr>
              <w:t>Classification</w:t>
            </w:r>
          </w:p>
        </w:tc>
        <w:tc>
          <w:tcPr>
            <w:tcW w:w="5227"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7"/>
              </w:rPr>
              <w:t>Educational / public-safe. Do not add confidential production architecture or real personal data.</w:t>
            </w:r>
          </w:p>
        </w:tc>
      </w:tr>
    </w:tbl>
    <w:p>
      <w:pPr>
        <w:pStyle w:val="Normal"/>
        <w:widowControl/>
        <w:spacing w:before="0" w:after="20"/>
        <w:rPr/>
      </w:pPr>
      <w:r>
        <w:rPr/>
      </w:r>
    </w:p>
    <w:p>
      <w:pPr>
        <w:pStyle w:val="Heading1"/>
        <w:keepNext w:val="true"/>
        <w:widowControl/>
        <w:spacing w:before="220" w:after="80"/>
        <w:rPr/>
      </w:pPr>
      <w:r>
        <w:rPr>
          <w:rFonts w:ascii="Aptos Display" w:hAnsi="Aptos Display"/>
          <w:b/>
          <w:color w:val="17324D"/>
        </w:rPr>
        <w:t>Table of Contents</w:t>
      </w:r>
    </w:p>
    <w:p>
      <w:pPr>
        <w:pStyle w:val="Normal"/>
        <w:widowControl/>
        <w:spacing w:before="0" w:after="40"/>
        <w:ind w:start="288"/>
        <w:rPr/>
      </w:pPr>
      <w:r>
        <w:rPr/>
        <w:t>1. Executive Summary</w:t>
      </w:r>
    </w:p>
    <w:p>
      <w:pPr>
        <w:pStyle w:val="Normal"/>
        <w:widowControl/>
        <w:spacing w:before="0" w:after="40"/>
        <w:ind w:start="288"/>
        <w:rPr/>
      </w:pPr>
      <w:r>
        <w:rPr/>
        <w:t>2. Objectives, Scope and Assumptions</w:t>
      </w:r>
    </w:p>
    <w:p>
      <w:pPr>
        <w:pStyle w:val="Normal"/>
        <w:widowControl/>
        <w:spacing w:before="0" w:after="40"/>
        <w:ind w:start="288"/>
        <w:rPr/>
      </w:pPr>
      <w:r>
        <w:rPr/>
        <w:t>3. Platform Architecture and Critical Assets</w:t>
      </w:r>
    </w:p>
    <w:p>
      <w:pPr>
        <w:pStyle w:val="Normal"/>
        <w:widowControl/>
        <w:spacing w:before="0" w:after="40"/>
        <w:ind w:start="288"/>
        <w:rPr/>
      </w:pPr>
      <w:r>
        <w:rPr/>
        <w:t>4. Methodology and Risk Scoring</w:t>
      </w:r>
    </w:p>
    <w:p>
      <w:pPr>
        <w:pStyle w:val="Normal"/>
        <w:widowControl/>
        <w:spacing w:before="0" w:after="40"/>
        <w:ind w:start="288"/>
        <w:rPr/>
      </w:pPr>
      <w:r>
        <w:rPr/>
        <w:t>5. Threat Model and Findings</w:t>
      </w:r>
    </w:p>
    <w:p>
      <w:pPr>
        <w:pStyle w:val="Normal"/>
        <w:widowControl/>
        <w:spacing w:before="0" w:after="40"/>
        <w:ind w:start="288"/>
        <w:rPr/>
      </w:pPr>
      <w:r>
        <w:rPr/>
        <w:t>6. Risk Matrix and Detailed Risk Register</w:t>
      </w:r>
    </w:p>
    <w:p>
      <w:pPr>
        <w:pStyle w:val="Normal"/>
        <w:widowControl/>
        <w:spacing w:before="0" w:after="40"/>
        <w:ind w:start="288"/>
        <w:rPr/>
      </w:pPr>
      <w:r>
        <w:rPr/>
        <w:t>7. Mitigation Strategy and Prioritised Treatment Plan</w:t>
      </w:r>
    </w:p>
    <w:p>
      <w:pPr>
        <w:pStyle w:val="Normal"/>
        <w:widowControl/>
        <w:spacing w:before="0" w:after="40"/>
        <w:ind w:start="288"/>
        <w:rPr/>
      </w:pPr>
      <w:r>
        <w:rPr/>
        <w:t>8. Implementation Roadmap and Resources</w:t>
      </w:r>
    </w:p>
    <w:p>
      <w:pPr>
        <w:pStyle w:val="Normal"/>
        <w:widowControl/>
        <w:spacing w:before="0" w:after="40"/>
        <w:ind w:start="288"/>
        <w:rPr/>
      </w:pPr>
      <w:r>
        <w:rPr/>
        <w:t>9. Validation, Monitoring and Success Measures</w:t>
      </w:r>
    </w:p>
    <w:p>
      <w:pPr>
        <w:pStyle w:val="Normal"/>
        <w:widowControl/>
        <w:spacing w:before="0" w:after="40"/>
        <w:ind w:start="288"/>
        <w:rPr/>
      </w:pPr>
      <w:r>
        <w:rPr/>
        <w:t>10. Feasibility, Constraints and Residual Risk</w:t>
      </w:r>
    </w:p>
    <w:p>
      <w:pPr>
        <w:pStyle w:val="Normal"/>
        <w:widowControl/>
        <w:spacing w:before="0" w:after="40"/>
        <w:ind w:start="288"/>
        <w:rPr/>
      </w:pPr>
      <w:r>
        <w:rPr/>
        <w:t>11. Conclusion and Immediate Action Plan</w:t>
      </w:r>
    </w:p>
    <w:p>
      <w:pPr>
        <w:pStyle w:val="Normal"/>
        <w:widowControl/>
        <w:spacing w:before="0" w:after="40"/>
        <w:ind w:start="288"/>
        <w:rPr/>
      </w:pPr>
      <w:r>
        <w:rPr/>
        <w:t>Appendix A. Submission Description</w:t>
      </w:r>
    </w:p>
    <w:p>
      <w:pPr>
        <w:pStyle w:val="Normal"/>
        <w:widowControl/>
        <w:spacing w:before="0" w:after="40"/>
        <w:ind w:start="288"/>
        <w:rPr/>
      </w:pPr>
      <w:r>
        <w:rPr/>
        <w:t>Appendix B. References</w:t>
      </w:r>
    </w:p>
    <w:tbl>
      <w:tblPr>
        <w:tblW w:w="10454" w:type="dxa"/>
        <w:jc w:val="center"/>
        <w:tblInd w:w="0" w:type="dxa"/>
        <w:tblLayout w:type="fixed"/>
        <w:tblCellMar>
          <w:top w:w="140" w:type="dxa"/>
          <w:start w:w="170" w:type="dxa"/>
          <w:bottom w:w="140" w:type="dxa"/>
          <w:end w:w="170" w:type="dxa"/>
        </w:tblCellMar>
        <w:tblLook w:noHBand="0" w:noVBand="1" w:firstColumn="1" w:lastRow="0" w:lastColumn="0" w:firstRow="1" w:val="04a0"/>
      </w:tblPr>
      <w:tblGrid>
        <w:gridCol w:w="10454"/>
      </w:tblGrid>
      <w:tr>
        <w:trPr/>
        <w:tc>
          <w:tcPr>
            <w:tcW w:w="10454" w:type="dxa"/>
            <w:tcBorders>
              <w:top w:val="single" w:sz="6" w:space="0" w:color="EAF1F8"/>
              <w:start w:val="single" w:sz="6" w:space="0" w:color="EAF1F8"/>
              <w:bottom w:val="single" w:sz="6" w:space="0" w:color="EAF1F8"/>
              <w:end w:val="single" w:sz="6" w:space="0" w:color="EAF1F8"/>
            </w:tcBorders>
            <w:shd w:fill="EAF1F8" w:val="clear"/>
          </w:tcPr>
          <w:p>
            <w:pPr>
              <w:pStyle w:val="Normal"/>
              <w:spacing w:before="0" w:after="60"/>
              <w:rPr/>
            </w:pPr>
            <w:r>
              <w:rPr>
                <w:b/>
                <w:color w:val="17324D"/>
                <w:sz w:val="19"/>
              </w:rPr>
              <w:t xml:space="preserve">How to read this report: </w:t>
            </w:r>
            <w:r>
              <w:rPr>
                <w:color w:val="263746"/>
                <w:sz w:val="18"/>
              </w:rPr>
              <w:t>Risk scores express relative planning priority, not measured probability. Confirm findings through authorised testing, evidence collection, and system-owner review before treating them as actual vulnerabilities.</w:t>
            </w:r>
          </w:p>
        </w:tc>
      </w:tr>
    </w:tbl>
    <w:p>
      <w:pPr>
        <w:pStyle w:val="Normal"/>
        <w:widowControl/>
        <w:spacing w:before="0" w:after="0"/>
        <w:rPr/>
      </w:pPr>
      <w:r>
        <w:rPr/>
      </w:r>
    </w:p>
    <w:p>
      <w:pPr>
        <w:pStyle w:val="Normal"/>
        <w:widowControl/>
        <w:rPr/>
      </w:pPr>
      <w:r>
        <w:rPr/>
      </w:r>
      <w:r>
        <w:br w:type="page"/>
      </w:r>
    </w:p>
    <w:p>
      <w:pPr>
        <w:pStyle w:val="Heading1"/>
        <w:keepNext w:val="true"/>
        <w:widowControl/>
        <w:spacing w:before="0" w:after="80"/>
        <w:rPr/>
      </w:pPr>
      <w:r>
        <w:rPr>
          <w:rFonts w:ascii="Aptos Display" w:hAnsi="Aptos Display"/>
          <w:b/>
          <w:color w:val="17324D"/>
        </w:rPr>
        <w:t>1. Executive Summary</w:t>
      </w:r>
    </w:p>
    <w:p>
      <w:pPr>
        <w:pStyle w:val="Normal"/>
        <w:widowControl/>
        <w:spacing w:lineRule="auto" w:line="259" w:before="0" w:after="100"/>
        <w:rPr/>
      </w:pPr>
      <w:r>
        <w:rPr/>
        <w:t>E-governance services allow citizens to apply for benefits, submit documents, check application status, pay fees, and communicate with public agencies. These services depend on web and mobile interfaces, APIs, identity services, databases, hosting and network infrastructure, administrators, third-party providers, and support processes. A vulnerability in one layer can lead to unauthorised data access, fraud, service outage, loss of public trust, or disruption to essential public services.</w:t>
      </w:r>
    </w:p>
    <w:p>
      <w:pPr>
        <w:pStyle w:val="Normal"/>
        <w:widowControl/>
        <w:spacing w:lineRule="auto" w:line="259" w:before="0" w:after="100"/>
        <w:rPr/>
      </w:pPr>
      <w:r>
        <w:rPr/>
        <w:t>This report performs a structured, hypothetical risk assessment for a representative portal that handles citizen accounts, application records, document uploads, case-worker functions, and integrations with external identity or payment services. The assessment uses a 5 × 5 likelihood-impact method, informed by NIST SP 800-30 Rev. 1 and organised to support NIST Cybersecurity Framework (CSF) 2.0 outcomes. Application risks are cross-checked conceptually against OWASP Top 10:2025 and the OWASP Web Security Testing Guide. India-specific alignment points include GIGW 3.0, applicable CERT-In directions, and the phased commencement of the Digital Personal Data Protection framework. These references guide the analysis; they do not certify compliance.</w:t>
      </w:r>
    </w:p>
    <w:p>
      <w:pPr>
        <w:pStyle w:val="Normal"/>
        <w:widowControl/>
        <w:spacing w:lineRule="auto" w:line="259" w:before="0" w:after="100"/>
        <w:rPr/>
      </w:pPr>
      <w:r>
        <w:rPr/>
        <w:t>The illustrative register contains 20 risk scenarios across access control, authentication, injection, APIs, configuration and patching, sensitive data, software supply chain, ransomware, segmentation, backups, monitoring, denial of service, cloud storage, suppliers, phishing, insider misuse, TLS/DNS, insecure uploads, privacy/retention, and resilience. The highest initial priorities are broken access control, credential compromise, unpatched or misconfigured systems, software dependency risk, ransomware, and security logging gaps. These areas could produce serious citizen-data exposure or prolonged loss of service if left unmanaged.</w:t>
      </w:r>
    </w:p>
    <w:p>
      <w:pPr>
        <w:pStyle w:val="Normal"/>
        <w:widowControl/>
        <w:spacing w:lineRule="auto" w:line="259" w:before="0" w:after="100"/>
        <w:rPr/>
      </w:pPr>
      <w:r>
        <w:rPr/>
        <w:t>The recommended response is layered and staged: confirm assets and ownership; protect privileged and citizen access; reduce exposed services and remediate exploitable weaknesses; improve secure development and API controls; centralise useful logs; rehearse incident response; test backups and restoration; and require evidence-based closure and retesting. A 12-month roadmap distinguishes urgent 0-30 day actions, 31-90 day foundations, months 3-6 engineering improvements, and months 6-12 assurance and resilience. Owners and target windows are proposed for each risk. Resource estimates and residual scores are explicitly illustrative and must be adjusted after discovery.</w:t>
      </w:r>
    </w:p>
    <w:tbl>
      <w:tblPr>
        <w:tblW w:w="10454" w:type="dxa"/>
        <w:jc w:val="center"/>
        <w:tblInd w:w="0" w:type="dxa"/>
        <w:tblLayout w:type="fixed"/>
        <w:tblCellMar>
          <w:top w:w="140" w:type="dxa"/>
          <w:start w:w="170" w:type="dxa"/>
          <w:bottom w:w="140" w:type="dxa"/>
          <w:end w:w="170" w:type="dxa"/>
        </w:tblCellMar>
        <w:tblLook w:noHBand="0" w:noVBand="1" w:firstColumn="1" w:lastRow="0" w:lastColumn="0" w:firstRow="1" w:val="04a0"/>
      </w:tblPr>
      <w:tblGrid>
        <w:gridCol w:w="10454"/>
      </w:tblGrid>
      <w:tr>
        <w:trPr/>
        <w:tc>
          <w:tcPr>
            <w:tcW w:w="10454" w:type="dxa"/>
            <w:tcBorders>
              <w:top w:val="single" w:sz="6" w:space="0" w:color="EAF1F8"/>
              <w:start w:val="single" w:sz="6" w:space="0" w:color="EAF1F8"/>
              <w:bottom w:val="single" w:sz="6" w:space="0" w:color="EAF1F8"/>
              <w:end w:val="single" w:sz="6" w:space="0" w:color="EAF1F8"/>
            </w:tcBorders>
            <w:shd w:fill="EAF1F8" w:val="clear"/>
          </w:tcPr>
          <w:p>
            <w:pPr>
              <w:pStyle w:val="Normal"/>
              <w:spacing w:before="0" w:after="60"/>
              <w:rPr/>
            </w:pPr>
            <w:r>
              <w:rPr>
                <w:b/>
                <w:color w:val="17324D"/>
                <w:sz w:val="19"/>
              </w:rPr>
              <w:t xml:space="preserve">Main conclusion: </w:t>
            </w:r>
            <w:r>
              <w:rPr>
                <w:color w:val="263746"/>
                <w:sz w:val="18"/>
              </w:rPr>
              <w:t>Treat this document as a prioritised hypothesis to validate, not proof that a particular platform contains these weaknesses. The first action is an authorised asset and evidence review; the next is to confirm critical risks with safe scanning, configuration review, code testing, and owner interviews.</w:t>
            </w:r>
          </w:p>
        </w:tc>
      </w:tr>
    </w:tbl>
    <w:p>
      <w:pPr>
        <w:pStyle w:val="Normal"/>
        <w:widowControl/>
        <w:spacing w:before="0" w:after="0"/>
        <w:rPr/>
      </w:pPr>
      <w:r>
        <w:rPr/>
      </w:r>
    </w:p>
    <w:p>
      <w:pPr>
        <w:pStyle w:val="Heading1"/>
        <w:keepNext w:val="true"/>
        <w:widowControl/>
        <w:spacing w:before="220" w:after="80"/>
        <w:rPr/>
      </w:pPr>
      <w:r>
        <w:rPr>
          <w:rFonts w:ascii="Aptos Display" w:hAnsi="Aptos Display"/>
          <w:b/>
          <w:color w:val="17324D"/>
        </w:rPr>
        <w:t>2. Objectives, Scope and Assumptions</w:t>
      </w:r>
    </w:p>
    <w:p>
      <w:pPr>
        <w:pStyle w:val="Heading2"/>
        <w:keepNext w:val="true"/>
        <w:widowControl/>
        <w:spacing w:before="140" w:after="80"/>
        <w:rPr/>
      </w:pPr>
      <w:r>
        <w:rPr>
          <w:rFonts w:ascii="Aptos Display" w:hAnsi="Aptos Display"/>
          <w:b/>
          <w:color w:val="245B83"/>
        </w:rPr>
        <w:t>2.1 Objectives</w:t>
      </w:r>
    </w:p>
    <w:p>
      <w:pPr>
        <w:pStyle w:val="ListBullet"/>
        <w:widowControl/>
        <w:numPr>
          <w:ilvl w:val="0"/>
          <w:numId w:val="1"/>
        </w:numPr>
        <w:spacing w:before="0" w:after="40"/>
        <w:ind w:hanging="360" w:start="360"/>
        <w:contextualSpacing/>
        <w:rPr/>
      </w:pPr>
      <w:r>
        <w:rPr/>
        <w:t>Identify likely vulnerabilities and threat scenarios across the full digital-service architecture, including technology, people, suppliers, and continuity.</w:t>
      </w:r>
    </w:p>
    <w:p>
      <w:pPr>
        <w:pStyle w:val="ListBullet"/>
        <w:widowControl/>
        <w:numPr>
          <w:ilvl w:val="0"/>
          <w:numId w:val="1"/>
        </w:numPr>
        <w:spacing w:before="0" w:after="40"/>
        <w:ind w:hanging="360" w:start="360"/>
        <w:contextualSpacing/>
        <w:rPr/>
      </w:pPr>
      <w:r>
        <w:rPr/>
        <w:t>Estimate inherent risk using a transparent, repeatable likelihood-impact scale and rank treatment priorities.</w:t>
      </w:r>
    </w:p>
    <w:p>
      <w:pPr>
        <w:pStyle w:val="ListBullet"/>
        <w:widowControl/>
        <w:numPr>
          <w:ilvl w:val="0"/>
          <w:numId w:val="1"/>
        </w:numPr>
        <w:spacing w:before="0" w:after="40"/>
        <w:ind w:hanging="360" w:start="360"/>
        <w:contextualSpacing/>
        <w:rPr/>
      </w:pPr>
      <w:r>
        <w:rPr/>
        <w:t>Recommend practical technical controls, policy/process changes, accountable roles, and target completion windows.</w:t>
      </w:r>
    </w:p>
    <w:p>
      <w:pPr>
        <w:pStyle w:val="ListBullet"/>
        <w:widowControl/>
        <w:numPr>
          <w:ilvl w:val="0"/>
          <w:numId w:val="1"/>
        </w:numPr>
        <w:spacing w:before="0" w:after="40"/>
        <w:ind w:hanging="360" w:start="360"/>
        <w:contextualSpacing/>
        <w:rPr/>
      </w:pPr>
      <w:r>
        <w:rPr/>
        <w:t>Define validation evidence and metrics so remediation can be verified rather than assumed.</w:t>
      </w:r>
    </w:p>
    <w:p>
      <w:pPr>
        <w:pStyle w:val="ListBullet"/>
        <w:widowControl/>
        <w:numPr>
          <w:ilvl w:val="0"/>
          <w:numId w:val="1"/>
        </w:numPr>
        <w:spacing w:before="0" w:after="40"/>
        <w:ind w:hanging="360" w:start="360"/>
        <w:contextualSpacing/>
        <w:rPr/>
      </w:pPr>
      <w:r>
        <w:rPr/>
        <w:t>Provide a realistic roadmap that balances security improvements with citizen accessibility and service availability.</w:t>
      </w:r>
    </w:p>
    <w:p>
      <w:pPr>
        <w:pStyle w:val="Heading2"/>
        <w:keepNext w:val="true"/>
        <w:widowControl/>
        <w:spacing w:before="140" w:after="80"/>
        <w:rPr/>
      </w:pPr>
      <w:r>
        <w:rPr>
          <w:rFonts w:ascii="Aptos Display" w:hAnsi="Aptos Display"/>
          <w:b/>
          <w:color w:val="245B83"/>
        </w:rPr>
        <w:t>2.2 In-scope components</w:t>
      </w:r>
    </w:p>
    <w:tbl>
      <w:tblPr>
        <w:tblW w:w="10455"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3485"/>
        <w:gridCol w:w="3485"/>
        <w:gridCol w:w="3485"/>
      </w:tblGrid>
      <w:tr>
        <w:trPr>
          <w:tblHeader w:val="true"/>
          <w:cantSplit/>
        </w:trPr>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Layer / component</w:t>
            </w:r>
          </w:p>
        </w:tc>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What is included in this hypothetical review</w:t>
            </w:r>
          </w:p>
        </w:tc>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Key security questions</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Public edge and network</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DNS, TLS, reverse proxy, WAF, DDoS controls, firewall rules, remote access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What is exposed? Are management paths separated? Are protections tested?</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Web and mobile experience</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Login, sessions, forms, document uploads, browser/mobile flows</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Can a user bypass validation, alter another user’s record, or abuse a workflow?</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API and service layer</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API gateway, backend services, job queues, integration services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Are authentication, authorisation, schema validation and rate limits consistent?</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Identity and administration</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Citizen accounts, staff roles, MFA, joiner/mover/leaver process, privileged access</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Can credentials be stolen or privileges retained after role changes?</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Data stores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Relational databases, document/object storage, backups, keys, audit records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Are data access and retention minimised, encrypted and logged?</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Cloud / host / endpoint</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Virtual machines, containers, OS, hypervisor/cloud configuration, admin endpoints</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Are systems hardened, patched, inventoried and monitored?</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People / supplier / operations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Developers, help desk, administrators, vendors, incident response, DR</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Can human error, supplier compromise or weak recovery disrupt service?</w:t>
            </w:r>
          </w:p>
        </w:tc>
      </w:tr>
    </w:tbl>
    <w:p>
      <w:pPr>
        <w:pStyle w:val="Normal"/>
        <w:widowControl/>
        <w:spacing w:before="0" w:after="20"/>
        <w:rPr/>
      </w:pPr>
      <w:r>
        <w:rPr/>
      </w:r>
    </w:p>
    <w:p>
      <w:pPr>
        <w:pStyle w:val="Heading2"/>
        <w:keepNext w:val="true"/>
        <w:widowControl/>
        <w:spacing w:before="140" w:after="80"/>
        <w:rPr/>
      </w:pPr>
      <w:r>
        <w:rPr>
          <w:rFonts w:ascii="Aptos Display" w:hAnsi="Aptos Display"/>
          <w:b/>
          <w:color w:val="245B83"/>
        </w:rPr>
        <w:t>2.3 Out of scope and assumptions</w:t>
      </w:r>
    </w:p>
    <w:p>
      <w:pPr>
        <w:pStyle w:val="ListBullet"/>
        <w:widowControl/>
        <w:numPr>
          <w:ilvl w:val="0"/>
          <w:numId w:val="1"/>
        </w:numPr>
        <w:spacing w:before="0" w:after="40"/>
        <w:ind w:hanging="360" w:start="360"/>
        <w:contextualSpacing/>
        <w:rPr/>
      </w:pPr>
      <w:r>
        <w:rPr/>
        <w:t>No scanning, exploitation, credential testing, source-code review, interviews, or configuration inspection was performed for this report.</w:t>
      </w:r>
    </w:p>
    <w:p>
      <w:pPr>
        <w:pStyle w:val="ListBullet"/>
        <w:widowControl/>
        <w:numPr>
          <w:ilvl w:val="0"/>
          <w:numId w:val="1"/>
        </w:numPr>
        <w:spacing w:before="0" w:after="40"/>
        <w:ind w:hanging="360" w:start="360"/>
        <w:contextualSpacing/>
        <w:rPr/>
      </w:pPr>
      <w:r>
        <w:rPr/>
        <w:t>The platform is hypothetical; no actual department, website, IP address, cloud tenant, or citizen record is being assessed.</w:t>
      </w:r>
    </w:p>
    <w:p>
      <w:pPr>
        <w:pStyle w:val="ListBullet"/>
        <w:widowControl/>
        <w:numPr>
          <w:ilvl w:val="0"/>
          <w:numId w:val="1"/>
        </w:numPr>
        <w:spacing w:before="0" w:after="40"/>
        <w:ind w:hanging="360" w:start="360"/>
        <w:contextualSpacing/>
        <w:rPr/>
      </w:pPr>
      <w:r>
        <w:rPr/>
        <w:t>Risk scores assume that effective controls have not yet been evidenced. Existing safeguards could reduce the actual likelihood.</w:t>
      </w:r>
    </w:p>
    <w:p>
      <w:pPr>
        <w:pStyle w:val="ListBullet"/>
        <w:widowControl/>
        <w:numPr>
          <w:ilvl w:val="0"/>
          <w:numId w:val="1"/>
        </w:numPr>
        <w:spacing w:before="0" w:after="40"/>
        <w:ind w:hanging="360" w:start="360"/>
        <w:contextualSpacing/>
        <w:rPr/>
      </w:pPr>
      <w:r>
        <w:rPr/>
        <w:t>Actual legal duties depend on the entity, system, data types, contract, sector-specific instructions, and current commencement notifications.</w:t>
      </w:r>
    </w:p>
    <w:p>
      <w:pPr>
        <w:pStyle w:val="ListBullet"/>
        <w:widowControl/>
        <w:numPr>
          <w:ilvl w:val="0"/>
          <w:numId w:val="1"/>
        </w:numPr>
        <w:spacing w:before="0" w:after="40"/>
        <w:ind w:hanging="360" w:start="360"/>
        <w:contextualSpacing/>
        <w:rPr/>
      </w:pPr>
      <w:r>
        <w:rPr/>
        <w:t>Any future technical testing must have written authorisation, a defined scope, safe test windows, non-production preference, emergency contacts, and stop conditions.</w:t>
      </w:r>
    </w:p>
    <w:p>
      <w:pPr>
        <w:pStyle w:val="Heading1"/>
        <w:keepNext w:val="true"/>
        <w:widowControl/>
        <w:spacing w:before="220" w:after="80"/>
        <w:rPr/>
      </w:pPr>
      <w:r>
        <w:rPr>
          <w:rFonts w:ascii="Aptos Display" w:hAnsi="Aptos Display"/>
          <w:b/>
          <w:color w:val="17324D"/>
        </w:rPr>
        <w:t>3. Platform Architecture and Critical Assets</w:t>
      </w:r>
    </w:p>
    <w:p>
      <w:pPr>
        <w:pStyle w:val="Normal"/>
        <w:widowControl/>
        <w:spacing w:lineRule="auto" w:line="259" w:before="0" w:after="100"/>
        <w:rPr/>
      </w:pPr>
      <w:r>
        <w:rPr/>
        <w:t>Figure 1 presents a logical architecture, not a configuration diagram. The main trust boundaries are the public edge, application/API tier, identity provider, data layer, administration path, and external service integrations. Controls must be enforced at boundaries and within each component; a firewall alone cannot prevent application authorisation errors or malicious actions performed with a valid account.</w:t>
      </w:r>
    </w:p>
    <w:p>
      <w:pPr>
        <w:pStyle w:val="Normal"/>
        <w:widowControl/>
        <w:jc w:val="center"/>
        <w:rPr/>
      </w:pPr>
      <w:r>
        <w:rPr/>
        <w:drawing>
          <wp:inline distT="0" distB="0" distL="0" distR="0">
            <wp:extent cx="6217920" cy="3709035"/>
            <wp:effectExtent l="0" t="0" r="0" b="0"/>
            <wp:docPr id="2" name="Picture 2" descr="Reference architecture used to identify trust boundaries and controls across the public edge, web and API, identity, service, data, monitoring, operations, and recovery layers." title="Referenc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eference architecture used to identify trust boundaries and controls across the public edge, web and API, identity, service, data, monitoring, operations, and recovery layers." title="Reference architecture diagram"/>
                    <pic:cNvPicPr>
                      <a:picLocks noChangeAspect="1" noChangeArrowheads="1"/>
                    </pic:cNvPicPr>
                  </pic:nvPicPr>
                  <pic:blipFill>
                    <a:blip r:embed="rId3"/>
                    <a:stretch>
                      <a:fillRect/>
                    </a:stretch>
                  </pic:blipFill>
                  <pic:spPr bwMode="auto">
                    <a:xfrm>
                      <a:off x="0" y="0"/>
                      <a:ext cx="6217920" cy="3709035"/>
                    </a:xfrm>
                    <a:prstGeom prst="rect">
                      <a:avLst/>
                    </a:prstGeom>
                    <a:noFill/>
                  </pic:spPr>
                </pic:pic>
              </a:graphicData>
            </a:graphic>
          </wp:inline>
        </w:drawing>
      </w:r>
    </w:p>
    <w:p>
      <w:pPr>
        <w:pStyle w:val="Normal"/>
        <w:widowControl/>
        <w:jc w:val="center"/>
        <w:rPr/>
      </w:pPr>
      <w:r>
        <w:rPr>
          <w:i/>
          <w:color w:val="64748B"/>
          <w:sz w:val="16"/>
        </w:rPr>
        <w:t>Figure 1. Reference architecture used to identify attack paths and control points.</w:t>
      </w:r>
    </w:p>
    <w:p>
      <w:pPr>
        <w:pStyle w:val="Heading2"/>
        <w:keepNext w:val="true"/>
        <w:widowControl/>
        <w:spacing w:before="140" w:after="80"/>
        <w:rPr/>
      </w:pPr>
      <w:r>
        <w:rPr>
          <w:rFonts w:ascii="Aptos Display" w:hAnsi="Aptos Display"/>
          <w:b/>
          <w:color w:val="245B83"/>
        </w:rPr>
        <w:t>3.1 Critical assets and security objectives</w:t>
      </w:r>
    </w:p>
    <w:tbl>
      <w:tblPr>
        <w:tblW w:w="10455"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3485"/>
        <w:gridCol w:w="3485"/>
        <w:gridCol w:w="3485"/>
      </w:tblGrid>
      <w:tr>
        <w:trPr>
          <w:tblHeader w:val="true"/>
          <w:cantSplit/>
        </w:trPr>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6"/>
              </w:rPr>
              <w:t>Asset</w:t>
            </w:r>
          </w:p>
        </w:tc>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6"/>
              </w:rPr>
              <w:t>Primary security objective</w:t>
            </w:r>
          </w:p>
        </w:tc>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6"/>
              </w:rPr>
              <w:t>Example consequence if compromised</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Citizen identity and credentials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Confidentiality, integrity, identity assurance</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Account takeover, fraudulent applications, privacy harm</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6"/>
              </w:rPr>
              <w:t>Application and case records</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6"/>
              </w:rPr>
              <w:t>Confidentiality and integrity</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6"/>
              </w:rPr>
              <w:t>Wrong benefit decision, altered status, exposure of personal documents</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Payment/fee references and external connections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Integrity, authenticity, availability</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Misapplied payments, forged callbacks, disrupted transactions</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6"/>
              </w:rPr>
              <w:t>Staff/admin accounts and management plane</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6"/>
              </w:rPr>
              <w:t>Least privilege, traceability, separation of duties</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6"/>
              </w:rPr>
              <w:t>Large-scale records access, configuration changes, evidence deletion</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Public portal, APIs and DNS/TLS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Availability, authenticity, safe processing</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Portal outage, data tampering, impersonation, exploitation</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6"/>
              </w:rPr>
              <w:t>Logs, keys, backups and recovery systems</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6"/>
              </w:rPr>
              <w:t>Integrity, confidentiality, recoverability</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6"/>
              </w:rPr>
              <w:t>Undetected intrusion, decryption failure, inability to restore service</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Build pipeline and third-party components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Software integrity and provenance</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Malicious dependency, vulnerable release, service-wide compromise</w:t>
            </w:r>
          </w:p>
        </w:tc>
      </w:tr>
    </w:tbl>
    <w:p>
      <w:pPr>
        <w:pStyle w:val="Normal"/>
        <w:widowControl/>
        <w:spacing w:before="0" w:after="20"/>
        <w:rPr/>
      </w:pPr>
      <w:r>
        <w:rPr/>
      </w:r>
    </w:p>
    <w:p>
      <w:pPr>
        <w:pStyle w:val="Heading2"/>
        <w:keepNext w:val="true"/>
        <w:widowControl/>
        <w:spacing w:before="140" w:after="80"/>
        <w:rPr/>
      </w:pPr>
      <w:r>
        <w:rPr>
          <w:rFonts w:ascii="Aptos Display" w:hAnsi="Aptos Display"/>
          <w:b/>
          <w:color w:val="245B83"/>
        </w:rPr>
        <w:t>3.2 Business impact considerations</w:t>
      </w:r>
    </w:p>
    <w:p>
      <w:pPr>
        <w:pStyle w:val="Normal"/>
        <w:widowControl/>
        <w:spacing w:lineRule="auto" w:line="259" w:before="0" w:after="100"/>
        <w:rPr/>
      </w:pPr>
      <w:r>
        <w:rPr/>
        <w:t>Impact is not only financial. For an e-governance platform, assess: (a) citizen harm and inability to access benefits; (b) exposure or alteration of identity and application records; (c) integrity of government decisions; (d) outage duration and backlog; (e) statutory, contractual, and notification duties; (f) accessibility for citizens with disabilities or limited connectivity; and (g) confidence in the public service. High-impact actions such as revoking accounts, blocking traffic, or disabling a service should have documented authority and tested fallback procedures.</w:t>
      </w:r>
    </w:p>
    <w:p>
      <w:pPr>
        <w:pStyle w:val="Heading1"/>
        <w:keepNext w:val="true"/>
        <w:widowControl/>
        <w:spacing w:before="220" w:after="80"/>
        <w:rPr/>
      </w:pPr>
      <w:r>
        <w:rPr>
          <w:rFonts w:ascii="Aptos Display" w:hAnsi="Aptos Display"/>
          <w:b/>
          <w:color w:val="17324D"/>
        </w:rPr>
        <w:t>4. Methodology and Risk Scoring</w:t>
      </w:r>
    </w:p>
    <w:p>
      <w:pPr>
        <w:pStyle w:val="Normal"/>
        <w:widowControl/>
        <w:spacing w:lineRule="auto" w:line="259" w:before="0" w:after="100"/>
        <w:rPr/>
      </w:pPr>
      <w:r>
        <w:rPr/>
        <w:t>The method follows the general risk-assessment lifecycle in NIST SP 800-30 Rev. 1 [2]: establish context, identify threat events and weaknesses, analyse likelihood and impact, determine risk, select responses, and communicate results. It is structured using the NIST CSF 2.0 functions: Govern, Identify, Protect, Detect, Respond and Recover [3]. OWASP Top 10:2025 [4] and the Web Security Testing Guide [5] inform web/API threat categories and testing themes. CISA’s Known Exploited Vulnerabilities (KEV) Catalog [6] is an example of an external source that may help prioritise known exploited software issues; use it as a signal, not as proof a system is affected.</w:t>
      </w:r>
    </w:p>
    <w:p>
      <w:pPr>
        <w:pStyle w:val="Heading2"/>
        <w:keepNext w:val="true"/>
        <w:widowControl/>
        <w:spacing w:before="140" w:after="80"/>
        <w:rPr/>
      </w:pPr>
      <w:r>
        <w:rPr>
          <w:rFonts w:ascii="Aptos Display" w:hAnsi="Aptos Display"/>
          <w:b/>
          <w:color w:val="245B83"/>
        </w:rPr>
        <w:t>4.1 Assessment lifecycle</w:t>
      </w:r>
    </w:p>
    <w:p>
      <w:pPr>
        <w:pStyle w:val="Normal"/>
        <w:widowControl/>
        <w:jc w:val="center"/>
        <w:rPr/>
      </w:pPr>
      <w:r>
        <w:rPr/>
        <w:drawing>
          <wp:inline distT="0" distB="0" distL="0" distR="0">
            <wp:extent cx="6217920" cy="1568450"/>
            <wp:effectExtent l="0" t="0" r="0" b="0"/>
            <wp:docPr id="3" name="Picture 3" descr="Six-stage risk assessment lifecycle: discover assets and scope, assess threats and weaknesses, score likelihood and impact, treat risk, verify fixes, and monitor residual risk." title="Risk assessment lifecy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ix-stage risk assessment lifecycle: discover assets and scope, assess threats and weaknesses, score likelihood and impact, treat risk, verify fixes, and monitor residual risk." title="Risk assessment lifecycle diagram"/>
                    <pic:cNvPicPr>
                      <a:picLocks noChangeAspect="1" noChangeArrowheads="1"/>
                    </pic:cNvPicPr>
                  </pic:nvPicPr>
                  <pic:blipFill>
                    <a:blip r:embed="rId4"/>
                    <a:stretch>
                      <a:fillRect/>
                    </a:stretch>
                  </pic:blipFill>
                  <pic:spPr bwMode="auto">
                    <a:xfrm>
                      <a:off x="0" y="0"/>
                      <a:ext cx="6217920" cy="1568450"/>
                    </a:xfrm>
                    <a:prstGeom prst="rect">
                      <a:avLst/>
                    </a:prstGeom>
                    <a:noFill/>
                  </pic:spPr>
                </pic:pic>
              </a:graphicData>
            </a:graphic>
          </wp:inline>
        </w:drawing>
      </w:r>
    </w:p>
    <w:p>
      <w:pPr>
        <w:pStyle w:val="Normal"/>
        <w:widowControl/>
        <w:jc w:val="center"/>
        <w:rPr/>
      </w:pPr>
      <w:r>
        <w:rPr>
          <w:i/>
          <w:sz w:val="16"/>
        </w:rPr>
        <w:t>Figure 2. Repeatable assessment lifecycle from discovery through monitoring.</w:t>
      </w:r>
    </w:p>
    <w:p>
      <w:pPr>
        <w:pStyle w:val="Heading2"/>
        <w:keepNext w:val="true"/>
        <w:widowControl/>
        <w:spacing w:before="140" w:after="80"/>
        <w:rPr/>
      </w:pPr>
      <w:r>
        <w:rPr>
          <w:rFonts w:ascii="Aptos Display" w:hAnsi="Aptos Display"/>
          <w:b/>
          <w:color w:val="245B83"/>
        </w:rPr>
        <w:t>4.2 Likelihood and impact scales</w:t>
      </w:r>
    </w:p>
    <w:tbl>
      <w:tblPr>
        <w:tblW w:w="10455"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3485"/>
        <w:gridCol w:w="3485"/>
        <w:gridCol w:w="3485"/>
      </w:tblGrid>
      <w:tr>
        <w:trPr>
          <w:tblHeader w:val="true"/>
          <w:cantSplit/>
        </w:trPr>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6"/>
              </w:rPr>
              <w:t>Score</w:t>
            </w:r>
          </w:p>
        </w:tc>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6"/>
              </w:rPr>
              <w:t>Likelihood definition</w:t>
            </w:r>
          </w:p>
        </w:tc>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6"/>
              </w:rPr>
              <w:t>Impact definition</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1 - Rare</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Requires unusual conditions; strong evidence indicates difficult exploitation.</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Negligible effect; no material data, service, legal or citizen impact.</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6"/>
              </w:rPr>
              <w:t>2 - Unlikely</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6"/>
              </w:rPr>
              <w:t>Possible but needs several preconditions or limited access.</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6"/>
              </w:rPr>
              <w:t>Minor local issue; short disruption, low sensitivity, easy recovery.</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3 - Possible</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Plausible attack path or recurring human/process weakness.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Moderate disruption or limited exposure; manageable operational impact.</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6"/>
              </w:rPr>
              <w:t>4 - Likely</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6"/>
              </w:rPr>
              <w:t>Credible and accessible attack path; exploitation is reasonably foreseeable.</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6"/>
              </w:rPr>
              <w:t>Major service degradation, sensitive records affected, or significant response effort.</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5 - Almost certain</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Current evidence or exposure strongly suggests frequent/straightforward exploitation.</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6"/>
              </w:rPr>
              <w:t>Severe or widespread citizen impact, major data compromise, prolonged outage, or serious legal/reputational consequences.</w:t>
            </w:r>
          </w:p>
        </w:tc>
      </w:tr>
    </w:tbl>
    <w:p>
      <w:pPr>
        <w:pStyle w:val="Normal"/>
        <w:widowControl/>
        <w:spacing w:before="0" w:after="20"/>
        <w:rPr/>
      </w:pPr>
      <w:r>
        <w:rPr/>
      </w:r>
    </w:p>
    <w:p>
      <w:pPr>
        <w:pStyle w:val="Heading2"/>
        <w:keepNext w:val="true"/>
        <w:widowControl/>
        <w:spacing w:before="140" w:after="80"/>
        <w:rPr/>
      </w:pPr>
      <w:r>
        <w:rPr>
          <w:rFonts w:ascii="Aptos Display" w:hAnsi="Aptos Display"/>
          <w:b/>
          <w:color w:val="245B83"/>
        </w:rPr>
        <w:t>4.3 Score and treatment thresholds</w:t>
      </w:r>
    </w:p>
    <w:p>
      <w:pPr>
        <w:pStyle w:val="Normal"/>
        <w:widowControl/>
        <w:spacing w:lineRule="auto" w:line="259" w:before="0" w:after="100"/>
        <w:rPr/>
      </w:pPr>
      <w:r>
        <w:rPr/>
        <w:t>Inherent risk score = Likelihood (1-5) × Impact (1-5). These thresholds are a proposed local scoring convention for this report, not a universal standard: 1-4 Low; 5-9 Moderate; 10-16 High; 17-25 Critical. If scores tie, prioritise issues that are internet-exposed, known to be exploited, involve privileged access or sensitive data, enable lateral movement, or can interrupt essential services. Legal deadlines and critical business dates can override a score.</w:t>
      </w:r>
    </w:p>
    <w:p>
      <w:pPr>
        <w:pStyle w:val="Normal"/>
        <w:widowControl/>
        <w:jc w:val="center"/>
        <w:rPr/>
      </w:pPr>
      <w:r>
        <w:rPr/>
        <w:drawing>
          <wp:inline distT="0" distB="0" distL="0" distR="0">
            <wp:extent cx="5120640" cy="4157345"/>
            <wp:effectExtent l="0" t="0" r="0" b="0"/>
            <wp:docPr id="4" name="Picture 4" descr="Five-by-five heatmap with likelihood on the horizontal axis and impact on the vertical axis. Each cell shows their product; low risk is green, moderate yellow, high orange, and critical red." title="Likelihood and impact risk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ve-by-five heatmap with likelihood on the horizontal axis and impact on the vertical axis. Each cell shows their product; low risk is green, moderate yellow, high orange, and critical red." title="Likelihood and impact risk heatmap"/>
                    <pic:cNvPicPr>
                      <a:picLocks noChangeAspect="1" noChangeArrowheads="1"/>
                    </pic:cNvPicPr>
                  </pic:nvPicPr>
                  <pic:blipFill>
                    <a:blip r:embed="rId5"/>
                    <a:stretch>
                      <a:fillRect/>
                    </a:stretch>
                  </pic:blipFill>
                  <pic:spPr bwMode="auto">
                    <a:xfrm>
                      <a:off x="0" y="0"/>
                      <a:ext cx="5120640" cy="4157345"/>
                    </a:xfrm>
                    <a:prstGeom prst="rect">
                      <a:avLst/>
                    </a:prstGeom>
                    <a:noFill/>
                  </pic:spPr>
                </pic:pic>
              </a:graphicData>
            </a:graphic>
          </wp:inline>
        </w:drawing>
      </w:r>
    </w:p>
    <w:p>
      <w:pPr>
        <w:pStyle w:val="Normal"/>
        <w:widowControl/>
        <w:jc w:val="center"/>
        <w:rPr/>
      </w:pPr>
      <w:r>
        <w:rPr>
          <w:i/>
          <w:sz w:val="16"/>
        </w:rPr>
        <w:t>Figure 3. Risk scoring heatmap. The number in each cell is likelihood × impact.</w:t>
      </w:r>
    </w:p>
    <w:p>
      <w:pPr>
        <w:pStyle w:val="Heading2"/>
        <w:keepNext w:val="true"/>
        <w:widowControl/>
        <w:spacing w:before="140" w:after="80"/>
        <w:rPr/>
      </w:pPr>
      <w:r>
        <w:rPr>
          <w:rFonts w:ascii="Aptos Display" w:hAnsi="Aptos Display"/>
          <w:b/>
          <w:color w:val="245B83"/>
        </w:rPr>
        <w:t>4.4 Evidence required in a real assessment</w:t>
      </w:r>
    </w:p>
    <w:p>
      <w:pPr>
        <w:pStyle w:val="ListBullet"/>
        <w:widowControl/>
        <w:numPr>
          <w:ilvl w:val="0"/>
          <w:numId w:val="1"/>
        </w:numPr>
        <w:spacing w:before="0" w:after="40"/>
        <w:ind w:hanging="360" w:start="360"/>
        <w:contextualSpacing/>
        <w:rPr/>
      </w:pPr>
      <w:r>
        <w:rPr/>
        <w:t>Asset inventory with service owner, technology/version, data classification, internet exposure, environment, and business criticality.</w:t>
      </w:r>
    </w:p>
    <w:p>
      <w:pPr>
        <w:pStyle w:val="ListBullet"/>
        <w:widowControl/>
        <w:numPr>
          <w:ilvl w:val="0"/>
          <w:numId w:val="1"/>
        </w:numPr>
        <w:spacing w:before="0" w:after="40"/>
        <w:ind w:hanging="360" w:start="360"/>
        <w:contextualSpacing/>
        <w:rPr/>
      </w:pPr>
      <w:r>
        <w:rPr/>
        <w:t>Approved vulnerability scan results and prioritisation evidence; authenticated scanning where safe and authorised.</w:t>
      </w:r>
    </w:p>
    <w:p>
      <w:pPr>
        <w:pStyle w:val="ListBullet"/>
        <w:widowControl/>
        <w:numPr>
          <w:ilvl w:val="0"/>
          <w:numId w:val="1"/>
        </w:numPr>
        <w:spacing w:before="0" w:after="40"/>
        <w:ind w:hanging="360" w:start="360"/>
        <w:contextualSpacing/>
        <w:rPr/>
      </w:pPr>
      <w:r>
        <w:rPr/>
        <w:t>Configuration baselines, firewall/security-group rules, identity policy, privileged-account list, and patch reports.</w:t>
      </w:r>
    </w:p>
    <w:p>
      <w:pPr>
        <w:pStyle w:val="ListBullet"/>
        <w:widowControl/>
        <w:numPr>
          <w:ilvl w:val="0"/>
          <w:numId w:val="1"/>
        </w:numPr>
        <w:spacing w:before="0" w:after="40"/>
        <w:ind w:hanging="360" w:start="360"/>
        <w:contextualSpacing/>
        <w:rPr/>
      </w:pPr>
      <w:r>
        <w:rPr/>
        <w:t>Application architecture, data flows, API inventory, code review/SAST/DAST results, and penetration-test findings.</w:t>
      </w:r>
    </w:p>
    <w:p>
      <w:pPr>
        <w:pStyle w:val="ListBullet"/>
        <w:widowControl/>
        <w:numPr>
          <w:ilvl w:val="0"/>
          <w:numId w:val="1"/>
        </w:numPr>
        <w:spacing w:before="0" w:after="40"/>
        <w:ind w:hanging="360" w:start="360"/>
        <w:contextualSpacing/>
        <w:rPr/>
      </w:pPr>
      <w:r>
        <w:rPr/>
        <w:t>Logging coverage, alert tests, incident tickets, backup job history, restoration evidence, and recovery exercise results.</w:t>
      </w:r>
    </w:p>
    <w:p>
      <w:pPr>
        <w:pStyle w:val="ListBullet"/>
        <w:widowControl/>
        <w:numPr>
          <w:ilvl w:val="0"/>
          <w:numId w:val="1"/>
        </w:numPr>
        <w:spacing w:before="0" w:after="40"/>
        <w:ind w:hanging="360" w:start="360"/>
        <w:contextualSpacing/>
        <w:rPr/>
      </w:pPr>
      <w:r>
        <w:rPr/>
        <w:t>Contracts and supplier security evidence, retention schedules, training records, exception approvals, and remediation tickets.</w:t>
      </w:r>
    </w:p>
    <w:p>
      <w:pPr>
        <w:pStyle w:val="Heading1"/>
        <w:keepNext w:val="true"/>
        <w:widowControl/>
        <w:spacing w:before="220" w:after="80"/>
        <w:rPr/>
      </w:pPr>
      <w:r>
        <w:rPr>
          <w:rFonts w:ascii="Aptos Display" w:hAnsi="Aptos Display"/>
          <w:b/>
          <w:color w:val="17324D"/>
        </w:rPr>
        <w:t>5. Threat Model and Findings</w:t>
      </w:r>
    </w:p>
    <w:p>
      <w:pPr>
        <w:pStyle w:val="Normal"/>
        <w:widowControl/>
        <w:spacing w:lineRule="auto" w:line="259" w:before="0" w:after="100"/>
        <w:rPr/>
      </w:pPr>
      <w:r>
        <w:rPr/>
        <w:t>Threat modelling considers how a threat actor or accidental failure could cross a trust boundary and affect a critical asset. The STRIDE lens is used as a brainstorming aid: Spoofing, Tampering, Repudiation, Information Disclosure, Denial of Service and Elevation of Privilege. It supplements—not replaces—asset-based risk scoring.</w:t>
      </w:r>
    </w:p>
    <w:tbl>
      <w:tblPr>
        <w:tblW w:w="10455"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3485"/>
        <w:gridCol w:w="3485"/>
        <w:gridCol w:w="3485"/>
      </w:tblGrid>
      <w:tr>
        <w:trPr>
          <w:tblHeader w:val="true"/>
          <w:cantSplit/>
        </w:trPr>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STRIDE category</w:t>
            </w:r>
          </w:p>
        </w:tc>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Illustrative scenario</w:t>
            </w:r>
          </w:p>
        </w:tc>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Primary assets / controls to inspect</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Spoofing</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Stolen citizen/staff credentials are used to impersonate a legitimate user.</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Identity provider, MFA, session controls, recovery workflows, audit trails</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Tampering</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An API request changes another citizen’s application status or uploaded document.</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Object-level authorization, input validation, business rules, integrity controls</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Repudiation</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An administrator disputes a sensitive change because actions are not attributable.</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Central audit logs, time synchronisation, immutable retention, privileged session records</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Information disclosure</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Publicly accessible object storage or verbose errors expose personal data.</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Storage policy, encryption, data minimisation, error handling, data classification</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Denial of service</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Traffic flood, expensive API query or dependency outage blocks applications.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DDoS/WAF, rate limits, capacity controls, queues, redundancy, supplier SLAs</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Elevation of privilege</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A standard account gains staff-level access through a role or configuration flaw.</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RBAC/ABAC, separation of duties, privileged access management, periodic reviews</w:t>
            </w:r>
          </w:p>
        </w:tc>
      </w:tr>
    </w:tbl>
    <w:p>
      <w:pPr>
        <w:pStyle w:val="Normal"/>
        <w:widowControl/>
        <w:spacing w:before="0" w:after="20"/>
        <w:rPr/>
      </w:pPr>
      <w:r>
        <w:rPr/>
      </w:r>
    </w:p>
    <w:p>
      <w:pPr>
        <w:pStyle w:val="Heading2"/>
        <w:keepNext w:val="true"/>
        <w:widowControl/>
        <w:spacing w:before="140" w:after="80"/>
        <w:rPr/>
      </w:pPr>
      <w:r>
        <w:rPr>
          <w:rFonts w:ascii="Aptos Display" w:hAnsi="Aptos Display"/>
          <w:b/>
          <w:color w:val="245B83"/>
        </w:rPr>
        <w:t>5.1 Most material attack paths</w:t>
      </w:r>
    </w:p>
    <w:p>
      <w:pPr>
        <w:pStyle w:val="ListBullet"/>
        <w:widowControl/>
        <w:numPr>
          <w:ilvl w:val="0"/>
          <w:numId w:val="1"/>
        </w:numPr>
        <w:spacing w:before="0" w:after="40"/>
        <w:ind w:hanging="360" w:start="360"/>
        <w:contextualSpacing/>
        <w:rPr/>
      </w:pPr>
      <w:r>
        <w:rPr/>
        <w:t>Citizen account takeover → access to a personal application → data disclosure or fraudulent change.</w:t>
      </w:r>
    </w:p>
    <w:p>
      <w:pPr>
        <w:pStyle w:val="ListBullet"/>
        <w:widowControl/>
        <w:numPr>
          <w:ilvl w:val="0"/>
          <w:numId w:val="1"/>
        </w:numPr>
        <w:spacing w:before="0" w:after="40"/>
        <w:ind w:hanging="360" w:start="360"/>
        <w:contextualSpacing/>
        <w:rPr/>
      </w:pPr>
      <w:r>
        <w:rPr/>
        <w:t>Broken object-level API authorisation → cross-citizen record access → widespread privacy and integrity impact.</w:t>
      </w:r>
    </w:p>
    <w:p>
      <w:pPr>
        <w:pStyle w:val="ListBullet"/>
        <w:widowControl/>
        <w:numPr>
          <w:ilvl w:val="0"/>
          <w:numId w:val="1"/>
        </w:numPr>
        <w:spacing w:before="0" w:after="40"/>
        <w:ind w:hanging="360" w:start="360"/>
        <w:contextualSpacing/>
        <w:rPr/>
      </w:pPr>
      <w:r>
        <w:rPr/>
        <w:t>Internet-facing unpatched component → remote compromise → persistence and movement towards internal systems.</w:t>
      </w:r>
    </w:p>
    <w:p>
      <w:pPr>
        <w:pStyle w:val="ListBullet"/>
        <w:widowControl/>
        <w:numPr>
          <w:ilvl w:val="0"/>
          <w:numId w:val="1"/>
        </w:numPr>
        <w:spacing w:before="0" w:after="40"/>
        <w:ind w:hanging="360" w:start="360"/>
        <w:contextualSpacing/>
        <w:rPr/>
      </w:pPr>
      <w:r>
        <w:rPr/>
        <w:t>Phishing of a privileged staff member → administrative control → log deletion, data export or service disruption.</w:t>
      </w:r>
    </w:p>
    <w:p>
      <w:pPr>
        <w:pStyle w:val="ListBullet"/>
        <w:widowControl/>
        <w:numPr>
          <w:ilvl w:val="0"/>
          <w:numId w:val="1"/>
        </w:numPr>
        <w:spacing w:before="0" w:after="40"/>
        <w:ind w:hanging="360" w:start="360"/>
        <w:contextualSpacing/>
        <w:rPr/>
      </w:pPr>
      <w:r>
        <w:rPr/>
        <w:t>Compromised dependency or supplier account → malicious update/integration → compromise through a trusted path.</w:t>
      </w:r>
    </w:p>
    <w:p>
      <w:pPr>
        <w:pStyle w:val="ListBullet"/>
        <w:widowControl/>
        <w:numPr>
          <w:ilvl w:val="0"/>
          <w:numId w:val="1"/>
        </w:numPr>
        <w:spacing w:before="0" w:after="40"/>
        <w:ind w:hanging="360" w:start="360"/>
        <w:contextualSpacing/>
        <w:rPr/>
      </w:pPr>
      <w:r>
        <w:rPr/>
        <w:t>Ransomware plus untested backups → production encryption and recovery failure → prolonged public-service outage.</w:t>
      </w:r>
    </w:p>
    <w:p>
      <w:pPr>
        <w:pStyle w:val="Heading1"/>
        <w:keepNext w:val="true"/>
        <w:widowControl/>
        <w:spacing w:before="220" w:after="80"/>
        <w:rPr/>
      </w:pPr>
      <w:r>
        <w:rPr>
          <w:rFonts w:ascii="Aptos Display" w:hAnsi="Aptos Display"/>
          <w:b/>
          <w:color w:val="17324D"/>
        </w:rPr>
        <w:t>6. Risk Matrix and Detailed Risk Register</w:t>
      </w:r>
    </w:p>
    <w:p>
      <w:pPr>
        <w:pStyle w:val="Normal"/>
        <w:widowControl/>
        <w:spacing w:lineRule="auto" w:line="259" w:before="0" w:after="100"/>
        <w:rPr/>
      </w:pPr>
      <w:r>
        <w:rPr/>
        <w:t>The following are potential risks for a hypothetical platform. Ratings are initial, inherent planning ratings because control effectiveness is unknown. “Residual” is a target estimate after the recommended treatment is implemented and independently verified; it is not a guarantee. A service owner and security lead should re-score each row using collected evidence.</w:t>
      </w:r>
    </w:p>
    <w:p>
      <w:pPr>
        <w:pStyle w:val="Heading2"/>
        <w:keepNext w:val="true"/>
        <w:widowControl/>
        <w:spacing w:before="140" w:after="80"/>
        <w:rPr/>
      </w:pPr>
      <w:r>
        <w:rPr>
          <w:rFonts w:ascii="Aptos Display" w:hAnsi="Aptos Display"/>
          <w:b/>
          <w:color w:val="245B83"/>
        </w:rPr>
        <w:t>6.1 Inherent risk summary matrix</w:t>
      </w:r>
    </w:p>
    <w:tbl>
      <w:tblPr>
        <w:tblW w:w="10452"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1742"/>
        <w:gridCol w:w="1741"/>
        <w:gridCol w:w="1743"/>
        <w:gridCol w:w="1742"/>
        <w:gridCol w:w="1741"/>
        <w:gridCol w:w="1743"/>
      </w:tblGrid>
      <w:tr>
        <w:trPr>
          <w:tblHeader w:val="true"/>
          <w:cantSplit/>
        </w:trPr>
        <w:tc>
          <w:tcPr>
            <w:tcW w:w="1742"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4"/>
              </w:rPr>
              <w:t>ID</w:t>
            </w:r>
          </w:p>
        </w:tc>
        <w:tc>
          <w:tcPr>
            <w:tcW w:w="1741"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4"/>
              </w:rPr>
              <w:t>Potential vulnerability / risk</w:t>
            </w:r>
          </w:p>
        </w:tc>
        <w:tc>
          <w:tcPr>
            <w:tcW w:w="1743"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4"/>
              </w:rPr>
              <w:t>L × I</w:t>
            </w:r>
          </w:p>
        </w:tc>
        <w:tc>
          <w:tcPr>
            <w:tcW w:w="1742"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4"/>
              </w:rPr>
              <w:t>Initial risk</w:t>
            </w:r>
          </w:p>
        </w:tc>
        <w:tc>
          <w:tcPr>
            <w:tcW w:w="1741"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4"/>
              </w:rPr>
              <w:t>Potential impact</w:t>
            </w:r>
          </w:p>
        </w:tc>
        <w:tc>
          <w:tcPr>
            <w:tcW w:w="1743"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4"/>
              </w:rPr>
              <w:t>Proposed owner</w:t>
            </w:r>
          </w:p>
        </w:tc>
      </w:tr>
      <w:tr>
        <w:trPr>
          <w:cantSplit/>
        </w:trPr>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R01</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Broken access control / BOLA in portal or API</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4 × 5</w:t>
            </w:r>
          </w:p>
        </w:tc>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20 Critical</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Unauthorised viewing or modification of another citizen’s record; major privacy and integrity h...</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Application owner + AppSec</w:t>
            </w:r>
          </w:p>
        </w:tc>
      </w:tr>
      <w:tr>
        <w:trPr>
          <w:cantSplit/>
        </w:trPr>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R02</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Weak authentication, account recovery or session management</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4 × 5</w:t>
            </w:r>
          </w:p>
        </w:tc>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20 Critical</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Credential stuffing, account takeover, fraudulent submissions and staff impersonation.</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IAM lead</w:t>
            </w:r>
          </w:p>
        </w:tc>
      </w:tr>
      <w:tr>
        <w:trPr>
          <w:cantSplit/>
        </w:trPr>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R03</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Injection or unsafe query construction</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3 × 5</w:t>
            </w:r>
          </w:p>
        </w:tc>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15 High</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Data exfiltration or modification; potential service compromise.</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Application owner</w:t>
            </w:r>
          </w:p>
        </w:tc>
      </w:tr>
      <w:tr>
        <w:trPr>
          <w:cantSplit/>
        </w:trPr>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R04</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Unpatched, unsupported or insecurely configured software</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4 × 5</w:t>
            </w:r>
          </w:p>
        </w:tc>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20 Critical</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Known exploitation can lead to host takeover, data theft or outage.</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IT operations lead</w:t>
            </w:r>
          </w:p>
        </w:tc>
      </w:tr>
      <w:tr>
        <w:trPr>
          <w:cantSplit/>
        </w:trPr>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R05</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Sensitive data exposure or weak key management</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3 × 5</w:t>
            </w:r>
          </w:p>
        </w:tc>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15 High</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Personal identifiers and application documents exposed; privacy and trust impact.</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Data owner + DBA</w:t>
            </w:r>
          </w:p>
        </w:tc>
      </w:tr>
      <w:tr>
        <w:trPr>
          <w:cantSplit/>
        </w:trPr>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R06</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API abuse, missing schema controls or unsafe integrations</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4 × 4</w:t>
            </w:r>
          </w:p>
        </w:tc>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16 High</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Automated abuse, unauthorised calls, excess data retrieval, or fraudulent callbacks.</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API/platform lead</w:t>
            </w:r>
          </w:p>
        </w:tc>
      </w:tr>
      <w:tr>
        <w:trPr>
          <w:cantSplit/>
        </w:trPr>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R07</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Software supply-chain / dependency compromise</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4 × 5</w:t>
            </w:r>
          </w:p>
        </w:tc>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20 Critical</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A malicious or vulnerable component enters trusted code or build pipeline.</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Engineering lead</w:t>
            </w:r>
          </w:p>
        </w:tc>
      </w:tr>
      <w:tr>
        <w:trPr>
          <w:cantSplit/>
        </w:trPr>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R08</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Ransomware or destructive malware on servers/endpoints</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4 × 5</w:t>
            </w:r>
          </w:p>
        </w:tc>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20 Critical</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Service outage, encrypted records, data theft and recovery costs.</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CISO/security lead + IT ops</w:t>
            </w:r>
          </w:p>
        </w:tc>
      </w:tr>
      <w:tr>
        <w:trPr>
          <w:cantSplit/>
        </w:trPr>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R09</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Flat network or exposed management interface</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3 × 5</w:t>
            </w:r>
          </w:p>
        </w:tc>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15 High</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Compromise of one host spreads to databases or management services.</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Network lead</w:t>
            </w:r>
          </w:p>
        </w:tc>
      </w:tr>
      <w:tr>
        <w:trPr>
          <w:cantSplit/>
        </w:trPr>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R10</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Backups or disaster recovery are incomplete or untested</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3 × 5</w:t>
            </w:r>
          </w:p>
        </w:tc>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15 High</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After ransomware, corruption or provider outage, essential records and services cannot be resto...</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Service owner + DR lead</w:t>
            </w:r>
          </w:p>
        </w:tc>
      </w:tr>
      <w:tr>
        <w:trPr>
          <w:cantSplit/>
        </w:trPr>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R11</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Insufficient logging, alerting or time synchronisation</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4 × 4</w:t>
            </w:r>
          </w:p>
        </w:tc>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16 High</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Intrusion remains undetected; investigation and required reporting are delayed.</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SOC/security operations</w:t>
            </w:r>
          </w:p>
        </w:tc>
      </w:tr>
      <w:tr>
        <w:trPr>
          <w:cantSplit/>
        </w:trPr>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R12</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Denial-of-service or resource-exhaustion attack</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3 × 5</w:t>
            </w:r>
          </w:p>
        </w:tc>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15 High</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Citizens cannot use services during deadlines; queues/backlogs increase.</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Platform lead</w:t>
            </w:r>
          </w:p>
        </w:tc>
      </w:tr>
      <w:tr>
        <w:trPr>
          <w:cantSplit/>
        </w:trPr>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R13</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Cloud storage or cloud IAM misconfiguration</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3 × 5</w:t>
            </w:r>
          </w:p>
        </w:tc>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15 High</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Public exposure of documents, overprivileged cloud identities, or unauthorised changes.</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Cloud/platform lead</w:t>
            </w:r>
          </w:p>
        </w:tc>
      </w:tr>
      <w:tr>
        <w:trPr>
          <w:cantSplit/>
        </w:trPr>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R14</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Third-party provider or integration compromise</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3 × 5</w:t>
            </w:r>
          </w:p>
        </w:tc>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15 High</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A supplier breach propagates through API credentials, software, or support access.</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Procurement + service owner</w:t>
            </w:r>
          </w:p>
        </w:tc>
      </w:tr>
      <w:tr>
        <w:trPr>
          <w:cantSplit/>
        </w:trPr>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R15</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Phishing, help-desk social engineering or user error</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4 × 4</w:t>
            </w:r>
          </w:p>
        </w:tc>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16 High</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Credentials are disclosed, fraudulent resets occur, or a malicious attachment is executed.</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HR + IAM + service desk</w:t>
            </w:r>
          </w:p>
        </w:tc>
      </w:tr>
      <w:tr>
        <w:trPr>
          <w:cantSplit/>
        </w:trPr>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R16</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Insider misuse or excessive standing privileges</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3 × 5</w:t>
            </w:r>
          </w:p>
        </w:tc>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15 High</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Sensitive records are browsed/exported or services are altered without legitimate need.</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Data owner + IAM lead</w:t>
            </w:r>
          </w:p>
        </w:tc>
      </w:tr>
      <w:tr>
        <w:trPr>
          <w:cantSplit/>
        </w:trPr>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R17</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Weak TLS, certificate, DNS or domain protection</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2 × 4</w:t>
            </w:r>
          </w:p>
        </w:tc>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8 Moderate</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Traffic interception, service impersonation, expiry outage or redirection to fraudulent sites.</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Network/platform lead</w:t>
            </w:r>
          </w:p>
        </w:tc>
      </w:tr>
      <w:tr>
        <w:trPr>
          <w:cantSplit/>
        </w:trPr>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R18</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Unsafe document upload or file processing</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3 × 4</w:t>
            </w:r>
          </w:p>
        </w:tc>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12 High</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Malicious files reach staff endpoints, exploit parsers, or expose stored documents.</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Application + operations</w:t>
            </w:r>
          </w:p>
        </w:tc>
      </w:tr>
      <w:tr>
        <w:trPr>
          <w:cantSplit/>
        </w:trPr>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R19</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Unclear data retention, disposal or privacy ownership</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3 × 4</w:t>
            </w:r>
          </w:p>
        </w:tc>
        <w:tc>
          <w:tcPr>
            <w:tcW w:w="1742"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12 High</w:t>
            </w:r>
          </w:p>
        </w:tc>
        <w:tc>
          <w:tcPr>
            <w:tcW w:w="174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Data remains longer than needed; access requests or incident handling are inconsistent.</w:t>
            </w:r>
          </w:p>
        </w:tc>
        <w:tc>
          <w:tcPr>
            <w:tcW w:w="1743"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Privacy/legal + data owner</w:t>
            </w:r>
          </w:p>
        </w:tc>
      </w:tr>
      <w:tr>
        <w:trPr>
          <w:cantSplit/>
        </w:trPr>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R20</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Single points of failure and weak operational change control</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3 × 5</w:t>
            </w:r>
          </w:p>
        </w:tc>
        <w:tc>
          <w:tcPr>
            <w:tcW w:w="1742"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15 High</w:t>
            </w:r>
          </w:p>
        </w:tc>
        <w:tc>
          <w:tcPr>
            <w:tcW w:w="174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A failed component or unsafe release causes extended outage or loss of data integrity.</w:t>
            </w:r>
          </w:p>
        </w:tc>
        <w:tc>
          <w:tcPr>
            <w:tcW w:w="1743"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Service owner + SRE/IT ops</w:t>
            </w:r>
          </w:p>
        </w:tc>
      </w:tr>
    </w:tbl>
    <w:p>
      <w:pPr>
        <w:pStyle w:val="Normal"/>
        <w:widowControl/>
        <w:spacing w:before="0" w:after="20"/>
        <w:rPr/>
      </w:pPr>
      <w:r>
        <w:rPr/>
      </w:r>
    </w:p>
    <w:p>
      <w:pPr>
        <w:pStyle w:val="Heading2"/>
        <w:keepNext w:val="true"/>
        <w:widowControl/>
        <w:spacing w:before="140" w:after="80"/>
        <w:rPr/>
      </w:pPr>
      <w:r>
        <w:rPr>
          <w:rFonts w:ascii="Aptos Display" w:hAnsi="Aptos Display"/>
          <w:b/>
          <w:color w:val="245B83"/>
        </w:rPr>
        <w:t>6.2 Prioritised treatment register</w:t>
      </w:r>
    </w:p>
    <w:p>
      <w:pPr>
        <w:pStyle w:val="Normal"/>
        <w:widowControl/>
        <w:spacing w:lineRule="auto" w:line="259" w:before="0" w:after="100"/>
        <w:rPr/>
      </w:pPr>
      <w:r>
        <w:rPr/>
        <w:t>The table below links each risk to practical mitigation, responsibility, target window, and an estimated residual score after effective implementation. Dates are relative to programme approval; the service owner should convert them into tracked tickets and named accountable staff.</w:t>
      </w:r>
    </w:p>
    <w:p>
      <w:pPr>
        <w:pStyle w:val="Heading3"/>
        <w:keepNext w:val="true"/>
        <w:widowControl/>
        <w:spacing w:before="140" w:after="80"/>
        <w:rPr/>
      </w:pPr>
      <w:r>
        <w:rPr>
          <w:rFonts w:ascii="Aptos Display" w:hAnsi="Aptos Display"/>
          <w:b/>
          <w:color w:val="245B83"/>
        </w:rPr>
        <w:t>R01 — Broken access control / BOLA in portal or API  |  Initial: 20 Critical  |  Target residual: 2×5=10 High</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Broken access control / BOLA in portal or API</w:t>
            </w:r>
          </w:p>
          <w:p>
            <w:pPr>
              <w:pStyle w:val="Normal"/>
              <w:spacing w:lineRule="auto" w:line="240" w:before="0" w:after="40"/>
              <w:rPr/>
            </w:pPr>
            <w:r>
              <w:rPr>
                <w:b/>
                <w:color w:val="245B83"/>
                <w:sz w:val="15"/>
              </w:rPr>
              <w:t xml:space="preserve">Impact: </w:t>
            </w:r>
            <w:r>
              <w:rPr>
                <w:color w:val="263746"/>
                <w:sz w:val="15"/>
              </w:rPr>
              <w:t>Unauthorised viewing or modification of another citizen’s record; major privacy and integrity harm.</w:t>
            </w:r>
          </w:p>
          <w:p>
            <w:pPr>
              <w:pStyle w:val="Normal"/>
              <w:spacing w:lineRule="auto" w:line="240" w:before="0" w:after="40"/>
              <w:rPr/>
            </w:pPr>
            <w:r>
              <w:rPr>
                <w:b/>
                <w:color w:val="245B83"/>
                <w:sz w:val="15"/>
              </w:rPr>
              <w:t xml:space="preserve">Inherent score: </w:t>
            </w:r>
            <w:r>
              <w:rPr>
                <w:color w:val="263746"/>
                <w:sz w:val="15"/>
              </w:rPr>
              <w:t>4 × 5 = 20 Critical</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Enforce server-side object-level authorization on every request; deny by default; centralise authorization checks; test horizontal/vertical privilege boundaries; log denied high-risk actions.</w:t>
            </w:r>
          </w:p>
          <w:p>
            <w:pPr>
              <w:pStyle w:val="Normal"/>
              <w:spacing w:lineRule="auto" w:line="240" w:before="0" w:after="40"/>
              <w:rPr/>
            </w:pPr>
            <w:r>
              <w:rPr>
                <w:b/>
                <w:color w:val="245B83"/>
                <w:sz w:val="15"/>
              </w:rPr>
              <w:t xml:space="preserve">Owner: </w:t>
            </w:r>
            <w:r>
              <w:rPr>
                <w:color w:val="263746"/>
                <w:sz w:val="15"/>
              </w:rPr>
              <w:t>Application owner + AppSec</w:t>
            </w:r>
          </w:p>
          <w:p>
            <w:pPr>
              <w:pStyle w:val="Normal"/>
              <w:spacing w:lineRule="auto" w:line="240" w:before="0" w:after="40"/>
              <w:rPr/>
            </w:pPr>
            <w:r>
              <w:rPr>
                <w:b/>
                <w:color w:val="245B83"/>
                <w:sz w:val="15"/>
              </w:rPr>
              <w:t xml:space="preserve">Target window: </w:t>
            </w:r>
            <w:r>
              <w:rPr>
                <w:color w:val="263746"/>
                <w:sz w:val="15"/>
              </w:rPr>
              <w:t>0-30 days for exposed critical paths; then release gate</w:t>
            </w:r>
          </w:p>
          <w:p>
            <w:pPr>
              <w:pStyle w:val="Normal"/>
              <w:spacing w:lineRule="auto" w:line="240" w:before="0" w:after="40"/>
              <w:rPr/>
            </w:pPr>
            <w:r>
              <w:rPr>
                <w:b/>
                <w:color w:val="245B83"/>
                <w:sz w:val="15"/>
              </w:rPr>
              <w:t xml:space="preserve">Target residual: </w:t>
            </w:r>
            <w:r>
              <w:rPr>
                <w:color w:val="263746"/>
                <w:sz w:val="15"/>
              </w:rPr>
              <w:t>2×5=10 High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R02 — Weak authentication, account recovery or session management  |  Initial: 20 Critical  |  Target residual: 2×5=10 High</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Weak authentication, account recovery or session management</w:t>
            </w:r>
          </w:p>
          <w:p>
            <w:pPr>
              <w:pStyle w:val="Normal"/>
              <w:spacing w:lineRule="auto" w:line="240" w:before="0" w:after="40"/>
              <w:rPr/>
            </w:pPr>
            <w:r>
              <w:rPr>
                <w:b/>
                <w:color w:val="245B83"/>
                <w:sz w:val="15"/>
              </w:rPr>
              <w:t xml:space="preserve">Impact: </w:t>
            </w:r>
            <w:r>
              <w:rPr>
                <w:color w:val="263746"/>
                <w:sz w:val="15"/>
              </w:rPr>
              <w:t>Credential stuffing, account takeover, fraudulent submissions and staff impersonation.</w:t>
            </w:r>
          </w:p>
          <w:p>
            <w:pPr>
              <w:pStyle w:val="Normal"/>
              <w:spacing w:lineRule="auto" w:line="240" w:before="0" w:after="40"/>
              <w:rPr/>
            </w:pPr>
            <w:r>
              <w:rPr>
                <w:b/>
                <w:color w:val="245B83"/>
                <w:sz w:val="15"/>
              </w:rPr>
              <w:t xml:space="preserve">Inherent score: </w:t>
            </w:r>
            <w:r>
              <w:rPr>
                <w:color w:val="263746"/>
                <w:sz w:val="15"/>
              </w:rPr>
              <w:t>4 × 5 = 20 Critical</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Require MFA for staff and privileged access; risk-based protection for citizen accounts; rate limiting; breached-password checks; secure recovery, session rotation and revocation; phishing-resistant MFA for privileged roles.</w:t>
            </w:r>
          </w:p>
          <w:p>
            <w:pPr>
              <w:pStyle w:val="Normal"/>
              <w:spacing w:lineRule="auto" w:line="240" w:before="0" w:after="40"/>
              <w:rPr/>
            </w:pPr>
            <w:r>
              <w:rPr>
                <w:b/>
                <w:color w:val="245B83"/>
                <w:sz w:val="15"/>
              </w:rPr>
              <w:t xml:space="preserve">Owner: </w:t>
            </w:r>
            <w:r>
              <w:rPr>
                <w:color w:val="263746"/>
                <w:sz w:val="15"/>
              </w:rPr>
              <w:t>IAM lead</w:t>
            </w:r>
          </w:p>
          <w:p>
            <w:pPr>
              <w:pStyle w:val="Normal"/>
              <w:spacing w:lineRule="auto" w:line="240" w:before="0" w:after="40"/>
              <w:rPr/>
            </w:pPr>
            <w:r>
              <w:rPr>
                <w:b/>
                <w:color w:val="245B83"/>
                <w:sz w:val="15"/>
              </w:rPr>
              <w:t xml:space="preserve">Target window: </w:t>
            </w:r>
            <w:r>
              <w:rPr>
                <w:color w:val="263746"/>
                <w:sz w:val="15"/>
              </w:rPr>
              <w:t>0-30 days for admins; 31-90 days for all staff</w:t>
            </w:r>
          </w:p>
          <w:p>
            <w:pPr>
              <w:pStyle w:val="Normal"/>
              <w:spacing w:lineRule="auto" w:line="240" w:before="0" w:after="40"/>
              <w:rPr/>
            </w:pPr>
            <w:r>
              <w:rPr>
                <w:b/>
                <w:color w:val="245B83"/>
                <w:sz w:val="15"/>
              </w:rPr>
              <w:t xml:space="preserve">Target residual: </w:t>
            </w:r>
            <w:r>
              <w:rPr>
                <w:color w:val="263746"/>
                <w:sz w:val="15"/>
              </w:rPr>
              <w:t>2×5=10 High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R03 — Injection or unsafe query construction  |  Initial: 15 High  |  Target residual: 1×5=5 Moderate</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Injection or unsafe query construction</w:t>
            </w:r>
          </w:p>
          <w:p>
            <w:pPr>
              <w:pStyle w:val="Normal"/>
              <w:spacing w:lineRule="auto" w:line="240" w:before="0" w:after="40"/>
              <w:rPr/>
            </w:pPr>
            <w:r>
              <w:rPr>
                <w:b/>
                <w:color w:val="245B83"/>
                <w:sz w:val="15"/>
              </w:rPr>
              <w:t xml:space="preserve">Impact: </w:t>
            </w:r>
            <w:r>
              <w:rPr>
                <w:color w:val="263746"/>
                <w:sz w:val="15"/>
              </w:rPr>
              <w:t>Data exfiltration or modification; potential service compromise.</w:t>
            </w:r>
          </w:p>
          <w:p>
            <w:pPr>
              <w:pStyle w:val="Normal"/>
              <w:spacing w:lineRule="auto" w:line="240" w:before="0" w:after="40"/>
              <w:rPr/>
            </w:pPr>
            <w:r>
              <w:rPr>
                <w:b/>
                <w:color w:val="245B83"/>
                <w:sz w:val="15"/>
              </w:rPr>
              <w:t xml:space="preserve">Inherent score: </w:t>
            </w:r>
            <w:r>
              <w:rPr>
                <w:color w:val="263746"/>
                <w:sz w:val="15"/>
              </w:rPr>
              <w:t>3 × 5 = 15 High</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Use parameterised queries and safe APIs; validate input by schema/allowlist; encode output; least-privilege DB accounts; secure code review; SAST/DAST and authorised penetration tests.</w:t>
            </w:r>
          </w:p>
          <w:p>
            <w:pPr>
              <w:pStyle w:val="Normal"/>
              <w:spacing w:lineRule="auto" w:line="240" w:before="0" w:after="40"/>
              <w:rPr/>
            </w:pPr>
            <w:r>
              <w:rPr>
                <w:b/>
                <w:color w:val="245B83"/>
                <w:sz w:val="15"/>
              </w:rPr>
              <w:t xml:space="preserve">Owner: </w:t>
            </w:r>
            <w:r>
              <w:rPr>
                <w:color w:val="263746"/>
                <w:sz w:val="15"/>
              </w:rPr>
              <w:t>Application owner</w:t>
            </w:r>
          </w:p>
          <w:p>
            <w:pPr>
              <w:pStyle w:val="Normal"/>
              <w:spacing w:lineRule="auto" w:line="240" w:before="0" w:after="40"/>
              <w:rPr/>
            </w:pPr>
            <w:r>
              <w:rPr>
                <w:b/>
                <w:color w:val="245B83"/>
                <w:sz w:val="15"/>
              </w:rPr>
              <w:t xml:space="preserve">Target window: </w:t>
            </w:r>
            <w:r>
              <w:rPr>
                <w:color w:val="263746"/>
                <w:sz w:val="15"/>
              </w:rPr>
              <w:t>31-90 days; immediate fix if confirmed exploitable</w:t>
            </w:r>
          </w:p>
          <w:p>
            <w:pPr>
              <w:pStyle w:val="Normal"/>
              <w:spacing w:lineRule="auto" w:line="240" w:before="0" w:after="40"/>
              <w:rPr/>
            </w:pPr>
            <w:r>
              <w:rPr>
                <w:b/>
                <w:color w:val="245B83"/>
                <w:sz w:val="15"/>
              </w:rPr>
              <w:t xml:space="preserve">Target residual: </w:t>
            </w:r>
            <w:r>
              <w:rPr>
                <w:color w:val="263746"/>
                <w:sz w:val="15"/>
              </w:rPr>
              <w:t>1×5=5 Moderate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R04 — Unpatched, unsupported or insecurely configured software  |  Initial: 20 Critical  |  Target residual: 2×5=10 High</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Unpatched, unsupported or insecurely configured software</w:t>
            </w:r>
          </w:p>
          <w:p>
            <w:pPr>
              <w:pStyle w:val="Normal"/>
              <w:spacing w:lineRule="auto" w:line="240" w:before="0" w:after="40"/>
              <w:rPr/>
            </w:pPr>
            <w:r>
              <w:rPr>
                <w:b/>
                <w:color w:val="245B83"/>
                <w:sz w:val="15"/>
              </w:rPr>
              <w:t xml:space="preserve">Impact: </w:t>
            </w:r>
            <w:r>
              <w:rPr>
                <w:color w:val="263746"/>
                <w:sz w:val="15"/>
              </w:rPr>
              <w:t>Known exploitation can lead to host takeover, data theft or outage.</w:t>
            </w:r>
          </w:p>
          <w:p>
            <w:pPr>
              <w:pStyle w:val="Normal"/>
              <w:spacing w:lineRule="auto" w:line="240" w:before="0" w:after="40"/>
              <w:rPr/>
            </w:pPr>
            <w:r>
              <w:rPr>
                <w:b/>
                <w:color w:val="245B83"/>
                <w:sz w:val="15"/>
              </w:rPr>
              <w:t xml:space="preserve">Inherent score: </w:t>
            </w:r>
            <w:r>
              <w:rPr>
                <w:color w:val="263746"/>
                <w:sz w:val="15"/>
              </w:rPr>
              <w:t>4 × 5 = 20 Critical</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Maintain accurate inventory; prioritise internet-exposed and known-exploited issues; emergency patch SLA; hardening baselines; remove unused services; verify fixes with rescans and rollback plans.</w:t>
            </w:r>
          </w:p>
          <w:p>
            <w:pPr>
              <w:pStyle w:val="Normal"/>
              <w:spacing w:lineRule="auto" w:line="240" w:before="0" w:after="40"/>
              <w:rPr/>
            </w:pPr>
            <w:r>
              <w:rPr>
                <w:b/>
                <w:color w:val="245B83"/>
                <w:sz w:val="15"/>
              </w:rPr>
              <w:t xml:space="preserve">Owner: </w:t>
            </w:r>
            <w:r>
              <w:rPr>
                <w:color w:val="263746"/>
                <w:sz w:val="15"/>
              </w:rPr>
              <w:t>IT operations lead</w:t>
            </w:r>
          </w:p>
          <w:p>
            <w:pPr>
              <w:pStyle w:val="Normal"/>
              <w:spacing w:lineRule="auto" w:line="240" w:before="0" w:after="40"/>
              <w:rPr/>
            </w:pPr>
            <w:r>
              <w:rPr>
                <w:b/>
                <w:color w:val="245B83"/>
                <w:sz w:val="15"/>
              </w:rPr>
              <w:t xml:space="preserve">Target window: </w:t>
            </w:r>
            <w:r>
              <w:rPr>
                <w:color w:val="263746"/>
                <w:sz w:val="15"/>
              </w:rPr>
              <w:t>Immediate triage; 0-30 day critical fixes</w:t>
            </w:r>
          </w:p>
          <w:p>
            <w:pPr>
              <w:pStyle w:val="Normal"/>
              <w:spacing w:lineRule="auto" w:line="240" w:before="0" w:after="40"/>
              <w:rPr/>
            </w:pPr>
            <w:r>
              <w:rPr>
                <w:b/>
                <w:color w:val="245B83"/>
                <w:sz w:val="15"/>
              </w:rPr>
              <w:t xml:space="preserve">Target residual: </w:t>
            </w:r>
            <w:r>
              <w:rPr>
                <w:color w:val="263746"/>
                <w:sz w:val="15"/>
              </w:rPr>
              <w:t>2×5=10 High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R05 — Sensitive data exposure or weak key management  |  Initial: 15 High  |  Target residual: 2×5=10 High</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Sensitive data exposure or weak key management</w:t>
            </w:r>
          </w:p>
          <w:p>
            <w:pPr>
              <w:pStyle w:val="Normal"/>
              <w:spacing w:lineRule="auto" w:line="240" w:before="0" w:after="40"/>
              <w:rPr/>
            </w:pPr>
            <w:r>
              <w:rPr>
                <w:b/>
                <w:color w:val="245B83"/>
                <w:sz w:val="15"/>
              </w:rPr>
              <w:t xml:space="preserve">Impact: </w:t>
            </w:r>
            <w:r>
              <w:rPr>
                <w:color w:val="263746"/>
                <w:sz w:val="15"/>
              </w:rPr>
              <w:t>Personal identifiers and application documents exposed; privacy and trust impact.</w:t>
            </w:r>
          </w:p>
          <w:p>
            <w:pPr>
              <w:pStyle w:val="Normal"/>
              <w:spacing w:lineRule="auto" w:line="240" w:before="0" w:after="40"/>
              <w:rPr/>
            </w:pPr>
            <w:r>
              <w:rPr>
                <w:b/>
                <w:color w:val="245B83"/>
                <w:sz w:val="15"/>
              </w:rPr>
              <w:t xml:space="preserve">Inherent score: </w:t>
            </w:r>
            <w:r>
              <w:rPr>
                <w:color w:val="263746"/>
                <w:sz w:val="15"/>
              </w:rPr>
              <w:t>3 × 5 = 15 High</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Classify/minimise data; encrypt in transit and at rest; separate keys from data; managed secrets/KMS; rotate keys; mask production data in test; restrict and audit exports.</w:t>
            </w:r>
          </w:p>
          <w:p>
            <w:pPr>
              <w:pStyle w:val="Normal"/>
              <w:spacing w:lineRule="auto" w:line="240" w:before="0" w:after="40"/>
              <w:rPr/>
            </w:pPr>
            <w:r>
              <w:rPr>
                <w:b/>
                <w:color w:val="245B83"/>
                <w:sz w:val="15"/>
              </w:rPr>
              <w:t xml:space="preserve">Owner: </w:t>
            </w:r>
            <w:r>
              <w:rPr>
                <w:color w:val="263746"/>
                <w:sz w:val="15"/>
              </w:rPr>
              <w:t>Data owner + DBA</w:t>
            </w:r>
          </w:p>
          <w:p>
            <w:pPr>
              <w:pStyle w:val="Normal"/>
              <w:spacing w:lineRule="auto" w:line="240" w:before="0" w:after="40"/>
              <w:rPr/>
            </w:pPr>
            <w:r>
              <w:rPr>
                <w:b/>
                <w:color w:val="245B83"/>
                <w:sz w:val="15"/>
              </w:rPr>
              <w:t xml:space="preserve">Target window: </w:t>
            </w:r>
            <w:r>
              <w:rPr>
                <w:color w:val="263746"/>
                <w:sz w:val="15"/>
              </w:rPr>
              <w:t>31-90 days; key exposure immediately</w:t>
            </w:r>
          </w:p>
          <w:p>
            <w:pPr>
              <w:pStyle w:val="Normal"/>
              <w:spacing w:lineRule="auto" w:line="240" w:before="0" w:after="40"/>
              <w:rPr/>
            </w:pPr>
            <w:r>
              <w:rPr>
                <w:b/>
                <w:color w:val="245B83"/>
                <w:sz w:val="15"/>
              </w:rPr>
              <w:t xml:space="preserve">Target residual: </w:t>
            </w:r>
            <w:r>
              <w:rPr>
                <w:color w:val="263746"/>
                <w:sz w:val="15"/>
              </w:rPr>
              <w:t>2×5=10 High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R06 — API abuse, missing schema controls or unsafe integrations  |  Initial: 16 High  |  Target residual: 2×4=8 Moderate</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API abuse, missing schema controls or unsafe integrations</w:t>
            </w:r>
          </w:p>
          <w:p>
            <w:pPr>
              <w:pStyle w:val="Normal"/>
              <w:spacing w:lineRule="auto" w:line="240" w:before="0" w:after="40"/>
              <w:rPr/>
            </w:pPr>
            <w:r>
              <w:rPr>
                <w:b/>
                <w:color w:val="245B83"/>
                <w:sz w:val="15"/>
              </w:rPr>
              <w:t xml:space="preserve">Impact: </w:t>
            </w:r>
            <w:r>
              <w:rPr>
                <w:color w:val="263746"/>
                <w:sz w:val="15"/>
              </w:rPr>
              <w:t>Automated abuse, unauthorised calls, excess data retrieval, or fraudulent callbacks.</w:t>
            </w:r>
          </w:p>
          <w:p>
            <w:pPr>
              <w:pStyle w:val="Normal"/>
              <w:spacing w:lineRule="auto" w:line="240" w:before="0" w:after="40"/>
              <w:rPr/>
            </w:pPr>
            <w:r>
              <w:rPr>
                <w:b/>
                <w:color w:val="245B83"/>
                <w:sz w:val="15"/>
              </w:rPr>
              <w:t xml:space="preserve">Inherent score: </w:t>
            </w:r>
            <w:r>
              <w:rPr>
                <w:color w:val="263746"/>
                <w:sz w:val="15"/>
              </w:rPr>
              <w:t>4 × 4 = 16 High</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Inventory APIs; require strong service identity; validate schemas and signatures; quotas/rate limits; anti-replay controls where relevant; version and deprecate APIs; contract tests for integrations.</w:t>
            </w:r>
          </w:p>
          <w:p>
            <w:pPr>
              <w:pStyle w:val="Normal"/>
              <w:spacing w:lineRule="auto" w:line="240" w:before="0" w:after="40"/>
              <w:rPr/>
            </w:pPr>
            <w:r>
              <w:rPr>
                <w:b/>
                <w:color w:val="245B83"/>
                <w:sz w:val="15"/>
              </w:rPr>
              <w:t xml:space="preserve">Owner: </w:t>
            </w:r>
            <w:r>
              <w:rPr>
                <w:color w:val="263746"/>
                <w:sz w:val="15"/>
              </w:rPr>
              <w:t>API/platform lead</w:t>
            </w:r>
          </w:p>
          <w:p>
            <w:pPr>
              <w:pStyle w:val="Normal"/>
              <w:spacing w:lineRule="auto" w:line="240" w:before="0" w:after="40"/>
              <w:rPr/>
            </w:pPr>
            <w:r>
              <w:rPr>
                <w:b/>
                <w:color w:val="245B83"/>
                <w:sz w:val="15"/>
              </w:rPr>
              <w:t xml:space="preserve">Target window: </w:t>
            </w:r>
            <w:r>
              <w:rPr>
                <w:color w:val="263746"/>
                <w:sz w:val="15"/>
              </w:rPr>
              <w:t>0-90 days</w:t>
            </w:r>
          </w:p>
          <w:p>
            <w:pPr>
              <w:pStyle w:val="Normal"/>
              <w:spacing w:lineRule="auto" w:line="240" w:before="0" w:after="40"/>
              <w:rPr/>
            </w:pPr>
            <w:r>
              <w:rPr>
                <w:b/>
                <w:color w:val="245B83"/>
                <w:sz w:val="15"/>
              </w:rPr>
              <w:t xml:space="preserve">Target residual: </w:t>
            </w:r>
            <w:r>
              <w:rPr>
                <w:color w:val="263746"/>
                <w:sz w:val="15"/>
              </w:rPr>
              <w:t>2×4=8 Moderate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R07 — Software supply-chain / dependency compromise  |  Initial: 20 Critical  |  Target residual: 2×5=10 High</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Software supply-chain / dependency compromise</w:t>
            </w:r>
          </w:p>
          <w:p>
            <w:pPr>
              <w:pStyle w:val="Normal"/>
              <w:spacing w:lineRule="auto" w:line="240" w:before="0" w:after="40"/>
              <w:rPr/>
            </w:pPr>
            <w:r>
              <w:rPr>
                <w:b/>
                <w:color w:val="245B83"/>
                <w:sz w:val="15"/>
              </w:rPr>
              <w:t xml:space="preserve">Impact: </w:t>
            </w:r>
            <w:r>
              <w:rPr>
                <w:color w:val="263746"/>
                <w:sz w:val="15"/>
              </w:rPr>
              <w:t>A malicious or vulnerable component enters trusted code or build pipeline.</w:t>
            </w:r>
          </w:p>
          <w:p>
            <w:pPr>
              <w:pStyle w:val="Normal"/>
              <w:spacing w:lineRule="auto" w:line="240" w:before="0" w:after="40"/>
              <w:rPr/>
            </w:pPr>
            <w:r>
              <w:rPr>
                <w:b/>
                <w:color w:val="245B83"/>
                <w:sz w:val="15"/>
              </w:rPr>
              <w:t xml:space="preserve">Inherent score: </w:t>
            </w:r>
            <w:r>
              <w:rPr>
                <w:color w:val="263746"/>
                <w:sz w:val="15"/>
              </w:rPr>
              <w:t>4 × 5 = 20 Critical</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Pin and inventory dependencies; generate SBOM; scan dependencies and secrets; verify source and signed artifacts; protect CI/CD identities; require peer-reviewed releases; restrict build secrets; test rollback.</w:t>
            </w:r>
          </w:p>
          <w:p>
            <w:pPr>
              <w:pStyle w:val="Normal"/>
              <w:spacing w:lineRule="auto" w:line="240" w:before="0" w:after="40"/>
              <w:rPr/>
            </w:pPr>
            <w:r>
              <w:rPr>
                <w:b/>
                <w:color w:val="245B83"/>
                <w:sz w:val="15"/>
              </w:rPr>
              <w:t xml:space="preserve">Owner: </w:t>
            </w:r>
            <w:r>
              <w:rPr>
                <w:color w:val="263746"/>
                <w:sz w:val="15"/>
              </w:rPr>
              <w:t>Engineering lead</w:t>
            </w:r>
          </w:p>
          <w:p>
            <w:pPr>
              <w:pStyle w:val="Normal"/>
              <w:spacing w:lineRule="auto" w:line="240" w:before="0" w:after="40"/>
              <w:rPr/>
            </w:pPr>
            <w:r>
              <w:rPr>
                <w:b/>
                <w:color w:val="245B83"/>
                <w:sz w:val="15"/>
              </w:rPr>
              <w:t xml:space="preserve">Target window: </w:t>
            </w:r>
            <w:r>
              <w:rPr>
                <w:color w:val="263746"/>
                <w:sz w:val="15"/>
              </w:rPr>
              <w:t>31-90 days for visibility; ongoing per release</w:t>
            </w:r>
          </w:p>
          <w:p>
            <w:pPr>
              <w:pStyle w:val="Normal"/>
              <w:spacing w:lineRule="auto" w:line="240" w:before="0" w:after="40"/>
              <w:rPr/>
            </w:pPr>
            <w:r>
              <w:rPr>
                <w:b/>
                <w:color w:val="245B83"/>
                <w:sz w:val="15"/>
              </w:rPr>
              <w:t xml:space="preserve">Target residual: </w:t>
            </w:r>
            <w:r>
              <w:rPr>
                <w:color w:val="263746"/>
                <w:sz w:val="15"/>
              </w:rPr>
              <w:t>2×5=10 High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R08 — Ransomware or destructive malware on servers/endpoints  |  Initial: 20 Critical  |  Target residual: 2×5=10 High</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Ransomware or destructive malware on servers/endpoints</w:t>
            </w:r>
          </w:p>
          <w:p>
            <w:pPr>
              <w:pStyle w:val="Normal"/>
              <w:spacing w:lineRule="auto" w:line="240" w:before="0" w:after="40"/>
              <w:rPr/>
            </w:pPr>
            <w:r>
              <w:rPr>
                <w:b/>
                <w:color w:val="245B83"/>
                <w:sz w:val="15"/>
              </w:rPr>
              <w:t xml:space="preserve">Impact: </w:t>
            </w:r>
            <w:r>
              <w:rPr>
                <w:color w:val="263746"/>
                <w:sz w:val="15"/>
              </w:rPr>
              <w:t>Service outage, encrypted records, data theft and recovery costs.</w:t>
            </w:r>
          </w:p>
          <w:p>
            <w:pPr>
              <w:pStyle w:val="Normal"/>
              <w:spacing w:lineRule="auto" w:line="240" w:before="0" w:after="40"/>
              <w:rPr/>
            </w:pPr>
            <w:r>
              <w:rPr>
                <w:b/>
                <w:color w:val="245B83"/>
                <w:sz w:val="15"/>
              </w:rPr>
              <w:t xml:space="preserve">Inherent score: </w:t>
            </w:r>
            <w:r>
              <w:rPr>
                <w:color w:val="263746"/>
                <w:sz w:val="15"/>
              </w:rPr>
              <w:t>4 × 5 = 20 Critical</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EDR/endpoint hardening; least privilege; segmentation; patching; disable risky macros/scripts as appropriate; immutable/offline backups; test restoration; rehearse containment and recovery.</w:t>
            </w:r>
          </w:p>
          <w:p>
            <w:pPr>
              <w:pStyle w:val="Normal"/>
              <w:spacing w:lineRule="auto" w:line="240" w:before="0" w:after="40"/>
              <w:rPr/>
            </w:pPr>
            <w:r>
              <w:rPr>
                <w:b/>
                <w:color w:val="245B83"/>
                <w:sz w:val="15"/>
              </w:rPr>
              <w:t xml:space="preserve">Owner: </w:t>
            </w:r>
            <w:r>
              <w:rPr>
                <w:color w:val="263746"/>
                <w:sz w:val="15"/>
              </w:rPr>
              <w:t>CISO/security lead + IT ops</w:t>
            </w:r>
          </w:p>
          <w:p>
            <w:pPr>
              <w:pStyle w:val="Normal"/>
              <w:spacing w:lineRule="auto" w:line="240" w:before="0" w:after="40"/>
              <w:rPr/>
            </w:pPr>
            <w:r>
              <w:rPr>
                <w:b/>
                <w:color w:val="245B83"/>
                <w:sz w:val="15"/>
              </w:rPr>
              <w:t xml:space="preserve">Target window: </w:t>
            </w:r>
            <w:r>
              <w:rPr>
                <w:color w:val="263746"/>
                <w:sz w:val="15"/>
              </w:rPr>
              <w:t>0-90 days; recovery testing by month 3</w:t>
            </w:r>
          </w:p>
          <w:p>
            <w:pPr>
              <w:pStyle w:val="Normal"/>
              <w:spacing w:lineRule="auto" w:line="240" w:before="0" w:after="40"/>
              <w:rPr/>
            </w:pPr>
            <w:r>
              <w:rPr>
                <w:b/>
                <w:color w:val="245B83"/>
                <w:sz w:val="15"/>
              </w:rPr>
              <w:t xml:space="preserve">Target residual: </w:t>
            </w:r>
            <w:r>
              <w:rPr>
                <w:color w:val="263746"/>
                <w:sz w:val="15"/>
              </w:rPr>
              <w:t>2×5=10 High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R09 — Flat network or exposed management interface  |  Initial: 15 High  |  Target residual: 2×5=10 High</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Flat network or exposed management interface</w:t>
            </w:r>
          </w:p>
          <w:p>
            <w:pPr>
              <w:pStyle w:val="Normal"/>
              <w:spacing w:lineRule="auto" w:line="240" w:before="0" w:after="40"/>
              <w:rPr/>
            </w:pPr>
            <w:r>
              <w:rPr>
                <w:b/>
                <w:color w:val="245B83"/>
                <w:sz w:val="15"/>
              </w:rPr>
              <w:t xml:space="preserve">Impact: </w:t>
            </w:r>
            <w:r>
              <w:rPr>
                <w:color w:val="263746"/>
                <w:sz w:val="15"/>
              </w:rPr>
              <w:t>Compromise of one host spreads to databases or management services.</w:t>
            </w:r>
          </w:p>
          <w:p>
            <w:pPr>
              <w:pStyle w:val="Normal"/>
              <w:spacing w:lineRule="auto" w:line="240" w:before="0" w:after="40"/>
              <w:rPr/>
            </w:pPr>
            <w:r>
              <w:rPr>
                <w:b/>
                <w:color w:val="245B83"/>
                <w:sz w:val="15"/>
              </w:rPr>
              <w:t xml:space="preserve">Inherent score: </w:t>
            </w:r>
            <w:r>
              <w:rPr>
                <w:color w:val="263746"/>
                <w:sz w:val="15"/>
              </w:rPr>
              <w:t>3 × 5 = 15 High</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Separate public, app, data, admin and backup zones; deny-by-default east-west rules; admin access through controlled jump host/VPN; MFA/PAM; restrict management ports and continuously review rules.</w:t>
            </w:r>
          </w:p>
          <w:p>
            <w:pPr>
              <w:pStyle w:val="Normal"/>
              <w:spacing w:lineRule="auto" w:line="240" w:before="0" w:after="40"/>
              <w:rPr/>
            </w:pPr>
            <w:r>
              <w:rPr>
                <w:b/>
                <w:color w:val="245B83"/>
                <w:sz w:val="15"/>
              </w:rPr>
              <w:t xml:space="preserve">Owner: </w:t>
            </w:r>
            <w:r>
              <w:rPr>
                <w:color w:val="263746"/>
                <w:sz w:val="15"/>
              </w:rPr>
              <w:t>Network lead</w:t>
            </w:r>
          </w:p>
          <w:p>
            <w:pPr>
              <w:pStyle w:val="Normal"/>
              <w:spacing w:lineRule="auto" w:line="240" w:before="0" w:after="40"/>
              <w:rPr/>
            </w:pPr>
            <w:r>
              <w:rPr>
                <w:b/>
                <w:color w:val="245B83"/>
                <w:sz w:val="15"/>
              </w:rPr>
              <w:t xml:space="preserve">Target window: </w:t>
            </w:r>
            <w:r>
              <w:rPr>
                <w:color w:val="263746"/>
                <w:sz w:val="15"/>
              </w:rPr>
              <w:t>0-90 days</w:t>
            </w:r>
          </w:p>
          <w:p>
            <w:pPr>
              <w:pStyle w:val="Normal"/>
              <w:spacing w:lineRule="auto" w:line="240" w:before="0" w:after="40"/>
              <w:rPr/>
            </w:pPr>
            <w:r>
              <w:rPr>
                <w:b/>
                <w:color w:val="245B83"/>
                <w:sz w:val="15"/>
              </w:rPr>
              <w:t xml:space="preserve">Target residual: </w:t>
            </w:r>
            <w:r>
              <w:rPr>
                <w:color w:val="263746"/>
                <w:sz w:val="15"/>
              </w:rPr>
              <w:t>2×5=10 High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R10 — Backups or disaster recovery are incomplete or untested  |  Initial: 15 High  |  Target residual: 2×4=8 Moderate</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Backups or disaster recovery are incomplete or untested</w:t>
            </w:r>
          </w:p>
          <w:p>
            <w:pPr>
              <w:pStyle w:val="Normal"/>
              <w:spacing w:lineRule="auto" w:line="240" w:before="0" w:after="40"/>
              <w:rPr/>
            </w:pPr>
            <w:r>
              <w:rPr>
                <w:b/>
                <w:color w:val="245B83"/>
                <w:sz w:val="15"/>
              </w:rPr>
              <w:t xml:space="preserve">Impact: </w:t>
            </w:r>
            <w:r>
              <w:rPr>
                <w:color w:val="263746"/>
                <w:sz w:val="15"/>
              </w:rPr>
              <w:t>After ransomware, corruption or provider outage, essential records and services cannot be restored on time.</w:t>
            </w:r>
          </w:p>
          <w:p>
            <w:pPr>
              <w:pStyle w:val="Normal"/>
              <w:spacing w:lineRule="auto" w:line="240" w:before="0" w:after="40"/>
              <w:rPr/>
            </w:pPr>
            <w:r>
              <w:rPr>
                <w:b/>
                <w:color w:val="245B83"/>
                <w:sz w:val="15"/>
              </w:rPr>
              <w:t xml:space="preserve">Inherent score: </w:t>
            </w:r>
            <w:r>
              <w:rPr>
                <w:color w:val="263746"/>
                <w:sz w:val="15"/>
              </w:rPr>
              <w:t>3 × 5 = 15 High</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Define RTO/RPO with service owners; maintain isolated immutable backup; encrypt and monitor backups; cover databases, keys, configuration and documents; conduct restore tests and DR exercises.</w:t>
            </w:r>
          </w:p>
          <w:p>
            <w:pPr>
              <w:pStyle w:val="Normal"/>
              <w:spacing w:lineRule="auto" w:line="240" w:before="0" w:after="40"/>
              <w:rPr/>
            </w:pPr>
            <w:r>
              <w:rPr>
                <w:b/>
                <w:color w:val="245B83"/>
                <w:sz w:val="15"/>
              </w:rPr>
              <w:t xml:space="preserve">Owner: </w:t>
            </w:r>
            <w:r>
              <w:rPr>
                <w:color w:val="263746"/>
                <w:sz w:val="15"/>
              </w:rPr>
              <w:t>Service owner + DR lead</w:t>
            </w:r>
          </w:p>
          <w:p>
            <w:pPr>
              <w:pStyle w:val="Normal"/>
              <w:spacing w:lineRule="auto" w:line="240" w:before="0" w:after="40"/>
              <w:rPr/>
            </w:pPr>
            <w:r>
              <w:rPr>
                <w:b/>
                <w:color w:val="245B83"/>
                <w:sz w:val="15"/>
              </w:rPr>
              <w:t xml:space="preserve">Target window: </w:t>
            </w:r>
            <w:r>
              <w:rPr>
                <w:color w:val="263746"/>
                <w:sz w:val="15"/>
              </w:rPr>
              <w:t>Backup coverage 0-30 days; exercise by month 3</w:t>
            </w:r>
          </w:p>
          <w:p>
            <w:pPr>
              <w:pStyle w:val="Normal"/>
              <w:spacing w:lineRule="auto" w:line="240" w:before="0" w:after="40"/>
              <w:rPr/>
            </w:pPr>
            <w:r>
              <w:rPr>
                <w:b/>
                <w:color w:val="245B83"/>
                <w:sz w:val="15"/>
              </w:rPr>
              <w:t xml:space="preserve">Target residual: </w:t>
            </w:r>
            <w:r>
              <w:rPr>
                <w:color w:val="263746"/>
                <w:sz w:val="15"/>
              </w:rPr>
              <w:t>2×4=8 Moderate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R11 — Insufficient logging, alerting or time synchronisation  |  Initial: 16 High  |  Target residual: 2×4=8 Moderate</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Insufficient logging, alerting or time synchronisation</w:t>
            </w:r>
          </w:p>
          <w:p>
            <w:pPr>
              <w:pStyle w:val="Normal"/>
              <w:spacing w:lineRule="auto" w:line="240" w:before="0" w:after="40"/>
              <w:rPr/>
            </w:pPr>
            <w:r>
              <w:rPr>
                <w:b/>
                <w:color w:val="245B83"/>
                <w:sz w:val="15"/>
              </w:rPr>
              <w:t xml:space="preserve">Impact: </w:t>
            </w:r>
            <w:r>
              <w:rPr>
                <w:color w:val="263746"/>
                <w:sz w:val="15"/>
              </w:rPr>
              <w:t>Intrusion remains undetected; investigation and required reporting are delayed.</w:t>
            </w:r>
          </w:p>
          <w:p>
            <w:pPr>
              <w:pStyle w:val="Normal"/>
              <w:spacing w:lineRule="auto" w:line="240" w:before="0" w:after="40"/>
              <w:rPr/>
            </w:pPr>
            <w:r>
              <w:rPr>
                <w:b/>
                <w:color w:val="245B83"/>
                <w:sz w:val="15"/>
              </w:rPr>
              <w:t xml:space="preserve">Inherent score: </w:t>
            </w:r>
            <w:r>
              <w:rPr>
                <w:color w:val="263746"/>
                <w:sz w:val="15"/>
              </w:rPr>
              <w:t>4 × 4 = 16 High</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Centralise identity, application, OS, DB, network and cloud logs; synchronise time; protect logs from tampering; define detections and escalation; test alert delivery; retain evidence per applicable policy/direction.</w:t>
            </w:r>
          </w:p>
          <w:p>
            <w:pPr>
              <w:pStyle w:val="Normal"/>
              <w:spacing w:lineRule="auto" w:line="240" w:before="0" w:after="40"/>
              <w:rPr/>
            </w:pPr>
            <w:r>
              <w:rPr>
                <w:b/>
                <w:color w:val="245B83"/>
                <w:sz w:val="15"/>
              </w:rPr>
              <w:t xml:space="preserve">Owner: </w:t>
            </w:r>
            <w:r>
              <w:rPr>
                <w:color w:val="263746"/>
                <w:sz w:val="15"/>
              </w:rPr>
              <w:t>SOC/security operations</w:t>
            </w:r>
          </w:p>
          <w:p>
            <w:pPr>
              <w:pStyle w:val="Normal"/>
              <w:spacing w:lineRule="auto" w:line="240" w:before="0" w:after="40"/>
              <w:rPr/>
            </w:pPr>
            <w:r>
              <w:rPr>
                <w:b/>
                <w:color w:val="245B83"/>
                <w:sz w:val="15"/>
              </w:rPr>
              <w:t xml:space="preserve">Target window: </w:t>
            </w:r>
            <w:r>
              <w:rPr>
                <w:color w:val="263746"/>
                <w:sz w:val="15"/>
              </w:rPr>
              <w:t>0-90 days</w:t>
            </w:r>
          </w:p>
          <w:p>
            <w:pPr>
              <w:pStyle w:val="Normal"/>
              <w:spacing w:lineRule="auto" w:line="240" w:before="0" w:after="40"/>
              <w:rPr/>
            </w:pPr>
            <w:r>
              <w:rPr>
                <w:b/>
                <w:color w:val="245B83"/>
                <w:sz w:val="15"/>
              </w:rPr>
              <w:t xml:space="preserve">Target residual: </w:t>
            </w:r>
            <w:r>
              <w:rPr>
                <w:color w:val="263746"/>
                <w:sz w:val="15"/>
              </w:rPr>
              <w:t>2×4=8 Moderate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R12 — Denial-of-service or resource-exhaustion attack  |  Initial: 15 High  |  Target residual: 2×4=8 Moderate</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Denial-of-service or resource-exhaustion attack</w:t>
            </w:r>
          </w:p>
          <w:p>
            <w:pPr>
              <w:pStyle w:val="Normal"/>
              <w:spacing w:lineRule="auto" w:line="240" w:before="0" w:after="40"/>
              <w:rPr/>
            </w:pPr>
            <w:r>
              <w:rPr>
                <w:b/>
                <w:color w:val="245B83"/>
                <w:sz w:val="15"/>
              </w:rPr>
              <w:t xml:space="preserve">Impact: </w:t>
            </w:r>
            <w:r>
              <w:rPr>
                <w:color w:val="263746"/>
                <w:sz w:val="15"/>
              </w:rPr>
              <w:t>Citizens cannot use services during deadlines; queues/backlogs increase.</w:t>
            </w:r>
          </w:p>
          <w:p>
            <w:pPr>
              <w:pStyle w:val="Normal"/>
              <w:spacing w:lineRule="auto" w:line="240" w:before="0" w:after="40"/>
              <w:rPr/>
            </w:pPr>
            <w:r>
              <w:rPr>
                <w:b/>
                <w:color w:val="245B83"/>
                <w:sz w:val="15"/>
              </w:rPr>
              <w:t xml:space="preserve">Inherent score: </w:t>
            </w:r>
            <w:r>
              <w:rPr>
                <w:color w:val="263746"/>
                <w:sz w:val="15"/>
              </w:rPr>
              <w:t>3 × 5 = 15 High</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Use upstream DDoS protection, WAF/rate limits, caching, quotas, autoscaling with guardrails, graceful degradation, load tests, dependency timeout/circuit breakers and a communications plan.</w:t>
            </w:r>
          </w:p>
          <w:p>
            <w:pPr>
              <w:pStyle w:val="Normal"/>
              <w:spacing w:lineRule="auto" w:line="240" w:before="0" w:after="40"/>
              <w:rPr/>
            </w:pPr>
            <w:r>
              <w:rPr>
                <w:b/>
                <w:color w:val="245B83"/>
                <w:sz w:val="15"/>
              </w:rPr>
              <w:t xml:space="preserve">Owner: </w:t>
            </w:r>
            <w:r>
              <w:rPr>
                <w:color w:val="263746"/>
                <w:sz w:val="15"/>
              </w:rPr>
              <w:t>Platform lead</w:t>
            </w:r>
          </w:p>
          <w:p>
            <w:pPr>
              <w:pStyle w:val="Normal"/>
              <w:spacing w:lineRule="auto" w:line="240" w:before="0" w:after="40"/>
              <w:rPr/>
            </w:pPr>
            <w:r>
              <w:rPr>
                <w:b/>
                <w:color w:val="245B83"/>
                <w:sz w:val="15"/>
              </w:rPr>
              <w:t xml:space="preserve">Target window: </w:t>
            </w:r>
            <w:r>
              <w:rPr>
                <w:color w:val="263746"/>
                <w:sz w:val="15"/>
              </w:rPr>
              <w:t>0-90 days for critical service protections</w:t>
            </w:r>
          </w:p>
          <w:p>
            <w:pPr>
              <w:pStyle w:val="Normal"/>
              <w:spacing w:lineRule="auto" w:line="240" w:before="0" w:after="40"/>
              <w:rPr/>
            </w:pPr>
            <w:r>
              <w:rPr>
                <w:b/>
                <w:color w:val="245B83"/>
                <w:sz w:val="15"/>
              </w:rPr>
              <w:t xml:space="preserve">Target residual: </w:t>
            </w:r>
            <w:r>
              <w:rPr>
                <w:color w:val="263746"/>
                <w:sz w:val="15"/>
              </w:rPr>
              <w:t>2×4=8 Moderate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R13 — Cloud storage or cloud IAM misconfiguration  |  Initial: 15 High  |  Target residual: 1×5=5 Moderate</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Cloud storage or cloud IAM misconfiguration</w:t>
            </w:r>
          </w:p>
          <w:p>
            <w:pPr>
              <w:pStyle w:val="Normal"/>
              <w:spacing w:lineRule="auto" w:line="240" w:before="0" w:after="40"/>
              <w:rPr/>
            </w:pPr>
            <w:r>
              <w:rPr>
                <w:b/>
                <w:color w:val="245B83"/>
                <w:sz w:val="15"/>
              </w:rPr>
              <w:t xml:space="preserve">Impact: </w:t>
            </w:r>
            <w:r>
              <w:rPr>
                <w:color w:val="263746"/>
                <w:sz w:val="15"/>
              </w:rPr>
              <w:t>Public exposure of documents, overprivileged cloud identities, or unauthorised changes.</w:t>
            </w:r>
          </w:p>
          <w:p>
            <w:pPr>
              <w:pStyle w:val="Normal"/>
              <w:spacing w:lineRule="auto" w:line="240" w:before="0" w:after="40"/>
              <w:rPr/>
            </w:pPr>
            <w:r>
              <w:rPr>
                <w:b/>
                <w:color w:val="245B83"/>
                <w:sz w:val="15"/>
              </w:rPr>
              <w:t xml:space="preserve">Inherent score: </w:t>
            </w:r>
            <w:r>
              <w:rPr>
                <w:color w:val="263746"/>
                <w:sz w:val="15"/>
              </w:rPr>
              <w:t>3 × 5 = 15 High</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Use approved landing-zone templates; block public access by default; least-privilege IAM; CSPM/configuration checks; secret manager; encryption; alert on risky policy changes; periodic access review.</w:t>
            </w:r>
          </w:p>
          <w:p>
            <w:pPr>
              <w:pStyle w:val="Normal"/>
              <w:spacing w:lineRule="auto" w:line="240" w:before="0" w:after="40"/>
              <w:rPr/>
            </w:pPr>
            <w:r>
              <w:rPr>
                <w:b/>
                <w:color w:val="245B83"/>
                <w:sz w:val="15"/>
              </w:rPr>
              <w:t xml:space="preserve">Owner: </w:t>
            </w:r>
            <w:r>
              <w:rPr>
                <w:color w:val="263746"/>
                <w:sz w:val="15"/>
              </w:rPr>
              <w:t>Cloud/platform lead</w:t>
            </w:r>
          </w:p>
          <w:p>
            <w:pPr>
              <w:pStyle w:val="Normal"/>
              <w:spacing w:lineRule="auto" w:line="240" w:before="0" w:after="40"/>
              <w:rPr/>
            </w:pPr>
            <w:r>
              <w:rPr>
                <w:b/>
                <w:color w:val="245B83"/>
                <w:sz w:val="15"/>
              </w:rPr>
              <w:t xml:space="preserve">Target window: </w:t>
            </w:r>
            <w:r>
              <w:rPr>
                <w:color w:val="263746"/>
                <w:sz w:val="15"/>
              </w:rPr>
              <w:t>0-60 days</w:t>
            </w:r>
          </w:p>
          <w:p>
            <w:pPr>
              <w:pStyle w:val="Normal"/>
              <w:spacing w:lineRule="auto" w:line="240" w:before="0" w:after="40"/>
              <w:rPr/>
            </w:pPr>
            <w:r>
              <w:rPr>
                <w:b/>
                <w:color w:val="245B83"/>
                <w:sz w:val="15"/>
              </w:rPr>
              <w:t xml:space="preserve">Target residual: </w:t>
            </w:r>
            <w:r>
              <w:rPr>
                <w:color w:val="263746"/>
                <w:sz w:val="15"/>
              </w:rPr>
              <w:t>1×5=5 Moderate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R14 — Third-party provider or integration compromise  |  Initial: 15 High  |  Target residual: 2×4=8 Moderate</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Third-party provider or integration compromise</w:t>
            </w:r>
          </w:p>
          <w:p>
            <w:pPr>
              <w:pStyle w:val="Normal"/>
              <w:spacing w:lineRule="auto" w:line="240" w:before="0" w:after="40"/>
              <w:rPr/>
            </w:pPr>
            <w:r>
              <w:rPr>
                <w:b/>
                <w:color w:val="245B83"/>
                <w:sz w:val="15"/>
              </w:rPr>
              <w:t xml:space="preserve">Impact: </w:t>
            </w:r>
            <w:r>
              <w:rPr>
                <w:color w:val="263746"/>
                <w:sz w:val="15"/>
              </w:rPr>
              <w:t>A supplier breach propagates through API credentials, software, or support access.</w:t>
            </w:r>
          </w:p>
          <w:p>
            <w:pPr>
              <w:pStyle w:val="Normal"/>
              <w:spacing w:lineRule="auto" w:line="240" w:before="0" w:after="40"/>
              <w:rPr/>
            </w:pPr>
            <w:r>
              <w:rPr>
                <w:b/>
                <w:color w:val="245B83"/>
                <w:sz w:val="15"/>
              </w:rPr>
              <w:t xml:space="preserve">Inherent score: </w:t>
            </w:r>
            <w:r>
              <w:rPr>
                <w:color w:val="263746"/>
                <w:sz w:val="15"/>
              </w:rPr>
              <w:t>3 × 5 = 15 High</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Maintain supplier inventory and criticality tiers; security clauses and incident notification; scoped credentials; time-bound vendor access; independent assurance; review subcontractors; test revocation and continuity options.</w:t>
            </w:r>
          </w:p>
          <w:p>
            <w:pPr>
              <w:pStyle w:val="Normal"/>
              <w:spacing w:lineRule="auto" w:line="240" w:before="0" w:after="40"/>
              <w:rPr/>
            </w:pPr>
            <w:r>
              <w:rPr>
                <w:b/>
                <w:color w:val="245B83"/>
                <w:sz w:val="15"/>
              </w:rPr>
              <w:t xml:space="preserve">Owner: </w:t>
            </w:r>
            <w:r>
              <w:rPr>
                <w:color w:val="263746"/>
                <w:sz w:val="15"/>
              </w:rPr>
              <w:t>Procurement + service owner</w:t>
            </w:r>
          </w:p>
          <w:p>
            <w:pPr>
              <w:pStyle w:val="Normal"/>
              <w:spacing w:lineRule="auto" w:line="240" w:before="0" w:after="40"/>
              <w:rPr/>
            </w:pPr>
            <w:r>
              <w:rPr>
                <w:b/>
                <w:color w:val="245B83"/>
                <w:sz w:val="15"/>
              </w:rPr>
              <w:t xml:space="preserve">Target window: </w:t>
            </w:r>
            <w:r>
              <w:rPr>
                <w:color w:val="263746"/>
                <w:sz w:val="15"/>
              </w:rPr>
              <w:t>0-90 days for critical suppliers</w:t>
            </w:r>
          </w:p>
          <w:p>
            <w:pPr>
              <w:pStyle w:val="Normal"/>
              <w:spacing w:lineRule="auto" w:line="240" w:before="0" w:after="40"/>
              <w:rPr/>
            </w:pPr>
            <w:r>
              <w:rPr>
                <w:b/>
                <w:color w:val="245B83"/>
                <w:sz w:val="15"/>
              </w:rPr>
              <w:t xml:space="preserve">Target residual: </w:t>
            </w:r>
            <w:r>
              <w:rPr>
                <w:color w:val="263746"/>
                <w:sz w:val="15"/>
              </w:rPr>
              <w:t>2×4=8 Moderate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R15 — Phishing, help-desk social engineering or user error  |  Initial: 16 High  |  Target residual: 2×4=8 Moderate</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Phishing, help-desk social engineering or user error</w:t>
            </w:r>
          </w:p>
          <w:p>
            <w:pPr>
              <w:pStyle w:val="Normal"/>
              <w:spacing w:lineRule="auto" w:line="240" w:before="0" w:after="40"/>
              <w:rPr/>
            </w:pPr>
            <w:r>
              <w:rPr>
                <w:b/>
                <w:color w:val="245B83"/>
                <w:sz w:val="15"/>
              </w:rPr>
              <w:t xml:space="preserve">Impact: </w:t>
            </w:r>
            <w:r>
              <w:rPr>
                <w:color w:val="263746"/>
                <w:sz w:val="15"/>
              </w:rPr>
              <w:t>Credentials are disclosed, fraudulent resets occur, or a malicious attachment is executed.</w:t>
            </w:r>
          </w:p>
          <w:p>
            <w:pPr>
              <w:pStyle w:val="Normal"/>
              <w:spacing w:lineRule="auto" w:line="240" w:before="0" w:after="40"/>
              <w:rPr/>
            </w:pPr>
            <w:r>
              <w:rPr>
                <w:b/>
                <w:color w:val="245B83"/>
                <w:sz w:val="15"/>
              </w:rPr>
              <w:t xml:space="preserve">Inherent score: </w:t>
            </w:r>
            <w:r>
              <w:rPr>
                <w:color w:val="263746"/>
                <w:sz w:val="15"/>
              </w:rPr>
              <w:t>4 × 4 = 16 High</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Role-based awareness with simulations; verify high-risk account changes out of band; help-desk identity proofing; phishing-resistant MFA for admins; easy reporting; no-blame rapid escalation process.</w:t>
            </w:r>
          </w:p>
          <w:p>
            <w:pPr>
              <w:pStyle w:val="Normal"/>
              <w:spacing w:lineRule="auto" w:line="240" w:before="0" w:after="40"/>
              <w:rPr/>
            </w:pPr>
            <w:r>
              <w:rPr>
                <w:b/>
                <w:color w:val="245B83"/>
                <w:sz w:val="15"/>
              </w:rPr>
              <w:t xml:space="preserve">Owner: </w:t>
            </w:r>
            <w:r>
              <w:rPr>
                <w:color w:val="263746"/>
                <w:sz w:val="15"/>
              </w:rPr>
              <w:t>HR + IAM + service desk</w:t>
            </w:r>
          </w:p>
          <w:p>
            <w:pPr>
              <w:pStyle w:val="Normal"/>
              <w:spacing w:lineRule="auto" w:line="240" w:before="0" w:after="40"/>
              <w:rPr/>
            </w:pPr>
            <w:r>
              <w:rPr>
                <w:b/>
                <w:color w:val="245B83"/>
                <w:sz w:val="15"/>
              </w:rPr>
              <w:t xml:space="preserve">Target window: </w:t>
            </w:r>
            <w:r>
              <w:rPr>
                <w:color w:val="263746"/>
                <w:sz w:val="15"/>
              </w:rPr>
              <w:t>Start within 30 days; quarterly refresh</w:t>
            </w:r>
          </w:p>
          <w:p>
            <w:pPr>
              <w:pStyle w:val="Normal"/>
              <w:spacing w:lineRule="auto" w:line="240" w:before="0" w:after="40"/>
              <w:rPr/>
            </w:pPr>
            <w:r>
              <w:rPr>
                <w:b/>
                <w:color w:val="245B83"/>
                <w:sz w:val="15"/>
              </w:rPr>
              <w:t xml:space="preserve">Target residual: </w:t>
            </w:r>
            <w:r>
              <w:rPr>
                <w:color w:val="263746"/>
                <w:sz w:val="15"/>
              </w:rPr>
              <w:t>2×4=8 Moderate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R16 — Insider misuse or excessive standing privileges  |  Initial: 15 High  |  Target residual: 2×4=8 Moderate</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Insider misuse or excessive standing privileges</w:t>
            </w:r>
          </w:p>
          <w:p>
            <w:pPr>
              <w:pStyle w:val="Normal"/>
              <w:spacing w:lineRule="auto" w:line="240" w:before="0" w:after="40"/>
              <w:rPr/>
            </w:pPr>
            <w:r>
              <w:rPr>
                <w:b/>
                <w:color w:val="245B83"/>
                <w:sz w:val="15"/>
              </w:rPr>
              <w:t xml:space="preserve">Impact: </w:t>
            </w:r>
            <w:r>
              <w:rPr>
                <w:color w:val="263746"/>
                <w:sz w:val="15"/>
              </w:rPr>
              <w:t>Sensitive records are browsed/exported or services are altered without legitimate need.</w:t>
            </w:r>
          </w:p>
          <w:p>
            <w:pPr>
              <w:pStyle w:val="Normal"/>
              <w:spacing w:lineRule="auto" w:line="240" w:before="0" w:after="40"/>
              <w:rPr/>
            </w:pPr>
            <w:r>
              <w:rPr>
                <w:b/>
                <w:color w:val="245B83"/>
                <w:sz w:val="15"/>
              </w:rPr>
              <w:t xml:space="preserve">Inherent score: </w:t>
            </w:r>
            <w:r>
              <w:rPr>
                <w:color w:val="263746"/>
                <w:sz w:val="15"/>
              </w:rPr>
              <w:t>3 × 5 = 15 High</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Enforce least privilege and separation of duties; use just-in-time privileged access; log/admin session review; periodic recertification; dual approval for bulk export and critical changes; clear disciplinary and reporting process.</w:t>
            </w:r>
          </w:p>
          <w:p>
            <w:pPr>
              <w:pStyle w:val="Normal"/>
              <w:spacing w:lineRule="auto" w:line="240" w:before="0" w:after="40"/>
              <w:rPr/>
            </w:pPr>
            <w:r>
              <w:rPr>
                <w:b/>
                <w:color w:val="245B83"/>
                <w:sz w:val="15"/>
              </w:rPr>
              <w:t xml:space="preserve">Owner: </w:t>
            </w:r>
            <w:r>
              <w:rPr>
                <w:color w:val="263746"/>
                <w:sz w:val="15"/>
              </w:rPr>
              <w:t>Data owner + IAM lead</w:t>
            </w:r>
          </w:p>
          <w:p>
            <w:pPr>
              <w:pStyle w:val="Normal"/>
              <w:spacing w:lineRule="auto" w:line="240" w:before="0" w:after="40"/>
              <w:rPr/>
            </w:pPr>
            <w:r>
              <w:rPr>
                <w:b/>
                <w:color w:val="245B83"/>
                <w:sz w:val="15"/>
              </w:rPr>
              <w:t xml:space="preserve">Target window: </w:t>
            </w:r>
            <w:r>
              <w:rPr>
                <w:color w:val="263746"/>
                <w:sz w:val="15"/>
              </w:rPr>
              <w:t>0-90 days</w:t>
            </w:r>
          </w:p>
          <w:p>
            <w:pPr>
              <w:pStyle w:val="Normal"/>
              <w:spacing w:lineRule="auto" w:line="240" w:before="0" w:after="40"/>
              <w:rPr/>
            </w:pPr>
            <w:r>
              <w:rPr>
                <w:b/>
                <w:color w:val="245B83"/>
                <w:sz w:val="15"/>
              </w:rPr>
              <w:t xml:space="preserve">Target residual: </w:t>
            </w:r>
            <w:r>
              <w:rPr>
                <w:color w:val="263746"/>
                <w:sz w:val="15"/>
              </w:rPr>
              <w:t>2×4=8 Moderate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R17 — Weak TLS, certificate, DNS or domain protection  |  Initial: 8 Moderate  |  Target residual: 1×4=4 Low</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Weak TLS, certificate, DNS or domain protection</w:t>
            </w:r>
          </w:p>
          <w:p>
            <w:pPr>
              <w:pStyle w:val="Normal"/>
              <w:spacing w:lineRule="auto" w:line="240" w:before="0" w:after="40"/>
              <w:rPr/>
            </w:pPr>
            <w:r>
              <w:rPr>
                <w:b/>
                <w:color w:val="245B83"/>
                <w:sz w:val="15"/>
              </w:rPr>
              <w:t xml:space="preserve">Impact: </w:t>
            </w:r>
            <w:r>
              <w:rPr>
                <w:color w:val="263746"/>
                <w:sz w:val="15"/>
              </w:rPr>
              <w:t>Traffic interception, service impersonation, expiry outage or redirection to fraudulent sites.</w:t>
            </w:r>
          </w:p>
          <w:p>
            <w:pPr>
              <w:pStyle w:val="Normal"/>
              <w:spacing w:lineRule="auto" w:line="240" w:before="0" w:after="40"/>
              <w:rPr/>
            </w:pPr>
            <w:r>
              <w:rPr>
                <w:b/>
                <w:color w:val="245B83"/>
                <w:sz w:val="15"/>
              </w:rPr>
              <w:t xml:space="preserve">Inherent score: </w:t>
            </w:r>
            <w:r>
              <w:rPr>
                <w:color w:val="263746"/>
                <w:sz w:val="15"/>
              </w:rPr>
              <w:t>2 × 4 = 8 Moderate</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Use current approved TLS configuration; automate certificate renewal and expiry alerts; protect registrar/DNS accounts with MFA and change controls; monitor DNS changes; remove deprecated protocols.</w:t>
            </w:r>
          </w:p>
          <w:p>
            <w:pPr>
              <w:pStyle w:val="Normal"/>
              <w:spacing w:lineRule="auto" w:line="240" w:before="0" w:after="40"/>
              <w:rPr/>
            </w:pPr>
            <w:r>
              <w:rPr>
                <w:b/>
                <w:color w:val="245B83"/>
                <w:sz w:val="15"/>
              </w:rPr>
              <w:t xml:space="preserve">Owner: </w:t>
            </w:r>
            <w:r>
              <w:rPr>
                <w:color w:val="263746"/>
                <w:sz w:val="15"/>
              </w:rPr>
              <w:t>Network/platform lead</w:t>
            </w:r>
          </w:p>
          <w:p>
            <w:pPr>
              <w:pStyle w:val="Normal"/>
              <w:spacing w:lineRule="auto" w:line="240" w:before="0" w:after="40"/>
              <w:rPr/>
            </w:pPr>
            <w:r>
              <w:rPr>
                <w:b/>
                <w:color w:val="245B83"/>
                <w:sz w:val="15"/>
              </w:rPr>
              <w:t xml:space="preserve">Target window: </w:t>
            </w:r>
            <w:r>
              <w:rPr>
                <w:color w:val="263746"/>
                <w:sz w:val="15"/>
              </w:rPr>
              <w:t>31-90 days</w:t>
            </w:r>
          </w:p>
          <w:p>
            <w:pPr>
              <w:pStyle w:val="Normal"/>
              <w:spacing w:lineRule="auto" w:line="240" w:before="0" w:after="40"/>
              <w:rPr/>
            </w:pPr>
            <w:r>
              <w:rPr>
                <w:b/>
                <w:color w:val="245B83"/>
                <w:sz w:val="15"/>
              </w:rPr>
              <w:t xml:space="preserve">Target residual: </w:t>
            </w:r>
            <w:r>
              <w:rPr>
                <w:color w:val="263746"/>
                <w:sz w:val="15"/>
              </w:rPr>
              <w:t>1×4=4 Low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R18 — Unsafe document upload or file processing  |  Initial: 12 High  |  Target residual: 2×4=8 Moderate</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Unsafe document upload or file processing</w:t>
            </w:r>
          </w:p>
          <w:p>
            <w:pPr>
              <w:pStyle w:val="Normal"/>
              <w:spacing w:lineRule="auto" w:line="240" w:before="0" w:after="40"/>
              <w:rPr/>
            </w:pPr>
            <w:r>
              <w:rPr>
                <w:b/>
                <w:color w:val="245B83"/>
                <w:sz w:val="15"/>
              </w:rPr>
              <w:t xml:space="preserve">Impact: </w:t>
            </w:r>
            <w:r>
              <w:rPr>
                <w:color w:val="263746"/>
                <w:sz w:val="15"/>
              </w:rPr>
              <w:t>Malicious files reach staff endpoints, exploit parsers, or expose stored documents.</w:t>
            </w:r>
          </w:p>
          <w:p>
            <w:pPr>
              <w:pStyle w:val="Normal"/>
              <w:spacing w:lineRule="auto" w:line="240" w:before="0" w:after="40"/>
              <w:rPr/>
            </w:pPr>
            <w:r>
              <w:rPr>
                <w:b/>
                <w:color w:val="245B83"/>
                <w:sz w:val="15"/>
              </w:rPr>
              <w:t xml:space="preserve">Inherent score: </w:t>
            </w:r>
            <w:r>
              <w:rPr>
                <w:color w:val="263746"/>
                <w:sz w:val="15"/>
              </w:rPr>
              <w:t>3 × 4 = 12 High</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Allowlist necessary file types; verify content server-side; limit size; rename files; store outside webroot; scan/quarantine uploads; use sandboxed parsing and least-privilege workers; use short-lived authorised downloads.</w:t>
            </w:r>
          </w:p>
          <w:p>
            <w:pPr>
              <w:pStyle w:val="Normal"/>
              <w:spacing w:lineRule="auto" w:line="240" w:before="0" w:after="40"/>
              <w:rPr/>
            </w:pPr>
            <w:r>
              <w:rPr>
                <w:b/>
                <w:color w:val="245B83"/>
                <w:sz w:val="15"/>
              </w:rPr>
              <w:t xml:space="preserve">Owner: </w:t>
            </w:r>
            <w:r>
              <w:rPr>
                <w:color w:val="263746"/>
                <w:sz w:val="15"/>
              </w:rPr>
              <w:t>Application + operations</w:t>
            </w:r>
          </w:p>
          <w:p>
            <w:pPr>
              <w:pStyle w:val="Normal"/>
              <w:spacing w:lineRule="auto" w:line="240" w:before="0" w:after="40"/>
              <w:rPr/>
            </w:pPr>
            <w:r>
              <w:rPr>
                <w:b/>
                <w:color w:val="245B83"/>
                <w:sz w:val="15"/>
              </w:rPr>
              <w:t xml:space="preserve">Target window: </w:t>
            </w:r>
            <w:r>
              <w:rPr>
                <w:color w:val="263746"/>
                <w:sz w:val="15"/>
              </w:rPr>
              <w:t>31-90 days</w:t>
            </w:r>
          </w:p>
          <w:p>
            <w:pPr>
              <w:pStyle w:val="Normal"/>
              <w:spacing w:lineRule="auto" w:line="240" w:before="0" w:after="40"/>
              <w:rPr/>
            </w:pPr>
            <w:r>
              <w:rPr>
                <w:b/>
                <w:color w:val="245B83"/>
                <w:sz w:val="15"/>
              </w:rPr>
              <w:t xml:space="preserve">Target residual: </w:t>
            </w:r>
            <w:r>
              <w:rPr>
                <w:color w:val="263746"/>
                <w:sz w:val="15"/>
              </w:rPr>
              <w:t>2×4=8 Moderate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R19 — Unclear data retention, disposal or privacy ownership  |  Initial: 12 High  |  Target residual: 2×3=6 Moderate</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Unclear data retention, disposal or privacy ownership</w:t>
            </w:r>
          </w:p>
          <w:p>
            <w:pPr>
              <w:pStyle w:val="Normal"/>
              <w:spacing w:lineRule="auto" w:line="240" w:before="0" w:after="40"/>
              <w:rPr/>
            </w:pPr>
            <w:r>
              <w:rPr>
                <w:b/>
                <w:color w:val="245B83"/>
                <w:sz w:val="15"/>
              </w:rPr>
              <w:t xml:space="preserve">Impact: </w:t>
            </w:r>
            <w:r>
              <w:rPr>
                <w:color w:val="263746"/>
                <w:sz w:val="15"/>
              </w:rPr>
              <w:t>Data remains longer than needed; access requests or incident handling are inconsistent.</w:t>
            </w:r>
          </w:p>
          <w:p>
            <w:pPr>
              <w:pStyle w:val="Normal"/>
              <w:spacing w:lineRule="auto" w:line="240" w:before="0" w:after="40"/>
              <w:rPr/>
            </w:pPr>
            <w:r>
              <w:rPr>
                <w:b/>
                <w:color w:val="245B83"/>
                <w:sz w:val="15"/>
              </w:rPr>
              <w:t xml:space="preserve">Inherent score: </w:t>
            </w:r>
            <w:r>
              <w:rPr>
                <w:color w:val="263746"/>
                <w:sz w:val="15"/>
              </w:rPr>
              <w:t>3 × 4 = 12 High</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Map data purposes and owners; document retention/deletion schedule; minimise collection; automate deletion and disposal evidence; define privacy/incident escalation; confirm current DPDP Act/Rules commencement and applicability.</w:t>
            </w:r>
          </w:p>
          <w:p>
            <w:pPr>
              <w:pStyle w:val="Normal"/>
              <w:spacing w:lineRule="auto" w:line="240" w:before="0" w:after="40"/>
              <w:rPr/>
            </w:pPr>
            <w:r>
              <w:rPr>
                <w:b/>
                <w:color w:val="245B83"/>
                <w:sz w:val="15"/>
              </w:rPr>
              <w:t xml:space="preserve">Owner: </w:t>
            </w:r>
            <w:r>
              <w:rPr>
                <w:color w:val="263746"/>
                <w:sz w:val="15"/>
              </w:rPr>
              <w:t>Privacy/legal + data owner</w:t>
            </w:r>
          </w:p>
          <w:p>
            <w:pPr>
              <w:pStyle w:val="Normal"/>
              <w:spacing w:lineRule="auto" w:line="240" w:before="0" w:after="40"/>
              <w:rPr/>
            </w:pPr>
            <w:r>
              <w:rPr>
                <w:b/>
                <w:color w:val="245B83"/>
                <w:sz w:val="15"/>
              </w:rPr>
              <w:t xml:space="preserve">Target window: </w:t>
            </w:r>
            <w:r>
              <w:rPr>
                <w:color w:val="263746"/>
                <w:sz w:val="15"/>
              </w:rPr>
              <w:t>0-90 days to assess; then planned implementation</w:t>
            </w:r>
          </w:p>
          <w:p>
            <w:pPr>
              <w:pStyle w:val="Normal"/>
              <w:spacing w:lineRule="auto" w:line="240" w:before="0" w:after="40"/>
              <w:rPr/>
            </w:pPr>
            <w:r>
              <w:rPr>
                <w:b/>
                <w:color w:val="245B83"/>
                <w:sz w:val="15"/>
              </w:rPr>
              <w:t xml:space="preserve">Target residual: </w:t>
            </w:r>
            <w:r>
              <w:rPr>
                <w:color w:val="263746"/>
                <w:sz w:val="15"/>
              </w:rPr>
              <w:t>2×3=6 Moderate after deployment and successful retest; confirm with evidence.</w:t>
            </w:r>
          </w:p>
        </w:tc>
      </w:tr>
    </w:tbl>
    <w:p>
      <w:pPr>
        <w:pStyle w:val="Normal"/>
        <w:widowControl/>
        <w:spacing w:before="0" w:after="0"/>
        <w:rPr/>
      </w:pPr>
      <w:r>
        <w:rPr/>
      </w:r>
    </w:p>
    <w:p>
      <w:pPr>
        <w:pStyle w:val="Heading3"/>
        <w:keepNext w:val="true"/>
        <w:widowControl/>
        <w:spacing w:before="140" w:after="80"/>
        <w:rPr/>
      </w:pPr>
      <w:r>
        <w:rPr>
          <w:rFonts w:ascii="Aptos Display" w:hAnsi="Aptos Display"/>
          <w:b/>
          <w:color w:val="245B83"/>
        </w:rPr>
        <w:t>R20 — Single points of failure and weak operational change control  |  Initial: 15 High  |  Target residual: 2×4=8 Moderate</w:t>
      </w:r>
    </w:p>
    <w:tbl>
      <w:tblPr>
        <w:tblW w:w="10454"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5227"/>
        <w:gridCol w:w="5227"/>
      </w:tblGrid>
      <w:tr>
        <w:trPr>
          <w:tblHeader w:val="true"/>
          <w:cantSplit/>
        </w:trPr>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Risk scenario and impact</w:t>
            </w:r>
          </w:p>
        </w:tc>
        <w:tc>
          <w:tcPr>
            <w:tcW w:w="5227" w:type="dxa"/>
            <w:tcBorders>
              <w:top w:val="single" w:sz="4" w:space="0" w:color="D2DDE6"/>
              <w:start w:val="single" w:sz="4" w:space="0" w:color="D2DDE6"/>
              <w:bottom w:val="single" w:sz="4" w:space="0" w:color="D2DDE6"/>
              <w:end w:val="single" w:sz="4" w:space="0" w:color="D2DDE6"/>
            </w:tcBorders>
            <w:shd w:fill="245B83" w:val="clear"/>
            <w:vAlign w:val="center"/>
          </w:tcPr>
          <w:p>
            <w:pPr>
              <w:pStyle w:val="Normal"/>
              <w:spacing w:lineRule="auto" w:line="245" w:before="0" w:after="0"/>
              <w:rPr/>
            </w:pPr>
            <w:r>
              <w:rPr>
                <w:b/>
                <w:color w:val="FFFFFF"/>
                <w:sz w:val="15"/>
              </w:rPr>
              <w:t>Treatment and accountability</w:t>
            </w:r>
          </w:p>
        </w:tc>
      </w:tr>
      <w:tr>
        <w:trPr>
          <w:cantSplit/>
        </w:trPr>
        <w:tc>
          <w:tcPr>
            <w:tcW w:w="5227" w:type="dxa"/>
            <w:tcBorders>
              <w:top w:val="single" w:sz="4" w:space="0" w:color="D2DDE6"/>
              <w:start w:val="single" w:sz="4" w:space="0" w:color="D2DDE6"/>
              <w:bottom w:val="single" w:sz="4" w:space="0" w:color="D2DDE6"/>
              <w:end w:val="single" w:sz="4" w:space="0" w:color="D2DDE6"/>
            </w:tcBorders>
            <w:shd w:fill="F4F7FA" w:val="clear"/>
            <w:tcMar>
              <w:top w:w="90" w:type="dxa"/>
              <w:start w:w="110" w:type="dxa"/>
              <w:bottom w:w="90" w:type="dxa"/>
              <w:end w:w="110" w:type="dxa"/>
            </w:tcMar>
          </w:tcPr>
          <w:p>
            <w:pPr>
              <w:pStyle w:val="Normal"/>
              <w:spacing w:lineRule="auto" w:line="240" w:before="0" w:after="40"/>
              <w:rPr/>
            </w:pPr>
            <w:r>
              <w:rPr>
                <w:b/>
                <w:color w:val="245B83"/>
                <w:sz w:val="15"/>
              </w:rPr>
              <w:t xml:space="preserve">Vulnerability: </w:t>
            </w:r>
            <w:r>
              <w:rPr>
                <w:color w:val="263746"/>
                <w:sz w:val="15"/>
              </w:rPr>
              <w:t>Single points of failure and weak operational change control</w:t>
            </w:r>
          </w:p>
          <w:p>
            <w:pPr>
              <w:pStyle w:val="Normal"/>
              <w:spacing w:lineRule="auto" w:line="240" w:before="0" w:after="40"/>
              <w:rPr/>
            </w:pPr>
            <w:r>
              <w:rPr>
                <w:b/>
                <w:color w:val="245B83"/>
                <w:sz w:val="15"/>
              </w:rPr>
              <w:t xml:space="preserve">Impact: </w:t>
            </w:r>
            <w:r>
              <w:rPr>
                <w:color w:val="263746"/>
                <w:sz w:val="15"/>
              </w:rPr>
              <w:t>A failed component or unsafe release causes extended outage or loss of data integrity.</w:t>
            </w:r>
          </w:p>
          <w:p>
            <w:pPr>
              <w:pStyle w:val="Normal"/>
              <w:spacing w:lineRule="auto" w:line="240" w:before="0" w:after="40"/>
              <w:rPr/>
            </w:pPr>
            <w:r>
              <w:rPr>
                <w:b/>
                <w:color w:val="245B83"/>
                <w:sz w:val="15"/>
              </w:rPr>
              <w:t xml:space="preserve">Inherent score: </w:t>
            </w:r>
            <w:r>
              <w:rPr>
                <w:color w:val="263746"/>
                <w:sz w:val="15"/>
              </w:rPr>
              <w:t>3 × 5 = 15 High</w:t>
            </w:r>
          </w:p>
        </w:tc>
        <w:tc>
          <w:tcPr>
            <w:tcW w:w="5227" w:type="dxa"/>
            <w:tcBorders>
              <w:top w:val="single" w:sz="4" w:space="0" w:color="D2DDE6"/>
              <w:start w:val="single" w:sz="4" w:space="0" w:color="D2DDE6"/>
              <w:bottom w:val="single" w:sz="4" w:space="0" w:color="D2DDE6"/>
              <w:end w:val="single" w:sz="4" w:space="0" w:color="D2DDE6"/>
            </w:tcBorders>
            <w:shd w:fill="FFFFFF" w:val="clear"/>
            <w:tcMar>
              <w:top w:w="90" w:type="dxa"/>
              <w:start w:w="110" w:type="dxa"/>
              <w:bottom w:w="90" w:type="dxa"/>
              <w:end w:w="110" w:type="dxa"/>
            </w:tcMar>
          </w:tcPr>
          <w:p>
            <w:pPr>
              <w:pStyle w:val="Normal"/>
              <w:spacing w:lineRule="auto" w:line="240" w:before="0" w:after="40"/>
              <w:rPr/>
            </w:pPr>
            <w:r>
              <w:rPr>
                <w:b/>
                <w:color w:val="245B83"/>
                <w:sz w:val="15"/>
              </w:rPr>
              <w:t xml:space="preserve">Mitigation: </w:t>
            </w:r>
            <w:r>
              <w:rPr>
                <w:color w:val="263746"/>
                <w:sz w:val="15"/>
              </w:rPr>
              <w:t>Identify dependencies; use redundant components where justified; test rolling/rollback releases; enforce peer review and change windows; monitor capacity; maintain runbooks and service-status communication; exercise failover.</w:t>
            </w:r>
          </w:p>
          <w:p>
            <w:pPr>
              <w:pStyle w:val="Normal"/>
              <w:spacing w:lineRule="auto" w:line="240" w:before="0" w:after="40"/>
              <w:rPr/>
            </w:pPr>
            <w:r>
              <w:rPr>
                <w:b/>
                <w:color w:val="245B83"/>
                <w:sz w:val="15"/>
              </w:rPr>
              <w:t xml:space="preserve">Owner: </w:t>
            </w:r>
            <w:r>
              <w:rPr>
                <w:color w:val="263746"/>
                <w:sz w:val="15"/>
              </w:rPr>
              <w:t>Service owner + SRE/IT ops</w:t>
            </w:r>
          </w:p>
          <w:p>
            <w:pPr>
              <w:pStyle w:val="Normal"/>
              <w:spacing w:lineRule="auto" w:line="240" w:before="0" w:after="40"/>
              <w:rPr/>
            </w:pPr>
            <w:r>
              <w:rPr>
                <w:b/>
                <w:color w:val="245B83"/>
                <w:sz w:val="15"/>
              </w:rPr>
              <w:t xml:space="preserve">Target window: </w:t>
            </w:r>
            <w:r>
              <w:rPr>
                <w:color w:val="263746"/>
                <w:sz w:val="15"/>
              </w:rPr>
              <w:t>30-180 days</w:t>
            </w:r>
          </w:p>
          <w:p>
            <w:pPr>
              <w:pStyle w:val="Normal"/>
              <w:spacing w:lineRule="auto" w:line="240" w:before="0" w:after="40"/>
              <w:rPr/>
            </w:pPr>
            <w:r>
              <w:rPr>
                <w:b/>
                <w:color w:val="245B83"/>
                <w:sz w:val="15"/>
              </w:rPr>
              <w:t xml:space="preserve">Target residual: </w:t>
            </w:r>
            <w:r>
              <w:rPr>
                <w:color w:val="263746"/>
                <w:sz w:val="15"/>
              </w:rPr>
              <w:t>2×4=8 Moderate after deployment and successful retest; confirm with evidence.</w:t>
            </w:r>
          </w:p>
        </w:tc>
      </w:tr>
    </w:tbl>
    <w:p>
      <w:pPr>
        <w:pStyle w:val="Normal"/>
        <w:widowControl/>
        <w:spacing w:before="0" w:after="0"/>
        <w:rPr/>
      </w:pPr>
      <w:r>
        <w:rPr/>
      </w:r>
    </w:p>
    <w:p>
      <w:pPr>
        <w:pStyle w:val="Heading1"/>
        <w:keepNext w:val="true"/>
        <w:widowControl/>
        <w:spacing w:before="220" w:after="80"/>
        <w:rPr/>
      </w:pPr>
      <w:r>
        <w:rPr>
          <w:rFonts w:ascii="Aptos Display" w:hAnsi="Aptos Display"/>
          <w:b/>
          <w:color w:val="17324D"/>
        </w:rPr>
        <w:t>7. Mitigation Strategy and Prioritised Treatment Plan</w:t>
      </w:r>
    </w:p>
    <w:p>
      <w:pPr>
        <w:pStyle w:val="Heading2"/>
        <w:keepNext w:val="true"/>
        <w:widowControl/>
        <w:spacing w:before="140" w:after="80"/>
        <w:rPr/>
      </w:pPr>
      <w:r>
        <w:rPr>
          <w:rFonts w:ascii="Aptos Display" w:hAnsi="Aptos Display"/>
          <w:b/>
          <w:color w:val="245B83"/>
        </w:rPr>
        <w:t>7.1 Immediate priorities: 0-30 days</w:t>
      </w:r>
    </w:p>
    <w:p>
      <w:pPr>
        <w:pStyle w:val="Normal"/>
        <w:widowControl/>
        <w:spacing w:before="0" w:after="60"/>
        <w:ind w:hanging="317" w:start="403"/>
        <w:rPr/>
      </w:pPr>
      <w:r>
        <w:rPr>
          <w:b/>
          <w:color w:val="245B83"/>
        </w:rPr>
        <w:t xml:space="preserve">1. </w:t>
      </w:r>
      <w:r>
        <w:rPr/>
        <w:t>Appoint a service owner and security lead; approve the platform scope, safety rules, and risk acceptance authority.</w:t>
      </w:r>
    </w:p>
    <w:p>
      <w:pPr>
        <w:pStyle w:val="Normal"/>
        <w:widowControl/>
        <w:spacing w:before="0" w:after="60"/>
        <w:ind w:hanging="317" w:start="403"/>
        <w:rPr/>
      </w:pPr>
      <w:r>
        <w:rPr>
          <w:b/>
          <w:color w:val="245B83"/>
        </w:rPr>
        <w:t xml:space="preserve">2. </w:t>
      </w:r>
      <w:r>
        <w:rPr/>
        <w:t>Create an authoritative inventory of internet-facing assets, cloud accounts, domains, critical APIs, production data stores, vendors and privileged accounts.</w:t>
      </w:r>
    </w:p>
    <w:p>
      <w:pPr>
        <w:pStyle w:val="Normal"/>
        <w:widowControl/>
        <w:spacing w:before="0" w:after="60"/>
        <w:ind w:hanging="317" w:start="403"/>
        <w:rPr/>
      </w:pPr>
      <w:r>
        <w:rPr>
          <w:b/>
          <w:color w:val="245B83"/>
        </w:rPr>
        <w:t xml:space="preserve">3. </w:t>
      </w:r>
      <w:r>
        <w:rPr/>
        <w:t>Review high-impact access controls and staff MFA; immediately remove stale accounts, exposed administration paths, public data buckets, and unsupported internet-facing services when confirmed.</w:t>
      </w:r>
    </w:p>
    <w:p>
      <w:pPr>
        <w:pStyle w:val="Normal"/>
        <w:widowControl/>
        <w:spacing w:before="0" w:after="60"/>
        <w:ind w:hanging="317" w:start="403"/>
        <w:rPr/>
      </w:pPr>
      <w:r>
        <w:rPr>
          <w:b/>
          <w:color w:val="245B83"/>
        </w:rPr>
        <w:t xml:space="preserve">4. </w:t>
      </w:r>
      <w:r>
        <w:rPr/>
        <w:t>Collect current patch/vulnerability data and prioritise known-exploited or remotely exploitable issues on exposed assets. Validate asset applicability before patching.</w:t>
      </w:r>
    </w:p>
    <w:p>
      <w:pPr>
        <w:pStyle w:val="Normal"/>
        <w:widowControl/>
        <w:spacing w:before="0" w:after="60"/>
        <w:ind w:hanging="317" w:start="403"/>
        <w:rPr/>
      </w:pPr>
      <w:r>
        <w:rPr>
          <w:b/>
          <w:color w:val="245B83"/>
        </w:rPr>
        <w:t xml:space="preserve">5. </w:t>
      </w:r>
      <w:r>
        <w:rPr/>
        <w:t>Confirm logging for identity, privileged activity, application/API errors, cloud control plane, endpoint and network events; establish an on-call escalation path.</w:t>
      </w:r>
    </w:p>
    <w:p>
      <w:pPr>
        <w:pStyle w:val="Normal"/>
        <w:widowControl/>
        <w:spacing w:before="0" w:after="60"/>
        <w:ind w:hanging="317" w:start="403"/>
        <w:rPr/>
      </w:pPr>
      <w:r>
        <w:rPr>
          <w:b/>
          <w:color w:val="245B83"/>
        </w:rPr>
        <w:t xml:space="preserve">6. </w:t>
      </w:r>
      <w:r>
        <w:rPr/>
        <w:t>Confirm backups cover databases, uploaded documents, keys/configuration and identity dependencies; perform a controlled restoration test for the most critical service.</w:t>
      </w:r>
    </w:p>
    <w:p>
      <w:pPr>
        <w:pStyle w:val="Heading2"/>
        <w:keepNext w:val="true"/>
        <w:widowControl/>
        <w:spacing w:before="140" w:after="80"/>
        <w:rPr/>
      </w:pPr>
      <w:r>
        <w:rPr>
          <w:rFonts w:ascii="Aptos Display" w:hAnsi="Aptos Display"/>
          <w:b/>
          <w:color w:val="245B83"/>
        </w:rPr>
        <w:t>7.2 Foundations: days 31-90</w:t>
      </w:r>
    </w:p>
    <w:p>
      <w:pPr>
        <w:pStyle w:val="Normal"/>
        <w:widowControl/>
        <w:spacing w:before="0" w:after="60"/>
        <w:ind w:hanging="317" w:start="403"/>
        <w:rPr/>
      </w:pPr>
      <w:r>
        <w:rPr>
          <w:b/>
          <w:color w:val="245B83"/>
        </w:rPr>
        <w:t xml:space="preserve">1. </w:t>
      </w:r>
      <w:r>
        <w:rPr/>
        <w:t>Implement repeatable vulnerability-management cadence, severity SLAs, remediation tickets, retests and an exception process with expiry dates.</w:t>
      </w:r>
    </w:p>
    <w:p>
      <w:pPr>
        <w:pStyle w:val="Normal"/>
        <w:widowControl/>
        <w:spacing w:before="0" w:after="60"/>
        <w:ind w:hanging="317" w:start="403"/>
        <w:rPr/>
      </w:pPr>
      <w:r>
        <w:rPr>
          <w:b/>
          <w:color w:val="245B83"/>
        </w:rPr>
        <w:t xml:space="preserve">2. </w:t>
      </w:r>
      <w:r>
        <w:rPr/>
        <w:t>Put secure development controls into the release pipeline: code review, dependency and secret scanning, SAST/DAST where suitable, SBOM, release approval and rollback.</w:t>
      </w:r>
    </w:p>
    <w:p>
      <w:pPr>
        <w:pStyle w:val="Normal"/>
        <w:widowControl/>
        <w:spacing w:before="0" w:after="60"/>
        <w:ind w:hanging="317" w:start="403"/>
        <w:rPr/>
      </w:pPr>
      <w:r>
        <w:rPr>
          <w:b/>
          <w:color w:val="245B83"/>
        </w:rPr>
        <w:t xml:space="preserve">3. </w:t>
      </w:r>
      <w:r>
        <w:rPr/>
        <w:t>Test API authorisation and high-risk business workflows using OWASP WSTG methods in an authorised staging environment.</w:t>
      </w:r>
    </w:p>
    <w:p>
      <w:pPr>
        <w:pStyle w:val="Normal"/>
        <w:widowControl/>
        <w:spacing w:before="0" w:after="60"/>
        <w:ind w:hanging="317" w:start="403"/>
        <w:rPr/>
      </w:pPr>
      <w:r>
        <w:rPr>
          <w:b/>
          <w:color w:val="245B83"/>
        </w:rPr>
        <w:t xml:space="preserve">4. </w:t>
      </w:r>
      <w:r>
        <w:rPr/>
        <w:t>Centralise alerts, define detection use cases and run a tabletop exercise for account takeover, ransomware, data exposure and service outage.</w:t>
      </w:r>
    </w:p>
    <w:p>
      <w:pPr>
        <w:pStyle w:val="Normal"/>
        <w:widowControl/>
        <w:spacing w:before="0" w:after="60"/>
        <w:ind w:hanging="317" w:start="403"/>
        <w:rPr/>
      </w:pPr>
      <w:r>
        <w:rPr>
          <w:b/>
          <w:color w:val="245B83"/>
        </w:rPr>
        <w:t xml:space="preserve">5. </w:t>
      </w:r>
      <w:r>
        <w:rPr/>
        <w:t>Complete a supplier risk review for identity, hosting, payment, messaging and document services; review contract clauses, data access and incident-notification paths.</w:t>
      </w:r>
    </w:p>
    <w:p>
      <w:pPr>
        <w:pStyle w:val="Normal"/>
        <w:widowControl/>
        <w:spacing w:before="0" w:after="60"/>
        <w:ind w:hanging="317" w:start="403"/>
        <w:rPr/>
      </w:pPr>
      <w:r>
        <w:rPr>
          <w:b/>
          <w:color w:val="245B83"/>
        </w:rPr>
        <w:t xml:space="preserve">6. </w:t>
      </w:r>
      <w:r>
        <w:rPr/>
        <w:t>Document data flows, classification, retention and deletion requirements and verify current statutory applicability with legal/privacy advisers.</w:t>
      </w:r>
    </w:p>
    <w:p>
      <w:pPr>
        <w:pStyle w:val="Heading2"/>
        <w:keepNext w:val="true"/>
        <w:widowControl/>
        <w:spacing w:before="140" w:after="80"/>
        <w:rPr/>
      </w:pPr>
      <w:r>
        <w:rPr>
          <w:rFonts w:ascii="Aptos Display" w:hAnsi="Aptos Display"/>
          <w:b/>
          <w:color w:val="245B83"/>
        </w:rPr>
        <w:t>7.3 Months 3-6: engineering and resilience</w:t>
      </w:r>
    </w:p>
    <w:p>
      <w:pPr>
        <w:pStyle w:val="Normal"/>
        <w:widowControl/>
        <w:spacing w:before="0" w:after="60"/>
        <w:ind w:hanging="317" w:start="403"/>
        <w:rPr/>
      </w:pPr>
      <w:r>
        <w:rPr>
          <w:b/>
          <w:color w:val="245B83"/>
        </w:rPr>
        <w:t xml:space="preserve">1. </w:t>
      </w:r>
      <w:r>
        <w:rPr/>
        <w:t>Complete segmentation of public, application, data, administration and backup zones; remove unnecessary east-west access.</w:t>
      </w:r>
    </w:p>
    <w:p>
      <w:pPr>
        <w:pStyle w:val="Normal"/>
        <w:widowControl/>
        <w:spacing w:before="0" w:after="60"/>
        <w:ind w:hanging="317" w:start="403"/>
        <w:rPr/>
      </w:pPr>
      <w:r>
        <w:rPr>
          <w:b/>
          <w:color w:val="245B83"/>
        </w:rPr>
        <w:t xml:space="preserve">2. </w:t>
      </w:r>
      <w:r>
        <w:rPr/>
        <w:t>Expand automated configuration compliance and endpoint detection coverage; protect logs and monitoring administration from the production identity plane.</w:t>
      </w:r>
    </w:p>
    <w:p>
      <w:pPr>
        <w:pStyle w:val="Normal"/>
        <w:widowControl/>
        <w:spacing w:before="0" w:after="60"/>
        <w:ind w:hanging="317" w:start="403"/>
        <w:rPr/>
      </w:pPr>
      <w:r>
        <w:rPr>
          <w:b/>
          <w:color w:val="245B83"/>
        </w:rPr>
        <w:t xml:space="preserve">3. </w:t>
      </w:r>
      <w:r>
        <w:rPr/>
        <w:t>Perform an independent application and infrastructure penetration test under written authorisation; retest high-risk findings before closure.</w:t>
      </w:r>
    </w:p>
    <w:p>
      <w:pPr>
        <w:pStyle w:val="Normal"/>
        <w:widowControl/>
        <w:spacing w:before="0" w:after="60"/>
        <w:ind w:hanging="317" w:start="403"/>
        <w:rPr/>
      </w:pPr>
      <w:r>
        <w:rPr>
          <w:b/>
          <w:color w:val="245B83"/>
        </w:rPr>
        <w:t xml:space="preserve">4. </w:t>
      </w:r>
      <w:r>
        <w:rPr/>
        <w:t>Exercise failover and disaster recovery against approved recovery time and recovery point objectives (RTO/RPO).</w:t>
      </w:r>
    </w:p>
    <w:p>
      <w:pPr>
        <w:pStyle w:val="Normal"/>
        <w:widowControl/>
        <w:spacing w:before="0" w:after="60"/>
        <w:ind w:hanging="317" w:start="403"/>
        <w:rPr/>
      </w:pPr>
      <w:r>
        <w:rPr>
          <w:b/>
          <w:color w:val="245B83"/>
        </w:rPr>
        <w:t xml:space="preserve">5. </w:t>
      </w:r>
      <w:r>
        <w:rPr/>
        <w:t>Roll out role-based staff training and help-desk identity-proofing improvements; evaluate completion and observed reporting behaviour.</w:t>
      </w:r>
    </w:p>
    <w:p>
      <w:pPr>
        <w:pStyle w:val="Heading2"/>
        <w:keepNext w:val="true"/>
        <w:widowControl/>
        <w:spacing w:before="140" w:after="80"/>
        <w:rPr/>
      </w:pPr>
      <w:r>
        <w:rPr>
          <w:rFonts w:ascii="Aptos Display" w:hAnsi="Aptos Display"/>
          <w:b/>
          <w:color w:val="245B83"/>
        </w:rPr>
        <w:t>7.4 Months 6-12: assurance and continuous improvement</w:t>
      </w:r>
    </w:p>
    <w:p>
      <w:pPr>
        <w:pStyle w:val="Normal"/>
        <w:widowControl/>
        <w:spacing w:before="0" w:after="60"/>
        <w:ind w:hanging="317" w:start="403"/>
        <w:rPr/>
      </w:pPr>
      <w:r>
        <w:rPr>
          <w:b/>
          <w:color w:val="245B83"/>
        </w:rPr>
        <w:t xml:space="preserve">1. </w:t>
      </w:r>
      <w:r>
        <w:rPr/>
        <w:t>Conduct a repeat risk assessment after major releases, material architecture changes, a significant incident, or at least at a defined annual interval.</w:t>
      </w:r>
    </w:p>
    <w:p>
      <w:pPr>
        <w:pStyle w:val="Normal"/>
        <w:widowControl/>
        <w:spacing w:before="0" w:after="60"/>
        <w:ind w:hanging="317" w:start="403"/>
        <w:rPr/>
      </w:pPr>
      <w:r>
        <w:rPr>
          <w:b/>
          <w:color w:val="245B83"/>
        </w:rPr>
        <w:t xml:space="preserve">2. </w:t>
      </w:r>
      <w:r>
        <w:rPr/>
        <w:t>Perform a governance review of policy exceptions, supplier evidence, privacy requirements, logging retention and incident response readiness.</w:t>
      </w:r>
    </w:p>
    <w:p>
      <w:pPr>
        <w:pStyle w:val="Normal"/>
        <w:widowControl/>
        <w:spacing w:before="0" w:after="60"/>
        <w:ind w:hanging="317" w:start="403"/>
        <w:rPr/>
      </w:pPr>
      <w:r>
        <w:rPr>
          <w:b/>
          <w:color w:val="245B83"/>
        </w:rPr>
        <w:t xml:space="preserve">3. </w:t>
      </w:r>
      <w:r>
        <w:rPr/>
        <w:t>Use trend data to improve patch SLAs, reduce repeated root causes, measure detection coverage and prioritise funding.</w:t>
      </w:r>
    </w:p>
    <w:p>
      <w:pPr>
        <w:pStyle w:val="Normal"/>
        <w:widowControl/>
        <w:spacing w:before="0" w:after="60"/>
        <w:ind w:hanging="317" w:start="403"/>
        <w:rPr/>
      </w:pPr>
      <w:r>
        <w:rPr>
          <w:b/>
          <w:color w:val="245B83"/>
        </w:rPr>
        <w:t xml:space="preserve">4. </w:t>
      </w:r>
      <w:r>
        <w:rPr/>
        <w:t>Plan a GIGW 3.0 conformity review for relevant government websites/apps, alongside applicable security testing/certification routes.</w:t>
      </w:r>
    </w:p>
    <w:p>
      <w:pPr>
        <w:pStyle w:val="Heading1"/>
        <w:keepNext w:val="true"/>
        <w:widowControl/>
        <w:spacing w:before="220" w:after="80"/>
        <w:rPr/>
      </w:pPr>
      <w:r>
        <w:rPr>
          <w:rFonts w:ascii="Aptos Display" w:hAnsi="Aptos Display"/>
          <w:b/>
          <w:color w:val="17324D"/>
        </w:rPr>
        <w:t>8. Implementation Roadmap and Resources</w:t>
      </w:r>
    </w:p>
    <w:tbl>
      <w:tblPr>
        <w:tblW w:w="10455"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2091"/>
        <w:gridCol w:w="2091"/>
        <w:gridCol w:w="2091"/>
        <w:gridCol w:w="2091"/>
        <w:gridCol w:w="2091"/>
      </w:tblGrid>
      <w:tr>
        <w:trPr>
          <w:tblHeader w:val="true"/>
          <w:cantSplit/>
        </w:trPr>
        <w:tc>
          <w:tcPr>
            <w:tcW w:w="2091"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4"/>
              </w:rPr>
              <w:t>Phase</w:t>
            </w:r>
          </w:p>
        </w:tc>
        <w:tc>
          <w:tcPr>
            <w:tcW w:w="2091"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4"/>
              </w:rPr>
              <w:t>Timeframe</w:t>
            </w:r>
          </w:p>
        </w:tc>
        <w:tc>
          <w:tcPr>
            <w:tcW w:w="2091"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4"/>
              </w:rPr>
              <w:t>Main work</w:t>
            </w:r>
          </w:p>
        </w:tc>
        <w:tc>
          <w:tcPr>
            <w:tcW w:w="2091"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4"/>
              </w:rPr>
              <w:t>Exit evidence</w:t>
            </w:r>
          </w:p>
        </w:tc>
        <w:tc>
          <w:tcPr>
            <w:tcW w:w="2091"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4"/>
              </w:rPr>
              <w:t>Accountable roles</w:t>
            </w:r>
          </w:p>
        </w:tc>
      </w:tr>
      <w:tr>
        <w:trPr>
          <w:cantSplit/>
        </w:trPr>
        <w:tc>
          <w:tcPr>
            <w:tcW w:w="209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Phase 0</w:t>
            </w:r>
          </w:p>
        </w:tc>
        <w:tc>
          <w:tcPr>
            <w:tcW w:w="209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Week 1-2</w:t>
            </w:r>
          </w:p>
        </w:tc>
        <w:tc>
          <w:tcPr>
            <w:tcW w:w="209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Governance, scope, contacts, asset/data owners, test authorisation</w:t>
            </w:r>
          </w:p>
        </w:tc>
        <w:tc>
          <w:tcPr>
            <w:tcW w:w="209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Approved scope; named owners; preliminary asset list</w:t>
            </w:r>
          </w:p>
        </w:tc>
        <w:tc>
          <w:tcPr>
            <w:tcW w:w="209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Service owner + security lead</w:t>
            </w:r>
          </w:p>
        </w:tc>
      </w:tr>
      <w:tr>
        <w:trPr>
          <w:cantSplit/>
        </w:trPr>
        <w:tc>
          <w:tcPr>
            <w:tcW w:w="209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Phase 1</w:t>
            </w:r>
          </w:p>
        </w:tc>
        <w:tc>
          <w:tcPr>
            <w:tcW w:w="209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Days 0-30</w:t>
            </w:r>
          </w:p>
        </w:tc>
        <w:tc>
          <w:tcPr>
            <w:tcW w:w="209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Critical exposure review, staff MFA, internet-facing patching, backup restore, log coverage</w:t>
            </w:r>
          </w:p>
        </w:tc>
        <w:tc>
          <w:tcPr>
            <w:tcW w:w="209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Critical actions tracked; restore evidence; admin MFA coverage</w:t>
            </w:r>
          </w:p>
        </w:tc>
        <w:tc>
          <w:tcPr>
            <w:tcW w:w="209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IT ops + IAM + app/platform leads</w:t>
            </w:r>
          </w:p>
        </w:tc>
      </w:tr>
      <w:tr>
        <w:trPr>
          <w:cantSplit/>
        </w:trPr>
        <w:tc>
          <w:tcPr>
            <w:tcW w:w="209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Phase 2</w:t>
            </w:r>
          </w:p>
        </w:tc>
        <w:tc>
          <w:tcPr>
            <w:tcW w:w="209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Days 31-90</w:t>
            </w:r>
          </w:p>
        </w:tc>
        <w:tc>
          <w:tcPr>
            <w:tcW w:w="209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Vulnerability cadence, API/app tests, dependency inventory, central alerts, supplier review</w:t>
            </w:r>
          </w:p>
        </w:tc>
        <w:tc>
          <w:tcPr>
            <w:tcW w:w="209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Severity SLAs; high-risk tickets; tested alert and response paths</w:t>
            </w:r>
          </w:p>
        </w:tc>
        <w:tc>
          <w:tcPr>
            <w:tcW w:w="209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AppSec + SOC + procurement</w:t>
            </w:r>
          </w:p>
        </w:tc>
      </w:tr>
      <w:tr>
        <w:trPr>
          <w:cantSplit/>
        </w:trPr>
        <w:tc>
          <w:tcPr>
            <w:tcW w:w="209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Phase 3</w:t>
            </w:r>
          </w:p>
        </w:tc>
        <w:tc>
          <w:tcPr>
            <w:tcW w:w="209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Months 3-6</w:t>
            </w:r>
          </w:p>
        </w:tc>
        <w:tc>
          <w:tcPr>
            <w:tcW w:w="209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Segmentation, secure SDLC gates, endpoint controls, independent test, DR/tabletop exercises</w:t>
            </w:r>
          </w:p>
        </w:tc>
        <w:tc>
          <w:tcPr>
            <w:tcW w:w="209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Retest evidence; approved RTO/RPO; exercised response plan</w:t>
            </w:r>
          </w:p>
        </w:tc>
        <w:tc>
          <w:tcPr>
            <w:tcW w:w="2091"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4"/>
              </w:rPr>
              <w:t>Security + engineering + business continuity</w:t>
            </w:r>
          </w:p>
        </w:tc>
      </w:tr>
      <w:tr>
        <w:trPr>
          <w:cantSplit/>
        </w:trPr>
        <w:tc>
          <w:tcPr>
            <w:tcW w:w="209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Phase 4</w:t>
            </w:r>
          </w:p>
        </w:tc>
        <w:tc>
          <w:tcPr>
            <w:tcW w:w="209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Months 6-12</w:t>
            </w:r>
          </w:p>
        </w:tc>
        <w:tc>
          <w:tcPr>
            <w:tcW w:w="209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GIGW-related review, governance assurance, recurring metrics and re-assessment</w:t>
            </w:r>
          </w:p>
        </w:tc>
        <w:tc>
          <w:tcPr>
            <w:tcW w:w="209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Updated risk acceptance; trend report; annual plan</w:t>
            </w:r>
          </w:p>
        </w:tc>
        <w:tc>
          <w:tcPr>
            <w:tcW w:w="2091"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4"/>
              </w:rPr>
              <w:t>Risk committee + internal audit + service owner</w:t>
            </w:r>
          </w:p>
        </w:tc>
      </w:tr>
    </w:tbl>
    <w:p>
      <w:pPr>
        <w:pStyle w:val="Normal"/>
        <w:widowControl/>
        <w:spacing w:before="0" w:after="20"/>
        <w:rPr/>
      </w:pPr>
      <w:r>
        <w:rPr/>
      </w:r>
    </w:p>
    <w:p>
      <w:pPr>
        <w:pStyle w:val="Heading2"/>
        <w:keepNext w:val="true"/>
        <w:widowControl/>
        <w:spacing w:before="140" w:after="80"/>
        <w:rPr/>
      </w:pPr>
      <w:r>
        <w:rPr>
          <w:rFonts w:ascii="Aptos Display" w:hAnsi="Aptos Display"/>
          <w:b/>
          <w:color w:val="245B83"/>
        </w:rPr>
        <w:t>8.1 Illustrative resource model</w:t>
      </w:r>
    </w:p>
    <w:p>
      <w:pPr>
        <w:pStyle w:val="Normal"/>
        <w:widowControl/>
        <w:spacing w:lineRule="auto" w:line="259" w:before="0" w:after="100"/>
        <w:rPr/>
      </w:pPr>
      <w:r>
        <w:rPr/>
        <w:t>A small-to-medium service could begin with a cross-functional team using shared responsibilities rather than hiring a full new department. Actual staffing depends on the number of applications, hosting models, service criticality, existing SOC coverage and vendor contracts.</w:t>
      </w:r>
    </w:p>
    <w:tbl>
      <w:tblPr>
        <w:tblW w:w="10455"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3485"/>
        <w:gridCol w:w="3485"/>
        <w:gridCol w:w="3485"/>
      </w:tblGrid>
      <w:tr>
        <w:trPr>
          <w:tblHeader w:val="true"/>
          <w:cantSplit/>
        </w:trPr>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Role / capability</w:t>
            </w:r>
          </w:p>
        </w:tc>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Indicative involvement</w:t>
            </w:r>
          </w:p>
        </w:tc>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Responsibilities</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Executive sponsor / service owner</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0.1-0.2 FTE</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Approves risk, priorities, availability trade-offs and residual-risk acceptance.</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Security lead / risk coordinator</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0.5-1.0 FTE</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Maintains register, coordinates evidence, tracks remediation and exercises.</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Application security / developer</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0.5-1.0 shared FTE</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Code, API, dependency, release pipeline and test remediation.</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Infrastructure / cloud / network</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1-2 shared FTE</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Inventory, hardening, patching, segmentation, backup and configuration.</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SOC / monitoring capability</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Existing team or managed service</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Alert triage, log quality, detections, incident escalation and evidence.</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DBA / data owner</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0.2-0.5 shared FTE</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Data permissions, encryption, backup integrity, data lifecycle.</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Privacy/legal/procurement</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0.1-0.3 shared FTE</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Applicable obligations, supplier due diligence, retention and clauses.</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Independent assessor / tester</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Time-boxed engagement</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Authorised independent test, evidence-based findings and retest.</w:t>
            </w:r>
          </w:p>
        </w:tc>
      </w:tr>
    </w:tbl>
    <w:p>
      <w:pPr>
        <w:pStyle w:val="Normal"/>
        <w:widowControl/>
        <w:spacing w:before="0" w:after="20"/>
        <w:rPr/>
      </w:pPr>
      <w:r>
        <w:rPr/>
      </w:r>
    </w:p>
    <w:p>
      <w:pPr>
        <w:pStyle w:val="Heading2"/>
        <w:keepNext w:val="true"/>
        <w:widowControl/>
        <w:spacing w:before="140" w:after="80"/>
        <w:rPr/>
      </w:pPr>
      <w:r>
        <w:rPr>
          <w:rFonts w:ascii="Aptos Display" w:hAnsi="Aptos Display"/>
          <w:b/>
          <w:color w:val="245B83"/>
        </w:rPr>
        <w:t>8.2 Budget allocation model</w:t>
      </w:r>
    </w:p>
    <w:p>
      <w:pPr>
        <w:pStyle w:val="Normal"/>
        <w:widowControl/>
        <w:spacing w:lineRule="auto" w:line="259" w:before="0" w:after="100"/>
        <w:rPr/>
      </w:pPr>
      <w:r>
        <w:rPr/>
        <w:t>Because vendor quotations, hosting scale and existing contracts are unknown, use a proportional planning model rather than an unsupported rupee estimate. The example below allocates 100% of the incremental programme budget and should be recalculated after a baseline and procurement review.</w:t>
      </w:r>
    </w:p>
    <w:tbl>
      <w:tblPr>
        <w:tblW w:w="10455"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3485"/>
        <w:gridCol w:w="3485"/>
        <w:gridCol w:w="3485"/>
      </w:tblGrid>
      <w:tr>
        <w:trPr>
          <w:tblHeader w:val="true"/>
          <w:cantSplit/>
        </w:trPr>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Cost category</w:t>
            </w:r>
          </w:p>
        </w:tc>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Indicative share</w:t>
            </w:r>
          </w:p>
        </w:tc>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Examples / notes</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Remediation engineering and legacy upgrades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25%</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Developer and operations time, refactoring, supported upgrades</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Monitoring and security tooling</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20%</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SIEM/log storage, EDR, WAF/DDoS, scanning, alert integrations</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Independent security testing</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15%</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Application/API and infrastructure testing, retesting</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Backup, resilience and recovery</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15%</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Immutable backup, recovery environment, failover exercise</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Training and process improvement</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10%</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Staff and service-desk practice, playbooks, secure SDLC</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Supplier assurance / specialist support</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10%</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Contract review, incident retainer, integration assistance</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Contingency</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5%</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Unexpected legacy or compatibility issues</w:t>
            </w:r>
          </w:p>
        </w:tc>
      </w:tr>
    </w:tbl>
    <w:p>
      <w:pPr>
        <w:pStyle w:val="Normal"/>
        <w:widowControl/>
        <w:spacing w:before="0" w:after="20"/>
        <w:rPr/>
      </w:pPr>
      <w:r>
        <w:rPr/>
      </w:r>
    </w:p>
    <w:tbl>
      <w:tblPr>
        <w:tblW w:w="10454" w:type="dxa"/>
        <w:jc w:val="center"/>
        <w:tblInd w:w="0" w:type="dxa"/>
        <w:tblLayout w:type="fixed"/>
        <w:tblCellMar>
          <w:top w:w="140" w:type="dxa"/>
          <w:start w:w="170" w:type="dxa"/>
          <w:bottom w:w="140" w:type="dxa"/>
          <w:end w:w="170" w:type="dxa"/>
        </w:tblCellMar>
        <w:tblLook w:noHBand="0" w:noVBand="1" w:firstColumn="1" w:lastRow="0" w:lastColumn="0" w:firstRow="1" w:val="04a0"/>
      </w:tblPr>
      <w:tblGrid>
        <w:gridCol w:w="10454"/>
      </w:tblGrid>
      <w:tr>
        <w:trPr/>
        <w:tc>
          <w:tcPr>
            <w:tcW w:w="10454" w:type="dxa"/>
            <w:tcBorders>
              <w:top w:val="single" w:sz="6" w:space="0" w:color="E8F5E9"/>
              <w:start w:val="single" w:sz="6" w:space="0" w:color="E8F5E9"/>
              <w:bottom w:val="single" w:sz="6" w:space="0" w:color="E8F5E9"/>
              <w:end w:val="single" w:sz="6" w:space="0" w:color="E8F5E9"/>
            </w:tcBorders>
            <w:shd w:fill="E8F5E9" w:val="clear"/>
          </w:tcPr>
          <w:p>
            <w:pPr>
              <w:pStyle w:val="Normal"/>
              <w:spacing w:before="0" w:after="60"/>
              <w:rPr/>
            </w:pPr>
            <w:r>
              <w:rPr>
                <w:b/>
                <w:color w:val="17324D"/>
                <w:sz w:val="19"/>
              </w:rPr>
              <w:t xml:space="preserve">Cost control: </w:t>
            </w:r>
            <w:r>
              <w:rPr>
                <w:color w:val="263746"/>
                <w:sz w:val="18"/>
              </w:rPr>
              <w:t>Re-use existing approved government/shared-service capabilities where they meet requirements, but verify coverage and service levels. “Open-source” does not mean zero total cost: people, storage, integration, support, upgrades and incident coverage still require budget.</w:t>
            </w:r>
          </w:p>
        </w:tc>
      </w:tr>
    </w:tbl>
    <w:p>
      <w:pPr>
        <w:pStyle w:val="Normal"/>
        <w:widowControl/>
        <w:spacing w:before="0" w:after="0"/>
        <w:rPr/>
      </w:pPr>
      <w:r>
        <w:rPr/>
      </w:r>
    </w:p>
    <w:p>
      <w:pPr>
        <w:pStyle w:val="Heading1"/>
        <w:keepNext w:val="true"/>
        <w:widowControl/>
        <w:spacing w:before="220" w:after="80"/>
        <w:rPr/>
      </w:pPr>
      <w:r>
        <w:rPr>
          <w:rFonts w:ascii="Aptos Display" w:hAnsi="Aptos Display"/>
          <w:b/>
          <w:color w:val="17324D"/>
        </w:rPr>
        <w:t>9. Validation, Monitoring and Success Measures</w:t>
      </w:r>
    </w:p>
    <w:p>
      <w:pPr>
        <w:pStyle w:val="Heading2"/>
        <w:keepNext w:val="true"/>
        <w:widowControl/>
        <w:spacing w:before="140" w:after="80"/>
        <w:rPr/>
      </w:pPr>
      <w:r>
        <w:rPr>
          <w:rFonts w:ascii="Aptos Display" w:hAnsi="Aptos Display"/>
          <w:b/>
          <w:color w:val="245B83"/>
        </w:rPr>
        <w:t>9.1 Evidence-based closure rules</w:t>
      </w:r>
    </w:p>
    <w:p>
      <w:pPr>
        <w:pStyle w:val="ListBullet"/>
        <w:widowControl/>
        <w:numPr>
          <w:ilvl w:val="0"/>
          <w:numId w:val="1"/>
        </w:numPr>
        <w:spacing w:before="0" w:after="40"/>
        <w:ind w:hanging="360" w:start="360"/>
        <w:contextualSpacing/>
        <w:rPr/>
      </w:pPr>
      <w:r>
        <w:rPr/>
        <w:t>Every finding must have an owner, severity, evidence, due date, remediation plan, and a documented exception path.</w:t>
      </w:r>
    </w:p>
    <w:p>
      <w:pPr>
        <w:pStyle w:val="ListBullet"/>
        <w:widowControl/>
        <w:numPr>
          <w:ilvl w:val="0"/>
          <w:numId w:val="1"/>
        </w:numPr>
        <w:spacing w:before="0" w:after="40"/>
        <w:ind w:hanging="360" w:start="360"/>
        <w:contextualSpacing/>
        <w:rPr/>
      </w:pPr>
      <w:r>
        <w:rPr/>
        <w:t>Closure requires a retest, a configuration/query check, or other suitable evidence; changing a ticket status is not evidence by itself.</w:t>
      </w:r>
    </w:p>
    <w:p>
      <w:pPr>
        <w:pStyle w:val="ListBullet"/>
        <w:widowControl/>
        <w:numPr>
          <w:ilvl w:val="0"/>
          <w:numId w:val="1"/>
        </w:numPr>
        <w:spacing w:before="0" w:after="40"/>
        <w:ind w:hanging="360" w:start="360"/>
        <w:contextualSpacing/>
        <w:rPr/>
      </w:pPr>
      <w:r>
        <w:rPr/>
        <w:t>Risk exceptions must state business rationale, compensating controls, approver, review date and expiry. Critical risks should not be silently accepted.</w:t>
      </w:r>
    </w:p>
    <w:p>
      <w:pPr>
        <w:pStyle w:val="ListBullet"/>
        <w:widowControl/>
        <w:numPr>
          <w:ilvl w:val="0"/>
          <w:numId w:val="1"/>
        </w:numPr>
        <w:spacing w:before="0" w:after="40"/>
        <w:ind w:hanging="360" w:start="360"/>
        <w:contextualSpacing/>
        <w:rPr/>
      </w:pPr>
      <w:r>
        <w:rPr/>
        <w:t>Use safe, authorised testing with a defined scope and stop conditions. Repeat testing after significant changes.</w:t>
      </w:r>
    </w:p>
    <w:p>
      <w:pPr>
        <w:pStyle w:val="ListBullet"/>
        <w:widowControl/>
        <w:numPr>
          <w:ilvl w:val="0"/>
          <w:numId w:val="1"/>
        </w:numPr>
        <w:spacing w:before="0" w:after="40"/>
        <w:ind w:hanging="360" w:start="360"/>
        <w:contextualSpacing/>
        <w:rPr/>
      </w:pPr>
      <w:r>
        <w:rPr/>
        <w:t>Where the risk cannot be eliminated, document the residual risk, service impact and monitoring trigger that would reopen the assessment.</w:t>
      </w:r>
    </w:p>
    <w:p>
      <w:pPr>
        <w:pStyle w:val="Heading2"/>
        <w:keepNext w:val="true"/>
        <w:widowControl/>
        <w:spacing w:before="140" w:after="80"/>
        <w:rPr/>
      </w:pPr>
      <w:r>
        <w:rPr>
          <w:rFonts w:ascii="Aptos Display" w:hAnsi="Aptos Display"/>
          <w:b/>
          <w:color w:val="245B83"/>
        </w:rPr>
        <w:t>9.2 Key performance indicators (initial targets)</w:t>
      </w:r>
    </w:p>
    <w:tbl>
      <w:tblPr>
        <w:tblW w:w="10455"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3485"/>
        <w:gridCol w:w="3485"/>
        <w:gridCol w:w="3485"/>
      </w:tblGrid>
      <w:tr>
        <w:trPr>
          <w:tblHeader w:val="true"/>
          <w:cantSplit/>
        </w:trPr>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Metric</w:t>
            </w:r>
          </w:p>
        </w:tc>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Suggested initial target</w:t>
            </w:r>
          </w:p>
        </w:tc>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Measurement source / frequency</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Asset inventory coverage</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 xml:space="preserve">≥ </w:t>
            </w:r>
            <w:r>
              <w:rPr>
                <w:b w:val="false"/>
                <w:color w:val="263746"/>
                <w:sz w:val="15"/>
              </w:rPr>
              <w:t>95% of production assets have owner, criticality and exposure class within 90 days.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CMDB/cloud inventory; monthly</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Critical exploitable finding SLA</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Triage within 1 business day; remediate or formally contain based on approved policy, considering active exploitation and exposure.</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Scanner/ticket timestamps; weekly</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High-risk remediation closure</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 xml:space="preserve">≥ </w:t>
            </w:r>
            <w:r>
              <w:rPr>
                <w:b w:val="false"/>
                <w:color w:val="263746"/>
                <w:sz w:val="15"/>
              </w:rPr>
              <w:t>90% of high-risk findings resolved by approved due date or have an approved time-bound exception.</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Risk register; monthly</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Privileged MFA coverage</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100% of interactive privileged accounts protected by approved MFA or documented exception.</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IAM report; monthly</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Logging coverage for critical paths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All identified critical systems send required events and pass alert-delivery tests.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SIEM/monitoring tests; monthly</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Restore test success</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Critical service restore test completed at least quarterly or per approved continuity plan.</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Backup/DR test record; quarterly</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Incident tabletop</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At least two scenarios rehearsed per year, including data exposure and service outage.</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Exercise report; semiannual</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Retest verification</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100% of closed critical/high findings have verification evidence or formal residual-risk approval.</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Ticket sampling; monthly</w:t>
            </w:r>
          </w:p>
        </w:tc>
      </w:tr>
    </w:tbl>
    <w:p>
      <w:pPr>
        <w:pStyle w:val="Normal"/>
        <w:widowControl/>
        <w:spacing w:before="0" w:after="20"/>
        <w:rPr/>
      </w:pPr>
      <w:r>
        <w:rPr/>
      </w:r>
    </w:p>
    <w:p>
      <w:pPr>
        <w:pStyle w:val="Heading2"/>
        <w:keepNext w:val="true"/>
        <w:widowControl/>
        <w:spacing w:before="140" w:after="80"/>
        <w:rPr/>
      </w:pPr>
      <w:r>
        <w:rPr>
          <w:rFonts w:ascii="Aptos Display" w:hAnsi="Aptos Display"/>
          <w:b/>
          <w:color w:val="245B83"/>
        </w:rPr>
        <w:t>9.3 Suggested detection and response use cases</w:t>
      </w:r>
    </w:p>
    <w:p>
      <w:pPr>
        <w:pStyle w:val="ListBullet"/>
        <w:widowControl/>
        <w:numPr>
          <w:ilvl w:val="0"/>
          <w:numId w:val="1"/>
        </w:numPr>
        <w:spacing w:before="0" w:after="40"/>
        <w:ind w:hanging="360" w:start="360"/>
        <w:contextualSpacing/>
        <w:rPr/>
      </w:pPr>
      <w:r>
        <w:rPr/>
        <w:t>Repeated failed logins, unusual recovery requests, MFA fatigue patterns and privileged login from unexpected contexts.</w:t>
      </w:r>
    </w:p>
    <w:p>
      <w:pPr>
        <w:pStyle w:val="ListBullet"/>
        <w:widowControl/>
        <w:numPr>
          <w:ilvl w:val="0"/>
          <w:numId w:val="1"/>
        </w:numPr>
        <w:spacing w:before="0" w:after="40"/>
        <w:ind w:hanging="360" w:start="360"/>
        <w:contextualSpacing/>
        <w:rPr/>
      </w:pPr>
      <w:r>
        <w:rPr/>
        <w:t>Cross-citizen record-access denials or spikes, mass export/download behaviour, and sensitive data access outside normal duties.</w:t>
      </w:r>
    </w:p>
    <w:p>
      <w:pPr>
        <w:pStyle w:val="ListBullet"/>
        <w:widowControl/>
        <w:numPr>
          <w:ilvl w:val="0"/>
          <w:numId w:val="1"/>
        </w:numPr>
        <w:spacing w:before="0" w:after="40"/>
        <w:ind w:hanging="360" w:start="360"/>
        <w:contextualSpacing/>
        <w:rPr/>
      </w:pPr>
      <w:r>
        <w:rPr/>
        <w:t>Critical vulnerability on an exposed asset, unexpected new internet service, policy change opening broad access, or suspicious admin session.</w:t>
      </w:r>
    </w:p>
    <w:p>
      <w:pPr>
        <w:pStyle w:val="ListBullet"/>
        <w:widowControl/>
        <w:numPr>
          <w:ilvl w:val="0"/>
          <w:numId w:val="1"/>
        </w:numPr>
        <w:spacing w:before="0" w:after="40"/>
        <w:ind w:hanging="360" w:start="360"/>
        <w:contextualSpacing/>
        <w:rPr/>
      </w:pPr>
      <w:r>
        <w:rPr/>
        <w:t>Endpoint ransomware indicators, abnormal encryption/write bursts, disabling of security agents, or attempted backup deletion.</w:t>
      </w:r>
    </w:p>
    <w:p>
      <w:pPr>
        <w:pStyle w:val="ListBullet"/>
        <w:widowControl/>
        <w:numPr>
          <w:ilvl w:val="0"/>
          <w:numId w:val="1"/>
        </w:numPr>
        <w:spacing w:before="0" w:after="40"/>
        <w:ind w:hanging="360" w:start="360"/>
        <w:contextualSpacing/>
        <w:rPr/>
      </w:pPr>
      <w:r>
        <w:rPr/>
        <w:t>Application error spikes, API quota exhaustion, external provider failures, certificate/DNS changes, and availability degradation.</w:t>
      </w:r>
    </w:p>
    <w:p>
      <w:pPr>
        <w:pStyle w:val="Heading1"/>
        <w:keepNext w:val="true"/>
        <w:widowControl/>
        <w:spacing w:before="220" w:after="80"/>
        <w:rPr/>
      </w:pPr>
      <w:r>
        <w:rPr>
          <w:rFonts w:ascii="Aptos Display" w:hAnsi="Aptos Display"/>
          <w:b/>
          <w:color w:val="17324D"/>
        </w:rPr>
        <w:t>10. Feasibility, Constraints and Residual Risk</w:t>
      </w:r>
    </w:p>
    <w:tbl>
      <w:tblPr>
        <w:tblW w:w="10455" w:type="dxa"/>
        <w:jc w:val="center"/>
        <w:tblInd w:w="0" w:type="dxa"/>
        <w:tblLayout w:type="fixed"/>
        <w:tblCellMar>
          <w:top w:w="80" w:type="dxa"/>
          <w:start w:w="85" w:type="dxa"/>
          <w:bottom w:w="80" w:type="dxa"/>
          <w:end w:w="85" w:type="dxa"/>
        </w:tblCellMar>
        <w:tblLook w:noHBand="0" w:noVBand="1" w:firstColumn="1" w:lastRow="0" w:lastColumn="0" w:firstRow="1" w:val="04a0"/>
      </w:tblPr>
      <w:tblGrid>
        <w:gridCol w:w="3485"/>
        <w:gridCol w:w="3485"/>
        <w:gridCol w:w="3485"/>
      </w:tblGrid>
      <w:tr>
        <w:trPr>
          <w:tblHeader w:val="true"/>
          <w:cantSplit/>
        </w:trPr>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Constraint</w:t>
            </w:r>
          </w:p>
        </w:tc>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Why it matters</w:t>
            </w:r>
          </w:p>
        </w:tc>
        <w:tc>
          <w:tcPr>
            <w:tcW w:w="3485" w:type="dxa"/>
            <w:tcBorders>
              <w:top w:val="single" w:sz="4" w:space="0" w:color="D2DDE6"/>
              <w:start w:val="single" w:sz="4" w:space="0" w:color="D2DDE6"/>
              <w:bottom w:val="single" w:sz="4" w:space="0" w:color="D2DDE6"/>
              <w:end w:val="single" w:sz="4" w:space="0" w:color="D2DDE6"/>
            </w:tcBorders>
            <w:shd w:fill="17324D" w:val="clear"/>
            <w:vAlign w:val="center"/>
          </w:tcPr>
          <w:p>
            <w:pPr>
              <w:pStyle w:val="Normal"/>
              <w:spacing w:lineRule="auto" w:line="245" w:before="0" w:after="0"/>
              <w:jc w:val="start"/>
              <w:rPr/>
            </w:pPr>
            <w:r>
              <w:rPr>
                <w:b/>
                <w:color w:val="FFFFFF"/>
                <w:sz w:val="15"/>
              </w:rPr>
              <w:t>Practical mitigation</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Legacy applications and vendor-owned code</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Fixes may need vendor release cycles or can break critical workflows.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Use compensating controls, isolate exposure, contract for SLAs, test in staging, document time-bound exceptions.</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Limited staff and monitoring hours</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Untriaged alerts and vulnerability findings can overwhelm teams.</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Prioritise by exposure and citizen impact; start with a small detection set; define on-call responsibility; consider shared SOC support.</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Citizen availability and inclusion</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Aggressive controls can lock out users or make the portal inaccessible.</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Test MFA/recovery and rate limits with representative users; preserve accessible alternatives and fallback channels.</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False positives and unsafe scanning</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Scans can disrupt older systems or create noisy findings.</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Authorise scope; prefer authenticated scans in staged windows; pilot scan settings; confirm findings manually.</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Third-party dependencies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A provider outage or supplier incident can bypass local controls.</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Map dependencies; require incident contacts and evidence; scope credentials; define fallback and exit plans.</w:t>
            </w:r>
          </w:p>
        </w:tc>
      </w:tr>
      <w:tr>
        <w:trPr>
          <w:cantSplit/>
        </w:trPr>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Privacy and data handling</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Logs and security tools may collect personal data or sensitive payloads.</w:t>
            </w:r>
          </w:p>
        </w:tc>
        <w:tc>
          <w:tcPr>
            <w:tcW w:w="3485" w:type="dxa"/>
            <w:tcBorders>
              <w:top w:val="single" w:sz="4" w:space="0" w:color="D2DDE6"/>
              <w:start w:val="single" w:sz="4" w:space="0" w:color="D2DDE6"/>
              <w:bottom w:val="single" w:sz="4" w:space="0" w:color="D2DDE6"/>
              <w:end w:val="single" w:sz="4" w:space="0" w:color="D2DDE6"/>
            </w:tcBorders>
            <w:shd w:fill="F6F9FB" w:val="clear"/>
            <w:vAlign w:val="center"/>
          </w:tcPr>
          <w:p>
            <w:pPr>
              <w:pStyle w:val="Normal"/>
              <w:spacing w:lineRule="auto" w:line="245" w:before="0" w:after="0"/>
              <w:rPr/>
            </w:pPr>
            <w:r>
              <w:rPr>
                <w:b w:val="false"/>
                <w:color w:val="263746"/>
                <w:sz w:val="15"/>
              </w:rPr>
              <w:t>Minimise log content; mask identifiers; restrict access; define retention and purpose; review applicable law/policy.</w:t>
            </w:r>
          </w:p>
        </w:tc>
      </w:tr>
      <w:tr>
        <w:trPr>
          <w:cantSplit/>
        </w:trPr>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Uncertain legal applicability and commencement</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Obligations differ and may phase in over time.</w:t>
            </w:r>
          </w:p>
        </w:tc>
        <w:tc>
          <w:tcPr>
            <w:tcW w:w="3485" w:type="dxa"/>
            <w:tcBorders>
              <w:top w:val="single" w:sz="4" w:space="0" w:color="D2DDE6"/>
              <w:start w:val="single" w:sz="4" w:space="0" w:color="D2DDE6"/>
              <w:bottom w:val="single" w:sz="4" w:space="0" w:color="D2DDE6"/>
              <w:end w:val="single" w:sz="4" w:space="0" w:color="D2DDE6"/>
            </w:tcBorders>
            <w:vAlign w:val="center"/>
          </w:tcPr>
          <w:p>
            <w:pPr>
              <w:pStyle w:val="Normal"/>
              <w:spacing w:lineRule="auto" w:line="245" w:before="0" w:after="0"/>
              <w:rPr/>
            </w:pPr>
            <w:r>
              <w:rPr>
                <w:b w:val="false"/>
                <w:color w:val="263746"/>
                <w:sz w:val="15"/>
              </w:rPr>
              <w:t>Legal/privacy owner verifies the current Gazette, directions, contracts, GIGW applicability and sector instructions.</w:t>
            </w:r>
          </w:p>
        </w:tc>
      </w:tr>
    </w:tbl>
    <w:p>
      <w:pPr>
        <w:pStyle w:val="Normal"/>
        <w:widowControl/>
        <w:spacing w:before="0" w:after="20"/>
        <w:rPr/>
      </w:pPr>
      <w:r>
        <w:rPr/>
      </w:r>
    </w:p>
    <w:p>
      <w:pPr>
        <w:pStyle w:val="Heading2"/>
        <w:keepNext w:val="true"/>
        <w:widowControl/>
        <w:spacing w:before="140" w:after="80"/>
        <w:rPr/>
      </w:pPr>
      <w:r>
        <w:rPr>
          <w:rFonts w:ascii="Aptos Display" w:hAnsi="Aptos Display"/>
          <w:b/>
          <w:color w:val="245B83"/>
        </w:rPr>
        <w:t>10.1 Residual risk acceptance</w:t>
      </w:r>
    </w:p>
    <w:p>
      <w:pPr>
        <w:pStyle w:val="Normal"/>
        <w:widowControl/>
        <w:spacing w:lineRule="auto" w:line="259" w:before="0" w:after="100"/>
        <w:rPr/>
      </w:pPr>
      <w:r>
        <w:rPr/>
        <w:t>After controls, some risk remains because attackers adapt, third-party dependencies may fail, legacy systems cannot always be redesigned immediately, and monitoring can miss activity. The target residual scores in Section 6 represent expected risk if controls are implemented and effective. They must be recalculated based on retest outcomes and control evidence. A designated accountable authority—not an individual technician—should formally accept any residual High or Critical risk, with a time limit, documented rationale, compensating measures, and scheduled review. A Critical exposure with credible exploitation and severe public impact should be escalated for immediate containment or service-owner decision.</w:t>
      </w:r>
    </w:p>
    <w:p>
      <w:pPr>
        <w:pStyle w:val="Heading2"/>
        <w:keepNext w:val="true"/>
        <w:widowControl/>
        <w:spacing w:before="140" w:after="80"/>
        <w:rPr/>
      </w:pPr>
      <w:r>
        <w:rPr>
          <w:rFonts w:ascii="Aptos Display" w:hAnsi="Aptos Display"/>
          <w:b/>
          <w:color w:val="245B83"/>
        </w:rPr>
        <w:t>10.2 Legal and framework alignment notes</w:t>
      </w:r>
    </w:p>
    <w:p>
      <w:pPr>
        <w:pStyle w:val="Normal"/>
        <w:widowControl/>
        <w:spacing w:lineRule="auto" w:line="259" w:before="0" w:after="100"/>
        <w:rPr/>
      </w:pPr>
      <w:r>
        <w:rPr/>
        <w:t>GIGW 3.0 is India’s official guidance for government websites and apps and includes cybersecurity, accessibility, quality and lifecycle-management dimensions [1]. CERT-In’s published directions and FAQs describe incident reporting and log-related expectations for entities within scope; current directions and official FAQs should be reviewed for exact applicability and operational requirements [7]. The Digital Personal Data Protection Act, 2023 and Rules, 2025 have phased commencement, so not every provision should be treated as already effective on the same date; confirm applicable provisions and timelines from the official Gazette and MeitY materials [8]. NIST and OWASP are useful technical frameworks but do not independently establish Indian legal compliance.</w:t>
      </w:r>
    </w:p>
    <w:p>
      <w:pPr>
        <w:pStyle w:val="Heading1"/>
        <w:keepNext w:val="true"/>
        <w:widowControl/>
        <w:spacing w:before="220" w:after="80"/>
        <w:rPr/>
      </w:pPr>
      <w:r>
        <w:rPr>
          <w:rFonts w:ascii="Aptos Display" w:hAnsi="Aptos Display"/>
          <w:b/>
          <w:color w:val="17324D"/>
        </w:rPr>
        <w:t>11. Conclusion and Immediate Action Plan</w:t>
      </w:r>
    </w:p>
    <w:p>
      <w:pPr>
        <w:pStyle w:val="Normal"/>
        <w:widowControl/>
        <w:spacing w:lineRule="auto" w:line="259" w:before="0" w:after="100"/>
        <w:rPr/>
      </w:pPr>
      <w:r>
        <w:rPr/>
        <w:t>The assessment shows why e-governance security must be treated as an end-to-end service risk rather than a collection of isolated technical findings. Weak API authorisation, compromised identities, exploitable software, ransomware, supply-chain risk, poor monitoring and failed recovery can affect both the confidentiality of citizen records and the availability or integrity of public services. The highest-value early actions are to identify assets, protect privileged access, correct confirmed critical exposures, verify recoverability and establish operational ownership for alerts and remediation.</w:t>
      </w:r>
    </w:p>
    <w:p>
      <w:pPr>
        <w:pStyle w:val="Heading2"/>
        <w:keepNext w:val="true"/>
        <w:widowControl/>
        <w:spacing w:before="140" w:after="80"/>
        <w:rPr/>
      </w:pPr>
      <w:r>
        <w:rPr>
          <w:rFonts w:ascii="Aptos Display" w:hAnsi="Aptos Display"/>
          <w:b/>
          <w:color w:val="245B83"/>
        </w:rPr>
        <w:t>11.1 Five actions to begin with</w:t>
      </w:r>
    </w:p>
    <w:p>
      <w:pPr>
        <w:pStyle w:val="Normal"/>
        <w:widowControl/>
        <w:spacing w:before="0" w:after="60"/>
        <w:ind w:hanging="317" w:start="403"/>
        <w:rPr/>
      </w:pPr>
      <w:r>
        <w:rPr>
          <w:b/>
          <w:color w:val="245B83"/>
        </w:rPr>
        <w:t xml:space="preserve">1. </w:t>
      </w:r>
      <w:r>
        <w:rPr/>
        <w:t>Approve written scope and authority; nominate a service owner, technical leads and risk-acceptance authority.</w:t>
      </w:r>
    </w:p>
    <w:p>
      <w:pPr>
        <w:pStyle w:val="Normal"/>
        <w:widowControl/>
        <w:spacing w:before="0" w:after="60"/>
        <w:ind w:hanging="317" w:start="403"/>
        <w:rPr/>
      </w:pPr>
      <w:r>
        <w:rPr>
          <w:b/>
          <w:color w:val="245B83"/>
        </w:rPr>
        <w:t xml:space="preserve">2. </w:t>
      </w:r>
      <w:r>
        <w:rPr/>
        <w:t>Build the first asset inventory and map the data flows, public endpoints, critical APIs, vendors and privileged accounts.</w:t>
      </w:r>
    </w:p>
    <w:p>
      <w:pPr>
        <w:pStyle w:val="Normal"/>
        <w:widowControl/>
        <w:spacing w:before="0" w:after="60"/>
        <w:ind w:hanging="317" w:start="403"/>
        <w:rPr/>
      </w:pPr>
      <w:r>
        <w:rPr>
          <w:b/>
          <w:color w:val="245B83"/>
        </w:rPr>
        <w:t xml:space="preserve">3. </w:t>
      </w:r>
      <w:r>
        <w:rPr/>
        <w:t>Validate the top-ranked hypotheses with safe evidence collection: configuration review, approved scans, access-control tests and patch status.</w:t>
      </w:r>
    </w:p>
    <w:p>
      <w:pPr>
        <w:pStyle w:val="Normal"/>
        <w:widowControl/>
        <w:spacing w:before="0" w:after="60"/>
        <w:ind w:hanging="317" w:start="403"/>
        <w:rPr/>
      </w:pPr>
      <w:r>
        <w:rPr>
          <w:b/>
          <w:color w:val="245B83"/>
        </w:rPr>
        <w:t xml:space="preserve">4. </w:t>
      </w:r>
      <w:r>
        <w:rPr/>
        <w:t>Create a risk-treatment backlog with owners, due dates, verification criteria, and explicit exception handling.</w:t>
      </w:r>
    </w:p>
    <w:p>
      <w:pPr>
        <w:pStyle w:val="Normal"/>
        <w:widowControl/>
        <w:spacing w:before="0" w:after="60"/>
        <w:ind w:hanging="317" w:start="403"/>
        <w:rPr/>
      </w:pPr>
      <w:r>
        <w:rPr>
          <w:b/>
          <w:color w:val="245B83"/>
        </w:rPr>
        <w:t xml:space="preserve">5. </w:t>
      </w:r>
      <w:r>
        <w:rPr/>
        <w:t>Run a restoration test and an incident tabletop; use lessons to update the response plan and risk register.</w:t>
      </w:r>
    </w:p>
    <w:tbl>
      <w:tblPr>
        <w:tblW w:w="10454" w:type="dxa"/>
        <w:jc w:val="center"/>
        <w:tblInd w:w="0" w:type="dxa"/>
        <w:tblLayout w:type="fixed"/>
        <w:tblCellMar>
          <w:top w:w="140" w:type="dxa"/>
          <w:start w:w="170" w:type="dxa"/>
          <w:bottom w:w="140" w:type="dxa"/>
          <w:end w:w="170" w:type="dxa"/>
        </w:tblCellMar>
        <w:tblLook w:noHBand="0" w:noVBand="1" w:firstColumn="1" w:lastRow="0" w:lastColumn="0" w:firstRow="1" w:val="04a0"/>
      </w:tblPr>
      <w:tblGrid>
        <w:gridCol w:w="10454"/>
      </w:tblGrid>
      <w:tr>
        <w:trPr/>
        <w:tc>
          <w:tcPr>
            <w:tcW w:w="10454" w:type="dxa"/>
            <w:tcBorders>
              <w:top w:val="single" w:sz="6" w:space="0" w:color="EAF1F8"/>
              <w:start w:val="single" w:sz="6" w:space="0" w:color="EAF1F8"/>
              <w:bottom w:val="single" w:sz="6" w:space="0" w:color="EAF1F8"/>
              <w:end w:val="single" w:sz="6" w:space="0" w:color="EAF1F8"/>
            </w:tcBorders>
            <w:shd w:fill="EAF1F8" w:val="clear"/>
          </w:tcPr>
          <w:p>
            <w:pPr>
              <w:pStyle w:val="Normal"/>
              <w:spacing w:before="0" w:after="60"/>
              <w:rPr/>
            </w:pPr>
            <w:r>
              <w:rPr>
                <w:b/>
                <w:color w:val="17324D"/>
                <w:sz w:val="19"/>
              </w:rPr>
              <w:t xml:space="preserve">Decision requested: </w:t>
            </w:r>
            <w:r>
              <w:rPr>
                <w:color w:val="263746"/>
                <w:sz w:val="18"/>
              </w:rPr>
              <w:t>Approve the 30-day discovery and containment phase, including staff time for asset confirmation, vulnerability triage, privileged-access review, backup restoration testing and logging coverage. Re-score the register at the end of the phase using actual evidence.</w:t>
            </w:r>
          </w:p>
        </w:tc>
      </w:tr>
    </w:tbl>
    <w:p>
      <w:pPr>
        <w:pStyle w:val="Normal"/>
        <w:widowControl/>
        <w:spacing w:before="0" w:after="0"/>
        <w:rPr/>
      </w:pPr>
      <w:r>
        <w:rPr/>
      </w:r>
    </w:p>
    <w:p>
      <w:pPr>
        <w:pStyle w:val="Heading1"/>
        <w:keepNext w:val="true"/>
        <w:widowControl/>
        <w:spacing w:before="220" w:after="80"/>
        <w:rPr/>
      </w:pPr>
      <w:r>
        <w:rPr>
          <w:rFonts w:ascii="Aptos Display" w:hAnsi="Aptos Display"/>
          <w:b/>
          <w:color w:val="17324D"/>
        </w:rPr>
        <w:t xml:space="preserve">Appendix A. Submission Description </w:t>
      </w:r>
    </w:p>
    <w:p>
      <w:pPr>
        <w:pStyle w:val="Normal"/>
        <w:widowControl/>
        <w:spacing w:lineRule="auto" w:line="240" w:before="0" w:after="80"/>
        <w:rPr/>
      </w:pPr>
      <w:r>
        <w:rPr>
          <w:sz w:val="18"/>
        </w:rPr>
        <w:t>This report presents a structured vulnerability and risk assessment for a hypothetical e-governance platform that provides citizen account access, application submissions, document uploads, case-worker functions and integrations with external identity or payment services. The assessment reviews the major layers of the service architecture, including public network and edge protection, web and mobile interfaces, APIs and backend services, identity and privileged access, databases and document storage, cloud/host infrastructure, third-party suppliers, operational processes and human factors. It clearly states that the work is a desk-based hypothetical assessment: no production system was scanned or accessed, and the risks are potential scenarios that must be validated through authorised testing and evidence collection.</w:t>
      </w:r>
    </w:p>
    <w:p>
      <w:pPr>
        <w:pStyle w:val="Normal"/>
        <w:widowControl/>
        <w:spacing w:lineRule="auto" w:line="240" w:before="0" w:after="80"/>
        <w:rPr/>
      </w:pPr>
      <w:r>
        <w:rPr>
          <w:sz w:val="18"/>
        </w:rPr>
        <w:t>The report defines a repeatable methodology informed by NIST SP 800-30 Rev. 1 and structured with NIST Cybersecurity Framework 2.0. It uses OWASP Top 10:2025 and the OWASP Web Security Testing Guide to inform application and API risk categories. A qualitative five-by-five likelihood-impact model ranks 20 scenarios, including broken access control, weak authentication, injection, unpatched systems, sensitive data exposure, insecure API integrations, software supply-chain compromise, ransomware, network segmentation gaps, backup failure, logging deficiencies, denial of service, cloud misconfiguration, supplier compromise, phishing, insider misuse, TLS/DNS weaknesses, unsafe document uploads, privacy and retention weaknesses, and single points of failure.</w:t>
      </w:r>
    </w:p>
    <w:p>
      <w:pPr>
        <w:pStyle w:val="Normal"/>
        <w:widowControl/>
        <w:spacing w:lineRule="auto" w:line="240" w:before="0" w:after="80"/>
        <w:rPr/>
      </w:pPr>
      <w:r>
        <w:rPr>
          <w:sz w:val="18"/>
        </w:rPr>
        <w:t>For each risk, the report describes potential citizen and service impacts, recommended technical and procedural controls, an accountable owner, a target treatment window and an indicative residual risk estimate. It includes a reference architecture diagram, a risk-scoring heatmap, a risk-assessment lifecycle diagram, a summary risk matrix, a phased 12-month roadmap, resource assumptions, a proportional budget model, validation rules, performance indicators and suggested monitoring use cases.</w:t>
      </w:r>
    </w:p>
    <w:p>
      <w:pPr>
        <w:pStyle w:val="Normal"/>
        <w:widowControl/>
        <w:spacing w:lineRule="auto" w:line="240" w:before="0" w:after="80"/>
        <w:rPr/>
      </w:pPr>
      <w:r>
        <w:rPr>
          <w:sz w:val="18"/>
        </w:rPr>
        <w:t>The report also considers India-relevant references such as GIGW 3.0, CERT-In directions and the phased Digital Personal Data Protection framework, while noting that legal applicability and commencement must be confirmed from current official sources. Its final action plan prioritises asset discovery, privileged-access protection, critical vulnerability remediation, backup restoration testing, security logging and evidence-based retesting. The intended outcome is a practical, risk-based improvement plan that protects citizen information, supports service availability and helps the platform owner measure whether security controls are working.</w:t>
      </w:r>
    </w:p>
    <w:p>
      <w:pPr>
        <w:pStyle w:val="Heading1"/>
        <w:keepNext w:val="true"/>
        <w:widowControl/>
        <w:spacing w:before="220" w:after="80"/>
        <w:rPr/>
      </w:pPr>
      <w:r>
        <w:rPr>
          <w:rFonts w:ascii="Aptos Display" w:hAnsi="Aptos Display"/>
          <w:b/>
          <w:color w:val="17324D"/>
        </w:rPr>
        <w:t>Appendix B. References and Further Reading</w:t>
      </w:r>
    </w:p>
    <w:p>
      <w:pPr>
        <w:pStyle w:val="Normal"/>
        <w:widowControl/>
        <w:spacing w:lineRule="auto" w:line="240" w:before="0" w:after="60"/>
        <w:ind w:hanging="173" w:start="173"/>
        <w:rPr/>
      </w:pPr>
      <w:r>
        <w:rPr>
          <w:sz w:val="16"/>
        </w:rPr>
        <w:t xml:space="preserve">[1] Government of India, National Informatics Centre / MeitY. Guidelines for Indian Government Websites and Apps (GIGW 3.0), official portal and guidelines. </w:t>
      </w:r>
      <w:hyperlink r:id="rId6">
        <w:r>
          <w:rPr>
            <w:rStyle w:val="Style"/>
            <w:color w:val="0563C1"/>
            <w:u w:val="single"/>
          </w:rPr>
          <w:t>Official source</w:t>
        </w:r>
      </w:hyperlink>
    </w:p>
    <w:p>
      <w:pPr>
        <w:pStyle w:val="Normal"/>
        <w:widowControl/>
        <w:spacing w:lineRule="auto" w:line="240" w:before="0" w:after="60"/>
        <w:ind w:hanging="173" w:start="173"/>
        <w:rPr/>
      </w:pPr>
      <w:r>
        <w:rPr>
          <w:sz w:val="16"/>
        </w:rPr>
        <w:t xml:space="preserve">[2] National Institute of Standards and Technology (NIST). SP 800-30 Rev. 1, Guide for Conducting Risk Assessments (September 2012). </w:t>
      </w:r>
      <w:hyperlink r:id="rId7">
        <w:r>
          <w:rPr>
            <w:rStyle w:val="Style"/>
            <w:color w:val="0563C1"/>
            <w:u w:val="single"/>
          </w:rPr>
          <w:t>Official source</w:t>
        </w:r>
      </w:hyperlink>
    </w:p>
    <w:p>
      <w:pPr>
        <w:pStyle w:val="Normal"/>
        <w:widowControl/>
        <w:spacing w:lineRule="auto" w:line="240" w:before="0" w:after="60"/>
        <w:ind w:hanging="173" w:start="173"/>
        <w:rPr/>
      </w:pPr>
      <w:r>
        <w:rPr>
          <w:sz w:val="16"/>
        </w:rPr>
        <w:t xml:space="preserve">[3] NIST. Cybersecurity Framework (CSF) 2.0 (published 26 February 2024). </w:t>
      </w:r>
      <w:hyperlink r:id="rId8">
        <w:r>
          <w:rPr>
            <w:rStyle w:val="Style"/>
            <w:color w:val="0563C1"/>
            <w:u w:val="single"/>
          </w:rPr>
          <w:t>Official source</w:t>
        </w:r>
      </w:hyperlink>
    </w:p>
    <w:p>
      <w:pPr>
        <w:pStyle w:val="Normal"/>
        <w:widowControl/>
        <w:spacing w:lineRule="auto" w:line="240" w:before="0" w:after="60"/>
        <w:ind w:hanging="173" w:start="173"/>
        <w:rPr/>
      </w:pPr>
      <w:r>
        <w:rPr>
          <w:sz w:val="16"/>
        </w:rPr>
        <w:t xml:space="preserve">[4] OWASP Foundation. OWASP Top 10:2025 - The Ten Most Critical Web Application Security Risks. </w:t>
      </w:r>
      <w:hyperlink r:id="rId9">
        <w:r>
          <w:rPr>
            <w:rStyle w:val="Style"/>
            <w:color w:val="0563C1"/>
            <w:u w:val="single"/>
          </w:rPr>
          <w:t>Official source</w:t>
        </w:r>
      </w:hyperlink>
    </w:p>
    <w:p>
      <w:pPr>
        <w:pStyle w:val="Normal"/>
        <w:widowControl/>
        <w:spacing w:lineRule="auto" w:line="240" w:before="0" w:after="60"/>
        <w:ind w:hanging="173" w:start="173"/>
        <w:rPr/>
      </w:pPr>
      <w:r>
        <w:rPr>
          <w:sz w:val="16"/>
        </w:rPr>
        <w:t xml:space="preserve">[5] OWASP Foundation. Web Security Testing Guide (WSTG), official project and testing methodology. </w:t>
      </w:r>
      <w:hyperlink r:id="rId10">
        <w:r>
          <w:rPr>
            <w:rStyle w:val="Style"/>
            <w:color w:val="0563C1"/>
            <w:u w:val="single"/>
          </w:rPr>
          <w:t>Official source</w:t>
        </w:r>
      </w:hyperlink>
    </w:p>
    <w:p>
      <w:pPr>
        <w:pStyle w:val="Normal"/>
        <w:widowControl/>
        <w:spacing w:lineRule="auto" w:line="240" w:before="0" w:after="60"/>
        <w:ind w:hanging="173" w:start="173"/>
        <w:rPr/>
      </w:pPr>
      <w:r>
        <w:rPr>
          <w:sz w:val="16"/>
        </w:rPr>
        <w:t xml:space="preserve">[6] Cybersecurity and Infrastructure Security Agency (CISA). Known Exploited Vulnerabilities (KEV) Catalog. Use to enrich priority decisions where software applicability is confirmed. </w:t>
      </w:r>
      <w:hyperlink r:id="rId11">
        <w:r>
          <w:rPr>
            <w:rStyle w:val="Style"/>
            <w:color w:val="0563C1"/>
            <w:u w:val="single"/>
          </w:rPr>
          <w:t>Official source</w:t>
        </w:r>
      </w:hyperlink>
    </w:p>
    <w:p>
      <w:pPr>
        <w:pStyle w:val="Normal"/>
        <w:widowControl/>
        <w:spacing w:lineRule="auto" w:line="240" w:before="0" w:after="60"/>
        <w:ind w:hanging="173" w:start="173"/>
        <w:rPr/>
      </w:pPr>
      <w:r>
        <w:rPr>
          <w:sz w:val="16"/>
        </w:rPr>
        <w:t xml:space="preserve">[7] Indian Computer Emergency Response Team (CERT-In). Directions under Section 70B of the Information Technology Act, 2000, dated 28 April 2022, and related official FAQs. Check current official guidance for applicability and details. </w:t>
      </w:r>
      <w:hyperlink r:id="rId12">
        <w:r>
          <w:rPr>
            <w:rStyle w:val="Style"/>
            <w:color w:val="0563C1"/>
            <w:u w:val="single"/>
          </w:rPr>
          <w:t>Official source</w:t>
        </w:r>
      </w:hyperlink>
    </w:p>
    <w:p>
      <w:pPr>
        <w:pStyle w:val="Normal"/>
        <w:widowControl/>
        <w:spacing w:lineRule="auto" w:line="240" w:before="0" w:after="60"/>
        <w:ind w:hanging="173" w:start="173"/>
        <w:rPr/>
      </w:pPr>
      <w:r>
        <w:rPr>
          <w:sz w:val="16"/>
        </w:rPr>
        <w:t xml:space="preserve">[8] Ministry of Electronics and Information Technology (MeitY). Digital Personal Data Protection Rules, 2025 and enforcement timeline materials. Check current Gazette notifications and phased commencement. </w:t>
      </w:r>
      <w:hyperlink r:id="rId13">
        <w:r>
          <w:rPr>
            <w:rStyle w:val="Style"/>
            <w:color w:val="0563C1"/>
            <w:u w:val="single"/>
          </w:rPr>
          <w:t>Official source</w:t>
        </w:r>
      </w:hyperlink>
    </w:p>
    <w:p>
      <w:pPr>
        <w:pStyle w:val="Normal"/>
        <w:widowControl/>
        <w:spacing w:lineRule="auto" w:line="240" w:before="0" w:after="60"/>
        <w:ind w:hanging="173" w:start="173"/>
        <w:rPr/>
      </w:pPr>
      <w:r>
        <w:rPr>
          <w:sz w:val="16"/>
        </w:rPr>
        <w:t xml:space="preserve">[9] CERT-In. Responsible Vulnerability Disclosure and Coordination Policy. </w:t>
      </w:r>
      <w:hyperlink r:id="rId14">
        <w:r>
          <w:rPr>
            <w:rStyle w:val="Style"/>
            <w:color w:val="0563C1"/>
            <w:u w:val="single"/>
          </w:rPr>
          <w:t>Official source</w:t>
        </w:r>
      </w:hyperlink>
    </w:p>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893" w:right="893" w:gutter="0" w:header="403" w:top="979" w:footer="461"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748B"/>
        <w:sz w:val="15"/>
      </w:rPr>
      <w:t xml:space="preserve">Hypothetical assessment  |  Page </w:t>
    </w:r>
    <w:r>
      <w:rPr/>
      <w:fldChar w:fldCharType="begin"/>
    </w:r>
    <w:r>
      <w:rPr/>
      <w:instrText xml:space="preserve"> PAGE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748B"/>
        <w:sz w:val="15"/>
      </w:rPr>
      <w:t xml:space="preserve">Hypothetical assessment  |  Page </w:t>
    </w:r>
    <w:r>
      <w:rPr/>
      <w:fldChar w:fldCharType="begin"/>
    </w:r>
    <w:r>
      <w:rPr/>
      <w:instrText xml:space="preserve"> PAGE </w:instrText>
    </w:r>
    <w:r>
      <w:rPr/>
      <w:fldChar w:fldCharType="separate"/>
    </w:r>
    <w:r>
      <w:rPr/>
      <w:t>21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color w:val="287D7D"/>
        <w:sz w:val="15"/>
      </w:rPr>
      <w:t>WEEK 3  |  E-GOVERNANCE SECURITY ASSESSMENT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color w:val="287D7D"/>
        <w:sz w:val="15"/>
      </w:rPr>
      <w:t>WEEK 3  |  E-GOVERNANCE SECURITY ASSESSMENT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start"/>
    </w:pPr>
    <w:rPr>
      <w:rFonts w:ascii="Aptos" w:hAnsi="Aptos" w:eastAsia="ＭＳ 明朝" w:cs=""/>
      <w:color w:val="263746"/>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7324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45B83"/>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287D7D"/>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17324D"/>
      <w:spacing w:val="5"/>
      <w:kern w:val="2"/>
      <w:sz w:val="6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287D7D"/>
      <w:spacing w:val="15"/>
      <w:sz w:val="28"/>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00"/>
      <w:ind w:hanging="360" w:start="720"/>
      <w:contextualSpacing/>
    </w:pPr>
    <w:rPr/>
  </w:style>
  <w:style w:type="paragraph" w:styleId="List3">
    <w:name w:val="List 3"/>
    <w:basedOn w:val="Normal"/>
    <w:uiPriority w:val="99"/>
    <w:unhideWhenUsed/>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guidelines.india.gov.in/" TargetMode="External"/><Relationship Id="rId7" Type="http://schemas.openxmlformats.org/officeDocument/2006/relationships/hyperlink" Target="https://csrc.nist.gov/pubs/sp/800/30/r1/final" TargetMode="External"/><Relationship Id="rId8" Type="http://schemas.openxmlformats.org/officeDocument/2006/relationships/hyperlink" Target="https://csrc.nist.gov/pubs/cswp/29/the-nist-cybersecurity-framework-csf-20/final" TargetMode="External"/><Relationship Id="rId9" Type="http://schemas.openxmlformats.org/officeDocument/2006/relationships/hyperlink" Target="https://top10.owasp.org/2025/" TargetMode="External"/><Relationship Id="rId10" Type="http://schemas.openxmlformats.org/officeDocument/2006/relationships/hyperlink" Target="https://owasp.org/www-project-web-security-testing-guide/" TargetMode="External"/><Relationship Id="rId11" Type="http://schemas.openxmlformats.org/officeDocument/2006/relationships/hyperlink" Target="https://www.cisa.gov/known-exploited-vulnerabilities-catalog" TargetMode="External"/><Relationship Id="rId12" Type="http://schemas.openxmlformats.org/officeDocument/2006/relationships/hyperlink" Target="https://www.cert-in.org.in/" TargetMode="External"/><Relationship Id="rId13" Type="http://schemas.openxmlformats.org/officeDocument/2006/relationships/hyperlink" Target="https://www.meity.gov.in/documents/act-and-policies/digital-personal-data-protection-rules-2025-gDOxUjMtQWa?pageTitle=Digit" TargetMode="External"/><Relationship Id="rId14" Type="http://schemas.openxmlformats.org/officeDocument/2006/relationships/hyperlink" Target="https://cert-in.org.in/RVDCP.jsp"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LibreOffice/26.8.0.3$Linux_X86_64 LibreOffice_project/680$Build-3</Application>
  <AppVersion>15.0000</AppVersion>
  <Pages>21</Pages>
  <Words>7074</Words>
  <Characters>45823</Characters>
  <CharactersWithSpaces>52254</CharactersWithSpaces>
  <Paragraphs>720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Ritesh Kumawat</dc:creator>
  <dc:description>generated by python-docx</dc:description>
  <cp:keywords>e-governance cybersecurity vulnerability assessment risk matrix NIST CSF 2.0 OWASP GIGW</cp:keywords>
  <dc:language>en-IN</dc:language>
  <cp:lastModifiedBy/>
  <dcterms:modified xsi:type="dcterms:W3CDTF">2026-10-22T23:01:46Z</dcterms:modified>
  <cp:revision>2</cp:revision>
  <dc:subject>Hypothetical risk assessment and mitigation roadmap for e-governance digital services</dc:subject>
  <dc:title>Week 3 - Vulnerability and Risk Assessment for E-Governance Platforms</dc:title>
</cp:coreProperties>
</file>

<file path=docProps/custom.xml><?xml version="1.0" encoding="utf-8"?>
<Properties xmlns="http://schemas.openxmlformats.org/officeDocument/2006/custom-properties" xmlns:vt="http://schemas.openxmlformats.org/officeDocument/2006/docPropsVTypes"/>
</file>