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120"/>
        <w:jc w:val="start"/>
        <w:rPr/>
      </w:pPr>
      <w:r>
        <w:rPr>
          <w:rFonts w:ascii="Aptos Display" w:hAnsi="Aptos Display"/>
          <w:b/>
          <w:color w:val="142D46"/>
          <w:sz w:val="62"/>
        </w:rPr>
        <w:t>CYBERSECURITY</w:t>
        <w:br/>
        <w:t>INCIDENT RESPONSE PLAN</w:t>
      </w:r>
    </w:p>
    <w:p>
      <w:pPr>
        <w:pStyle w:val="Normal"/>
        <w:spacing w:before="160" w:after="120"/>
        <w:rPr/>
      </w:pPr>
      <w:r>
        <w:rPr>
          <w:color w:val="007880"/>
          <w:sz w:val="34"/>
        </w:rPr>
        <w:t>For a Hypothetical Indian E-Governance Digital Service</w:t>
      </w:r>
    </w:p>
    <w:p>
      <w:pPr>
        <w:pStyle w:val="Subtitle"/>
        <w:rPr/>
      </w:pPr>
      <w:r>
        <w:rPr/>
        <w:t>Week 4 Task | Incident Response Plan Development for Digital Platforms</w:t>
      </w:r>
    </w:p>
    <w:p>
      <w:pPr>
        <w:pStyle w:val="Normal"/>
        <w:rPr/>
      </w:pPr>
      <w:r>
        <w:rPr/>
      </w:r>
    </w:p>
    <w:tbl>
      <w:tblPr>
        <w:tblW w:w="9792" w:type="dxa"/>
        <w:jc w:val="start"/>
        <w:tblInd w:w="102" w:type="dxa"/>
        <w:tblLayout w:type="fixed"/>
        <w:tblCellMar>
          <w:top w:w="0" w:type="dxa"/>
          <w:start w:w="108" w:type="dxa"/>
          <w:bottom w:w="0" w:type="dxa"/>
          <w:end w:w="108" w:type="dxa"/>
        </w:tblCellMar>
        <w:tblLook w:noHBand="0" w:noVBand="1" w:firstColumn="1" w:lastRow="0" w:lastColumn="0" w:firstRow="1" w:val="04a0"/>
      </w:tblPr>
      <w:tblGrid>
        <w:gridCol w:w="9792"/>
      </w:tblGrid>
      <w:tr>
        <w:trPr>
          <w:trHeight w:val="173" w:hRule="atLeast"/>
        </w:trPr>
        <w:tc>
          <w:tcPr>
            <w:tcW w:w="9792" w:type="dxa"/>
            <w:tcBorders>
              <w:top w:val="single" w:sz="4" w:space="0" w:color="D4DEE5"/>
              <w:start w:val="single" w:sz="4" w:space="0" w:color="D4DEE5"/>
              <w:bottom w:val="single" w:sz="4" w:space="0" w:color="D4DEE5"/>
              <w:end w:val="single" w:sz="4" w:space="0" w:color="D4DEE5"/>
            </w:tcBorders>
            <w:shd w:fill="007880" w:val="clear"/>
          </w:tcPr>
          <w:p>
            <w:pPr>
              <w:pStyle w:val="Normal"/>
              <w:widowControl/>
              <w:bidi w:val="0"/>
              <w:spacing w:lineRule="auto" w:line="259" w:before="0" w:after="120"/>
              <w:jc w:val="start"/>
              <w:rPr/>
            </w:pPr>
            <w:r>
              <w:rPr/>
            </w:r>
          </w:p>
        </w:tc>
      </w:tr>
    </w:tbl>
    <w:p>
      <w:pPr>
        <w:pStyle w:val="Normal"/>
        <w:rPr/>
      </w:pPr>
      <w:r>
        <w:rPr/>
      </w:r>
    </w:p>
    <w:p>
      <w:pPr>
        <w:pStyle w:val="Normal"/>
        <w:spacing w:before="440" w:after="120"/>
        <w:rPr/>
      </w:pPr>
      <w:r>
        <w:rPr>
          <w:b/>
          <w:color w:val="5B6977"/>
          <w:sz w:val="20"/>
        </w:rPr>
        <w:t>Prepared by</w:t>
      </w:r>
    </w:p>
    <w:p>
      <w:pPr>
        <w:pStyle w:val="Normal"/>
        <w:rPr/>
      </w:pPr>
      <w:r>
        <w:rPr>
          <w:b/>
          <w:color w:val="142D46"/>
          <w:sz w:val="34"/>
        </w:rPr>
        <w:t>Ritesh Kumawat</w:t>
      </w:r>
    </w:p>
    <w:p>
      <w:pPr>
        <w:pStyle w:val="Normal"/>
        <w:spacing w:before="0" w:after="60"/>
        <w:rPr/>
      </w:pPr>
      <w:r>
        <w:rPr>
          <w:color w:val="5B6977"/>
          <w:sz w:val="18"/>
        </w:rPr>
        <w:t>Prepared: 2</w:t>
      </w:r>
      <w:r>
        <w:rPr>
          <w:color w:val="5B6977"/>
          <w:sz w:val="18"/>
        </w:rPr>
        <w:t>6</w:t>
      </w:r>
      <w:r>
        <w:rPr>
          <w:color w:val="5B6977"/>
          <w:sz w:val="18"/>
        </w:rPr>
        <w:t xml:space="preserve"> October 2026</w:t>
      </w:r>
    </w:p>
    <w:p>
      <w:pPr>
        <w:pStyle w:val="Normal"/>
        <w:spacing w:before="0" w:after="60"/>
        <w:rPr/>
      </w:pPr>
      <w:r>
        <w:rPr>
          <w:color w:val="5B6977"/>
          <w:sz w:val="18"/>
        </w:rPr>
        <w:t>Document type: Operational playbook and tabletop scenario</w:t>
      </w:r>
    </w:p>
    <w:p>
      <w:pPr>
        <w:pStyle w:val="Normal"/>
        <w:rPr/>
      </w:pPr>
      <w:r>
        <w:rPr/>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Purpose</w:t>
            </w:r>
          </w:p>
          <w:p>
            <w:pPr>
              <w:pStyle w:val="Normal"/>
              <w:spacing w:lineRule="auto" w:line="254" w:before="0" w:after="0"/>
              <w:rPr/>
            </w:pPr>
            <w:r>
              <w:rPr>
                <w:color w:val="2B3641"/>
                <w:sz w:val="18"/>
              </w:rPr>
              <w:t>Provide clear roles, decision thresholds, response actions, communications and recovery criteria for a suspected major cyber incident affecting citizen-facing e-governance services. The plan is designed to be actionable; the service owner must validate contacts, contractual reporting duties and current legal applicability before operational adoption.</w:t>
            </w:r>
          </w:p>
        </w:tc>
      </w:tr>
    </w:tbl>
    <w:p>
      <w:pPr>
        <w:pStyle w:val="Normal"/>
        <w:spacing w:before="0" w:after="0"/>
        <w:rPr/>
      </w:pPr>
      <w:r>
        <w:rPr/>
      </w:r>
    </w:p>
    <w:p>
      <w:pPr>
        <w:pStyle w:val="Normal"/>
        <w:spacing w:before="720" w:after="120"/>
        <w:rPr/>
      </w:pPr>
      <w:r>
        <w:rPr>
          <w:b/>
          <w:color w:val="142D46"/>
          <w:sz w:val="24"/>
        </w:rPr>
        <w:t>Core response principle: protect citizens, limit harm, preserve evidence, communicate accurately, and restore trusted services.</w:t>
      </w:r>
    </w:p>
    <w:p>
      <w:pPr>
        <w:pStyle w:val="Normal"/>
        <w:rPr/>
      </w:pPr>
      <w:r>
        <w:rPr/>
      </w:r>
      <w:r>
        <w:br w:type="page"/>
      </w:r>
    </w:p>
    <w:p>
      <w:pPr>
        <w:pStyle w:val="Heading1"/>
        <w:spacing w:before="0" w:after="100"/>
        <w:rPr/>
      </w:pPr>
      <w:r>
        <w:rPr/>
        <w:t>Document Control and Use</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231"/>
        <w:gridCol w:w="7705"/>
      </w:tblGrid>
      <w:tr>
        <w:trPr>
          <w:tblHeader w:val="true"/>
          <w:cantSplit/>
        </w:trPr>
        <w:tc>
          <w:tcPr>
            <w:tcW w:w="223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8"/>
              </w:rPr>
              <w:t>Field</w:t>
            </w:r>
          </w:p>
        </w:tc>
        <w:tc>
          <w:tcPr>
            <w:tcW w:w="770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8"/>
              </w:rPr>
              <w:t>Details</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Document owner</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Service Owner / Department Head (accountable); Security Lead (technical custodian)</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8"/>
              </w:rPr>
              <w:t>Approver</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8"/>
              </w:rPr>
              <w:t>Authorised Department Head or delegated executive incident sponsor</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Review cycle</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At least every 12 months, after a major incident, major platform change, or exercise</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8"/>
              </w:rPr>
              <w:t>Audience</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8"/>
              </w:rPr>
              <w:t>SOC, IT operations, application and database teams, business continuity, legal/privacy, communications, procurement and key suppliers</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Scenario</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Compromised third-party support account followed by data access and ransomware activity</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8"/>
              </w:rPr>
              <w:t>Use limitation</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8"/>
              </w:rPr>
              <w:t>Hypothetical plan. No production system was tested; response actions must be authorised and recorded.</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Operational prerequisite</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8"/>
              </w:rPr>
              <w:t>Before adoption, maintain named primary/alternate contacts, on-call rota, approved emergency channels, system map, vendor contacts and current legal/reporting matrix.</w:t>
            </w:r>
          </w:p>
        </w:tc>
      </w:tr>
    </w:tbl>
    <w:p>
      <w:pPr>
        <w:pStyle w:val="Normal"/>
        <w:spacing w:before="0" w:after="0"/>
        <w:rPr/>
      </w:pPr>
      <w:r>
        <w:rPr/>
      </w:r>
    </w:p>
    <w:p>
      <w:pPr>
        <w:pStyle w:val="Heading2"/>
        <w:rPr/>
      </w:pPr>
      <w:r>
        <w:rPr/>
        <w:t>How to Use This Plan</w:t>
      </w:r>
    </w:p>
    <w:p>
      <w:pPr>
        <w:pStyle w:val="ListBullet"/>
        <w:numPr>
          <w:ilvl w:val="0"/>
          <w:numId w:val="1"/>
        </w:numPr>
        <w:spacing w:lineRule="auto" w:line="259" w:before="0" w:after="60"/>
        <w:contextualSpacing/>
        <w:rPr/>
      </w:pPr>
      <w:r>
        <w:rPr/>
        <w:t>The Incident Commander (IC) owns overall coordination and major decisions. The Incident Response Lead directs technical response. One incident ID and a single event timeline are mandatory.</w:t>
      </w:r>
    </w:p>
    <w:p>
      <w:pPr>
        <w:pStyle w:val="ListBullet"/>
        <w:numPr>
          <w:ilvl w:val="0"/>
          <w:numId w:val="1"/>
        </w:numPr>
        <w:spacing w:lineRule="auto" w:line="259" w:before="0" w:after="60"/>
        <w:contextualSpacing/>
        <w:rPr/>
      </w:pPr>
      <w:r>
        <w:rPr/>
        <w:t>Use role-based callouts and approved emergency channels. If email, single sign-on or collaboration tools might be compromised, switch to pre-approved out-of-band communications.</w:t>
      </w:r>
    </w:p>
    <w:p>
      <w:pPr>
        <w:pStyle w:val="ListBullet"/>
        <w:numPr>
          <w:ilvl w:val="0"/>
          <w:numId w:val="1"/>
        </w:numPr>
        <w:spacing w:lineRule="auto" w:line="259" w:before="0" w:after="60"/>
        <w:contextualSpacing/>
        <w:rPr/>
      </w:pPr>
      <w:r>
        <w:rPr/>
        <w:t>Do not delay an applicable external notification while waiting for a complete forensic picture. Submit information available within the applicable deadline and provide updates later, following the relevant authority guidance.</w:t>
      </w:r>
    </w:p>
    <w:p>
      <w:pPr>
        <w:pStyle w:val="ListBullet"/>
        <w:numPr>
          <w:ilvl w:val="0"/>
          <w:numId w:val="1"/>
        </w:numPr>
        <w:spacing w:lineRule="auto" w:line="259" w:before="0" w:after="60"/>
        <w:contextualSpacing/>
        <w:rPr/>
      </w:pPr>
      <w:r>
        <w:rPr/>
        <w:t>Safety, citizen harm, preservation of evidence and continuity of essential services take precedence over blame or premature public attribution.</w:t>
      </w:r>
    </w:p>
    <w:p>
      <w:pPr>
        <w:pStyle w:val="Heading1"/>
        <w:rPr/>
      </w:pPr>
      <w:r>
        <w:rPr/>
        <w:t>Contents</w:t>
      </w:r>
    </w:p>
    <w:p>
      <w:pPr>
        <w:pStyle w:val="ListBullet"/>
        <w:numPr>
          <w:ilvl w:val="0"/>
          <w:numId w:val="1"/>
        </w:numPr>
        <w:spacing w:lineRule="auto" w:line="223" w:before="0" w:after="0"/>
        <w:contextualSpacing/>
        <w:rPr/>
      </w:pPr>
      <w:r>
        <w:rPr>
          <w:color w:val="2B3641"/>
          <w:sz w:val="16"/>
        </w:rPr>
        <w:t>1. Executive Summary</w:t>
      </w:r>
    </w:p>
    <w:p>
      <w:pPr>
        <w:pStyle w:val="ListBullet"/>
        <w:numPr>
          <w:ilvl w:val="0"/>
          <w:numId w:val="1"/>
        </w:numPr>
        <w:spacing w:lineRule="auto" w:line="223" w:before="0" w:after="0"/>
        <w:contextualSpacing/>
        <w:rPr/>
      </w:pPr>
      <w:r>
        <w:rPr>
          <w:color w:val="2B3641"/>
          <w:sz w:val="16"/>
        </w:rPr>
        <w:t>2. Purpose, Scope and Service Context</w:t>
      </w:r>
    </w:p>
    <w:p>
      <w:pPr>
        <w:pStyle w:val="ListBullet"/>
        <w:numPr>
          <w:ilvl w:val="0"/>
          <w:numId w:val="1"/>
        </w:numPr>
        <w:spacing w:lineRule="auto" w:line="223" w:before="0" w:after="0"/>
        <w:contextualSpacing/>
        <w:rPr/>
      </w:pPr>
      <w:r>
        <w:rPr>
          <w:color w:val="2B3641"/>
          <w:sz w:val="16"/>
        </w:rPr>
        <w:t>3. Incident Scenario and Assumptions</w:t>
      </w:r>
    </w:p>
    <w:p>
      <w:pPr>
        <w:pStyle w:val="ListBullet"/>
        <w:numPr>
          <w:ilvl w:val="0"/>
          <w:numId w:val="1"/>
        </w:numPr>
        <w:spacing w:lineRule="auto" w:line="223" w:before="0" w:after="0"/>
        <w:contextualSpacing/>
        <w:rPr/>
      </w:pPr>
      <w:r>
        <w:rPr>
          <w:color w:val="2B3641"/>
          <w:sz w:val="16"/>
        </w:rPr>
        <w:t>4. Severity Levels, Activation and Internal Targets</w:t>
      </w:r>
    </w:p>
    <w:p>
      <w:pPr>
        <w:pStyle w:val="ListBullet"/>
        <w:numPr>
          <w:ilvl w:val="0"/>
          <w:numId w:val="1"/>
        </w:numPr>
        <w:spacing w:lineRule="auto" w:line="223" w:before="0" w:after="0"/>
        <w:contextualSpacing/>
        <w:rPr/>
      </w:pPr>
      <w:r>
        <w:rPr>
          <w:color w:val="2B3641"/>
          <w:sz w:val="16"/>
        </w:rPr>
        <w:t>5. Roles, Responsibilities and RACI</w:t>
      </w:r>
    </w:p>
    <w:p>
      <w:pPr>
        <w:pStyle w:val="ListBullet"/>
        <w:numPr>
          <w:ilvl w:val="0"/>
          <w:numId w:val="1"/>
        </w:numPr>
        <w:spacing w:lineRule="auto" w:line="223" w:before="0" w:after="0"/>
        <w:contextualSpacing/>
        <w:rPr/>
      </w:pPr>
      <w:r>
        <w:rPr>
          <w:color w:val="2B3641"/>
          <w:sz w:val="16"/>
        </w:rPr>
        <w:t>6. Incident Detection and Analysis</w:t>
      </w:r>
    </w:p>
    <w:p>
      <w:pPr>
        <w:pStyle w:val="ListBullet"/>
        <w:numPr>
          <w:ilvl w:val="0"/>
          <w:numId w:val="1"/>
        </w:numPr>
        <w:spacing w:lineRule="auto" w:line="223" w:before="0" w:after="0"/>
        <w:contextualSpacing/>
        <w:rPr/>
      </w:pPr>
      <w:r>
        <w:rPr>
          <w:color w:val="2B3641"/>
          <w:sz w:val="16"/>
        </w:rPr>
        <w:t>7. Containment Playbook</w:t>
      </w:r>
    </w:p>
    <w:p>
      <w:pPr>
        <w:pStyle w:val="ListBullet"/>
        <w:numPr>
          <w:ilvl w:val="0"/>
          <w:numId w:val="1"/>
        </w:numPr>
        <w:spacing w:lineRule="auto" w:line="223" w:before="0" w:after="0"/>
        <w:contextualSpacing/>
        <w:rPr/>
      </w:pPr>
      <w:r>
        <w:rPr>
          <w:color w:val="2B3641"/>
          <w:sz w:val="16"/>
        </w:rPr>
        <w:t>8. Eradication Playbook</w:t>
      </w:r>
    </w:p>
    <w:p>
      <w:pPr>
        <w:pStyle w:val="ListBullet"/>
        <w:numPr>
          <w:ilvl w:val="0"/>
          <w:numId w:val="1"/>
        </w:numPr>
        <w:spacing w:lineRule="auto" w:line="223" w:before="0" w:after="0"/>
        <w:contextualSpacing/>
        <w:rPr/>
      </w:pPr>
      <w:r>
        <w:rPr>
          <w:color w:val="2B3641"/>
          <w:sz w:val="16"/>
        </w:rPr>
        <w:t>9. Recovery and Service Validation</w:t>
      </w:r>
    </w:p>
    <w:p>
      <w:pPr>
        <w:pStyle w:val="ListBullet"/>
        <w:numPr>
          <w:ilvl w:val="0"/>
          <w:numId w:val="1"/>
        </w:numPr>
        <w:spacing w:lineRule="auto" w:line="223" w:before="0" w:after="0"/>
        <w:contextualSpacing/>
        <w:rPr/>
      </w:pPr>
      <w:r>
        <w:rPr>
          <w:color w:val="2B3641"/>
          <w:sz w:val="16"/>
        </w:rPr>
        <w:t>10. Communication and Escalation Workflow</w:t>
      </w:r>
    </w:p>
    <w:p>
      <w:pPr>
        <w:pStyle w:val="ListBullet"/>
        <w:numPr>
          <w:ilvl w:val="0"/>
          <w:numId w:val="1"/>
        </w:numPr>
        <w:spacing w:lineRule="auto" w:line="223" w:before="0" w:after="0"/>
        <w:contextualSpacing/>
        <w:rPr/>
      </w:pPr>
      <w:r>
        <w:rPr>
          <w:color w:val="2B3641"/>
          <w:sz w:val="16"/>
        </w:rPr>
        <w:t>11. Regulatory and External Notification Considerations</w:t>
      </w:r>
    </w:p>
    <w:p>
      <w:pPr>
        <w:pStyle w:val="ListBullet"/>
        <w:numPr>
          <w:ilvl w:val="0"/>
          <w:numId w:val="1"/>
        </w:numPr>
        <w:spacing w:lineRule="auto" w:line="223" w:before="0" w:after="0"/>
        <w:contextualSpacing/>
        <w:rPr/>
      </w:pPr>
      <w:r>
        <w:rPr>
          <w:color w:val="2B3641"/>
          <w:sz w:val="16"/>
        </w:rPr>
        <w:t>12. Evidence Preservation and Case Record</w:t>
      </w:r>
    </w:p>
    <w:p>
      <w:pPr>
        <w:pStyle w:val="ListBullet"/>
        <w:numPr>
          <w:ilvl w:val="0"/>
          <w:numId w:val="1"/>
        </w:numPr>
        <w:spacing w:lineRule="auto" w:line="223" w:before="0" w:after="0"/>
        <w:contextualSpacing/>
        <w:rPr/>
      </w:pPr>
      <w:r>
        <w:rPr>
          <w:color w:val="2B3641"/>
          <w:sz w:val="16"/>
        </w:rPr>
        <w:t>13. First 24-Hour Action Timeline</w:t>
      </w:r>
    </w:p>
    <w:p>
      <w:pPr>
        <w:pStyle w:val="ListBullet"/>
        <w:numPr>
          <w:ilvl w:val="0"/>
          <w:numId w:val="1"/>
        </w:numPr>
        <w:spacing w:lineRule="auto" w:line="223" w:before="0" w:after="0"/>
        <w:contextualSpacing/>
        <w:rPr/>
      </w:pPr>
      <w:r>
        <w:rPr>
          <w:color w:val="2B3641"/>
          <w:sz w:val="16"/>
        </w:rPr>
        <w:t>14. Decision Trees and Scenario Injects</w:t>
      </w:r>
    </w:p>
    <w:p>
      <w:pPr>
        <w:pStyle w:val="ListBullet"/>
        <w:numPr>
          <w:ilvl w:val="0"/>
          <w:numId w:val="1"/>
        </w:numPr>
        <w:spacing w:lineRule="auto" w:line="223" w:before="0" w:after="0"/>
        <w:contextualSpacing/>
        <w:rPr/>
      </w:pPr>
      <w:r>
        <w:rPr>
          <w:color w:val="2B3641"/>
          <w:sz w:val="16"/>
        </w:rPr>
        <w:t>15. Closure, Lessons Learned and Improvement</w:t>
      </w:r>
    </w:p>
    <w:p>
      <w:pPr>
        <w:pStyle w:val="ListBullet"/>
        <w:numPr>
          <w:ilvl w:val="0"/>
          <w:numId w:val="1"/>
        </w:numPr>
        <w:spacing w:lineRule="auto" w:line="223" w:before="0" w:after="0"/>
        <w:contextualSpacing/>
        <w:rPr/>
      </w:pPr>
      <w:r>
        <w:rPr>
          <w:color w:val="2B3641"/>
          <w:sz w:val="16"/>
        </w:rPr>
        <w:t>16. Readiness Checklist and Operational Templates</w:t>
      </w:r>
    </w:p>
    <w:p>
      <w:pPr>
        <w:pStyle w:val="ListBullet"/>
        <w:numPr>
          <w:ilvl w:val="0"/>
          <w:numId w:val="1"/>
        </w:numPr>
        <w:spacing w:lineRule="auto" w:line="223" w:before="0" w:after="0"/>
        <w:contextualSpacing/>
        <w:rPr/>
      </w:pPr>
      <w:r>
        <w:rPr>
          <w:color w:val="2B3641"/>
          <w:sz w:val="16"/>
        </w:rPr>
        <w:t>1</w:t>
      </w:r>
      <w:r>
        <w:rPr>
          <w:color w:val="2B3641"/>
          <w:sz w:val="16"/>
        </w:rPr>
        <w:t>7</w:t>
      </w:r>
      <w:r>
        <w:rPr>
          <w:color w:val="2B3641"/>
          <w:sz w:val="16"/>
        </w:rPr>
        <w:t>. References</w:t>
      </w:r>
    </w:p>
    <w:p>
      <w:pPr>
        <w:pStyle w:val="Normal"/>
        <w:rPr/>
      </w:pPr>
      <w:r>
        <w:rPr/>
      </w:r>
      <w:r>
        <w:br w:type="page"/>
      </w:r>
    </w:p>
    <w:p>
      <w:pPr>
        <w:pStyle w:val="Heading1"/>
        <w:spacing w:before="0" w:after="100"/>
        <w:rPr/>
      </w:pPr>
      <w:r>
        <w:rPr/>
        <w:t>1. Executive Summary</w:t>
      </w:r>
    </w:p>
    <w:p>
      <w:pPr>
        <w:pStyle w:val="Normal"/>
        <w:spacing w:lineRule="auto" w:line="259" w:before="0" w:after="120"/>
        <w:rPr/>
      </w:pPr>
      <w:r>
        <w:rPr>
          <w:i w:val="false"/>
        </w:rPr>
        <w:t>This Incident Response Plan (IRP) defines a practical and coordinated response for a major cybersecurity incident affecting a hypothetical citizen services platform, referred to as e-Seva Connect. The platform allows citizens to create accounts, submit applications and documents, track case status, and receive service notifications. Back-office staff review applications through an authenticated administrative portal. The platform depends on identity services, web/API infrastructure, a database, document storage, cloud/hosting services and external service providers.</w:t>
      </w:r>
    </w:p>
    <w:p>
      <w:pPr>
        <w:pStyle w:val="Normal"/>
        <w:spacing w:lineRule="auto" w:line="259" w:before="0" w:after="120"/>
        <w:rPr/>
      </w:pPr>
      <w:r>
        <w:rPr>
          <w:i w:val="false"/>
        </w:rPr>
        <w:t>The primary scenario is a stolen third-party support account that is used to access a management path, reach an exposed application service, access citizen records and trigger ransomware against a document repository. The same incident may involve data exfiltration. Therefore the response must handle confidentiality, integrity and availability together instead of treating ransomware as only an IT outage.</w:t>
      </w:r>
    </w:p>
    <w:p>
      <w:pPr>
        <w:pStyle w:val="Normal"/>
        <w:spacing w:lineRule="auto" w:line="259" w:before="0" w:after="120"/>
        <w:rPr/>
      </w:pPr>
      <w:r>
        <w:rPr>
          <w:i w:val="false"/>
        </w:rPr>
        <w:t>The plan uses five operational stages: detect and analyse, contain, eradicate, recover, then learn and improve. Preparation continues throughout. It follows the integrated risk-management approach of NIST SP 800-61 Rev. 3 and NIST CSF 2.0 [1][2]. The detailed playbooks translate these principles into decisions, actions, owners, evidence, communications and acceptance criteria.</w:t>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Immediate priority</w:t>
            </w:r>
          </w:p>
          <w:p>
            <w:pPr>
              <w:pStyle w:val="Normal"/>
              <w:spacing w:lineRule="auto" w:line="254" w:before="0" w:after="0"/>
              <w:rPr/>
            </w:pPr>
            <w:r>
              <w:rPr>
                <w:color w:val="2B3641"/>
                <w:sz w:val="18"/>
              </w:rPr>
              <w:t>Declare SEV-1 when there is credible evidence of active ransomware, privileged-account compromise, significant citizen-data exposure, or material disruption of an essential public service. Isolate affected systems and identities, preserve available evidence, convene the response team, protect clean backups and activate the legal/communications workstream.</w:t>
            </w:r>
          </w:p>
        </w:tc>
      </w:tr>
    </w:tbl>
    <w:p>
      <w:pPr>
        <w:pStyle w:val="Normal"/>
        <w:spacing w:before="0" w:after="0"/>
        <w:rPr/>
      </w:pPr>
      <w:r>
        <w:rPr/>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231"/>
        <w:gridCol w:w="7705"/>
      </w:tblGrid>
      <w:tr>
        <w:trPr>
          <w:tblHeader w:val="true"/>
          <w:cantSplit/>
        </w:trPr>
        <w:tc>
          <w:tcPr>
            <w:tcW w:w="223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7"/>
              </w:rPr>
              <w:t>Outcome</w:t>
            </w:r>
          </w:p>
        </w:tc>
        <w:tc>
          <w:tcPr>
            <w:tcW w:w="770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7"/>
              </w:rPr>
              <w:t>How this plan achieves it</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7"/>
              </w:rPr>
              <w:t>Reduce citizen harm</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7"/>
              </w:rPr>
              <w:t>Prioritise safety, essential transactions, clear service status updates and an accessible alternative route where available.</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7"/>
              </w:rPr>
              <w:t>Stop attacker activity</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7"/>
              </w:rPr>
              <w:t>Revoke compromised sessions, disable affected accounts, isolate impacted hosts/segments, block confirmed indicators and cut unsafe third-party access.</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7"/>
              </w:rPr>
              <w:t>Preserve reliable evidence</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7"/>
              </w:rPr>
              <w:t>Secure log exports and forensic images; keep timestamps, hashes, chain of custody and a decision log.</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7"/>
              </w:rPr>
              <w:t>Meet reporting duties</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7"/>
              </w:rPr>
              <w:t>Triage CERT-In and NIC-CERT reporting promptly; assess other legal, sectoral, contractual and privacy notices with counsel.</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7"/>
              </w:rPr>
              <w:t>Restore trusted service</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7"/>
              </w:rPr>
              <w:t>Rebuild clean systems, restore verified backups, rotate credentials, validate data integrity and monitor closely before full reopening.</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7"/>
              </w:rPr>
              <w:t>Prevent recurrence</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7"/>
              </w:rPr>
              <w:t>Perform a blameless post-incident review, address root cause and test improvements.</w:t>
            </w:r>
          </w:p>
        </w:tc>
      </w:tr>
    </w:tbl>
    <w:p>
      <w:pPr>
        <w:pStyle w:val="Normal"/>
        <w:spacing w:before="0" w:after="0"/>
        <w:rPr/>
      </w:pPr>
      <w:r>
        <w:rPr/>
      </w:r>
    </w:p>
    <w:p>
      <w:pPr>
        <w:pStyle w:val="Normal"/>
        <w:spacing w:lineRule="auto" w:line="259" w:before="0" w:after="120"/>
        <w:rPr/>
      </w:pPr>
      <w:r>
        <w:rPr>
          <w:i w:val="false"/>
        </w:rPr>
        <w:t>Important limitation: this is a complete training plan for a hypothetical service, not a substitute for the department’s approved legal advice, incident contacts, service recovery objectives or supplier contracts. Those local values must be recorded before live use.</w:t>
      </w:r>
    </w:p>
    <w:p>
      <w:pPr>
        <w:pStyle w:val="Heading1"/>
        <w:rPr/>
      </w:pPr>
      <w:r>
        <w:rPr/>
        <w:t>2. Purpose, Scope and Service Context</w:t>
      </w:r>
    </w:p>
    <w:p>
      <w:pPr>
        <w:pStyle w:val="Heading2"/>
        <w:rPr/>
      </w:pPr>
      <w:r>
        <w:rPr/>
        <w:t>2.1 Objectives</w:t>
      </w:r>
    </w:p>
    <w:p>
      <w:pPr>
        <w:pStyle w:val="ListBullet"/>
        <w:numPr>
          <w:ilvl w:val="0"/>
          <w:numId w:val="1"/>
        </w:numPr>
        <w:spacing w:lineRule="auto" w:line="259" w:before="0" w:after="60"/>
        <w:contextualSpacing/>
        <w:rPr/>
      </w:pPr>
      <w:r>
        <w:rPr/>
        <w:t>Provide a repeatable method to detect, verify, classify, contain, eradicate and recover from a cyber incident.</w:t>
      </w:r>
    </w:p>
    <w:p>
      <w:pPr>
        <w:pStyle w:val="ListBullet"/>
        <w:numPr>
          <w:ilvl w:val="0"/>
          <w:numId w:val="1"/>
        </w:numPr>
        <w:spacing w:lineRule="auto" w:line="259" w:before="0" w:after="60"/>
        <w:contextualSpacing/>
        <w:rPr/>
      </w:pPr>
      <w:r>
        <w:rPr/>
        <w:t>Protect confidentiality, integrity and availability of citizen information and government services.</w:t>
      </w:r>
    </w:p>
    <w:p>
      <w:pPr>
        <w:pStyle w:val="ListBullet"/>
        <w:numPr>
          <w:ilvl w:val="0"/>
          <w:numId w:val="1"/>
        </w:numPr>
        <w:spacing w:lineRule="auto" w:line="259" w:before="0" w:after="60"/>
        <w:contextualSpacing/>
        <w:rPr/>
      </w:pPr>
      <w:r>
        <w:rPr/>
        <w:t>Define decision authority and collaboration across technical, business, legal, privacy, communications and vendor teams.</w:t>
      </w:r>
    </w:p>
    <w:p>
      <w:pPr>
        <w:pStyle w:val="ListBullet"/>
        <w:numPr>
          <w:ilvl w:val="0"/>
          <w:numId w:val="1"/>
        </w:numPr>
        <w:spacing w:lineRule="auto" w:line="259" w:before="0" w:after="60"/>
        <w:contextualSpacing/>
        <w:rPr/>
      </w:pPr>
      <w:r>
        <w:rPr/>
        <w:t>Preserve evidence in a defensible manner and support prompt reporting where required.</w:t>
      </w:r>
    </w:p>
    <w:p>
      <w:pPr>
        <w:pStyle w:val="ListBullet"/>
        <w:numPr>
          <w:ilvl w:val="0"/>
          <w:numId w:val="1"/>
        </w:numPr>
        <w:spacing w:lineRule="auto" w:line="259" w:before="0" w:after="60"/>
        <w:contextualSpacing/>
        <w:rPr/>
      </w:pPr>
      <w:r>
        <w:rPr/>
        <w:t>Ensure restoration is risk-based, tested and approved by service owners rather than driven only by pressure to reopen.</w:t>
      </w:r>
    </w:p>
    <w:p>
      <w:pPr>
        <w:pStyle w:val="ListBullet"/>
        <w:numPr>
          <w:ilvl w:val="0"/>
          <w:numId w:val="1"/>
        </w:numPr>
        <w:spacing w:lineRule="auto" w:line="259" w:before="0" w:after="60"/>
        <w:contextualSpacing/>
        <w:rPr/>
      </w:pPr>
      <w:r>
        <w:rPr/>
        <w:t>Capture lessons learned, assign corrective actions and verify completion.</w:t>
      </w:r>
    </w:p>
    <w:p>
      <w:pPr>
        <w:pStyle w:val="Heading2"/>
        <w:rPr/>
      </w:pPr>
      <w:r>
        <w:rPr/>
        <w:t>2.2 In-Scope Assets and Dependencies</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800"/>
        <w:gridCol w:w="3671"/>
        <w:gridCol w:w="4465"/>
      </w:tblGrid>
      <w:tr>
        <w:trPr>
          <w:tblHeader w:val="true"/>
          <w:cantSplit/>
        </w:trPr>
        <w:tc>
          <w:tcPr>
            <w:tcW w:w="180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Asset / layer</w:t>
            </w:r>
          </w:p>
        </w:tc>
        <w:tc>
          <w:tcPr>
            <w:tcW w:w="367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Examples</w:t>
            </w:r>
          </w:p>
        </w:tc>
        <w:tc>
          <w:tcPr>
            <w:tcW w:w="446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Response concern</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Public edge</w:t>
            </w:r>
          </w:p>
        </w:tc>
        <w:tc>
          <w:tcPr>
            <w:tcW w:w="367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DNS, DDoS protection, CDN/WAF, reverse proxy, TLS certificates</w:t>
            </w:r>
          </w:p>
        </w:tc>
        <w:tc>
          <w:tcPr>
            <w:tcW w:w="446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Defacement, denial of service, malicious traffic, false positives that block citizens</w:t>
            </w:r>
          </w:p>
        </w:tc>
      </w:tr>
      <w:tr>
        <w:trPr>
          <w:cantSplit/>
        </w:trPr>
        <w:tc>
          <w:tcPr>
            <w:tcW w:w="18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Application and API</w:t>
            </w:r>
          </w:p>
        </w:tc>
        <w:tc>
          <w:tcPr>
            <w:tcW w:w="367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Citizen portal, upload service, status lookup, admin portal, APIs</w:t>
            </w:r>
          </w:p>
        </w:tc>
        <w:tc>
          <w:tcPr>
            <w:tcW w:w="446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Authentication bypass, exploitation, unsafe uploads, excessive data export</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Identity and access</w:t>
            </w:r>
          </w:p>
        </w:tc>
        <w:tc>
          <w:tcPr>
            <w:tcW w:w="367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SSO, MFA, privileged accounts, service accounts, vendor VPN</w:t>
            </w:r>
          </w:p>
        </w:tc>
        <w:tc>
          <w:tcPr>
            <w:tcW w:w="446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Token theft, session abuse, privilege escalation, persistence</w:t>
            </w:r>
          </w:p>
        </w:tc>
      </w:tr>
      <w:tr>
        <w:trPr>
          <w:cantSplit/>
        </w:trPr>
        <w:tc>
          <w:tcPr>
            <w:tcW w:w="18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Data services</w:t>
            </w:r>
          </w:p>
        </w:tc>
        <w:tc>
          <w:tcPr>
            <w:tcW w:w="367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Database, object/document storage, queues, caches</w:t>
            </w:r>
          </w:p>
        </w:tc>
        <w:tc>
          <w:tcPr>
            <w:tcW w:w="446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Record disclosure or change, encryption, deletion, service integrity issues</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Host/cloud/network</w:t>
            </w:r>
          </w:p>
        </w:tc>
        <w:tc>
          <w:tcPr>
            <w:tcW w:w="367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VMs, containers, firewall, management plane, cloud audit logs</w:t>
            </w:r>
          </w:p>
        </w:tc>
        <w:tc>
          <w:tcPr>
            <w:tcW w:w="446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Lateral movement, unapproved changes, resource abuse and compromised control plane</w:t>
            </w:r>
          </w:p>
        </w:tc>
      </w:tr>
      <w:tr>
        <w:trPr>
          <w:cantSplit/>
        </w:trPr>
        <w:tc>
          <w:tcPr>
            <w:tcW w:w="18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Operations</w:t>
            </w:r>
          </w:p>
        </w:tc>
        <w:tc>
          <w:tcPr>
            <w:tcW w:w="367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SOC/SIEM, EDR, IDS, backups, ticketing, NTP, secrets management</w:t>
            </w:r>
          </w:p>
        </w:tc>
        <w:tc>
          <w:tcPr>
            <w:tcW w:w="446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Blind spots, log deletion, loss of recovery ability, compromised admin tools</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Human/supplier</w:t>
            </w:r>
          </w:p>
        </w:tc>
        <w:tc>
          <w:tcPr>
            <w:tcW w:w="367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Citizens, employees, developers, service desk and hosting/provider staff</w:t>
            </w:r>
          </w:p>
        </w:tc>
        <w:tc>
          <w:tcPr>
            <w:tcW w:w="446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Phishing, misuse, delayed escalation, unsafe vendor access</w:t>
            </w:r>
          </w:p>
        </w:tc>
      </w:tr>
    </w:tbl>
    <w:p>
      <w:pPr>
        <w:pStyle w:val="Normal"/>
        <w:spacing w:before="0" w:after="0"/>
        <w:rPr/>
      </w:pPr>
      <w:r>
        <w:rPr/>
      </w:r>
    </w:p>
    <w:p>
      <w:pPr>
        <w:pStyle w:val="Normal"/>
        <w:rPr/>
      </w:pPr>
      <w:r>
        <w:rPr/>
        <w:drawing>
          <wp:inline distT="0" distB="0" distL="0" distR="0">
            <wp:extent cx="6172200" cy="3558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172200" cy="3558540"/>
                    </a:xfrm>
                    <a:prstGeom prst="rect">
                      <a:avLst/>
                    </a:prstGeom>
                    <a:noFill/>
                  </pic:spPr>
                </pic:pic>
              </a:graphicData>
            </a:graphic>
          </wp:inline>
        </w:drawing>
      </w:r>
    </w:p>
    <w:p>
      <w:pPr>
        <w:pStyle w:val="FigureCaption"/>
        <w:rPr/>
      </w:pPr>
      <w:r>
        <w:rPr/>
        <w:t>Figure 1. Illustrative platform and monitoring architecture. Use the actual approved architecture and dependency map during a live incident.</w:t>
      </w:r>
    </w:p>
    <w:p>
      <w:pPr>
        <w:pStyle w:val="Heading2"/>
        <w:rPr/>
      </w:pPr>
      <w:r>
        <w:rPr/>
        <w:t>2.3 Out of Scope</w:t>
      </w:r>
    </w:p>
    <w:p>
      <w:pPr>
        <w:pStyle w:val="Normal"/>
        <w:spacing w:lineRule="auto" w:line="259" w:before="0" w:after="120"/>
        <w:rPr/>
      </w:pPr>
      <w:r>
        <w:rPr>
          <w:i w:val="false"/>
        </w:rPr>
        <w:t>The plan does not authorise intrusive testing, retaliation, public attribution, deletion of evidence, ransom payment, or shutdown of unrelated government services. Any action outside approved authority must be escalated to the Incident Commander and relevant system owner. Law enforcement and legal counsel should advise on evidence disclosure, legal hold and criminal reporting.</w:t>
      </w:r>
    </w:p>
    <w:p>
      <w:pPr>
        <w:pStyle w:val="Heading1"/>
        <w:rPr/>
      </w:pPr>
      <w:r>
        <w:rPr/>
        <w:t>3. Incident Scenario and Assumptions</w:t>
      </w:r>
    </w:p>
    <w:p>
      <w:pPr>
        <w:pStyle w:val="Heading2"/>
        <w:rPr/>
      </w:pPr>
      <w:r>
        <w:rPr/>
        <w:t>3.1 Simulated Scenario</w:t>
      </w:r>
    </w:p>
    <w:p>
      <w:pPr>
        <w:pStyle w:val="Normal"/>
        <w:spacing w:lineRule="auto" w:line="259" w:before="0" w:after="120"/>
        <w:rPr/>
      </w:pPr>
      <w:r>
        <w:rPr>
          <w:i w:val="false"/>
        </w:rPr>
        <w:t>At 08:42 IST on a working day, the SOC receives correlated alerts: an unusual login to a vendor support account, use of a remote administration tool on an application node, a spike in database reads, and a burst of file writes in the citizen document repository. At 08:49, endpoint telemetry reports a suspicious script process. At 09:02, monitoring identifies outbound traffic to an unfamiliar destination and multiple documents become unreadable. A ransom note is found in a non-production document share, but adjacent production storage may also be impacted. The vendor account was intended for limited maintenance; initial review suggests it was not protected by phishing-resistant MFA and was granted wider access than necessary.</w:t>
      </w:r>
    </w:p>
    <w:p>
      <w:pPr>
        <w:pStyle w:val="Normal"/>
        <w:spacing w:lineRule="auto" w:line="259" w:before="0" w:after="120"/>
        <w:rPr/>
      </w:pPr>
      <w:r>
        <w:rPr>
          <w:i w:val="false"/>
        </w:rPr>
        <w:t>The team cannot initially prove whether citizen records were exfiltrated. It must treat potential data access as credible until evidence rules it out. Citizen applications may be delayed, uploaded documents may be unavailable, case-worker queues may be unreliable, and some personal information may have been accessed. The affected scope is unknown at activation.</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439"/>
        <w:gridCol w:w="3744"/>
        <w:gridCol w:w="4753"/>
      </w:tblGrid>
      <w:tr>
        <w:trPr>
          <w:tblHeader w:val="true"/>
          <w:cantSplit/>
        </w:trPr>
        <w:tc>
          <w:tcPr>
            <w:tcW w:w="143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Event time (IST)</w:t>
            </w:r>
          </w:p>
        </w:tc>
        <w:tc>
          <w:tcPr>
            <w:tcW w:w="374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Simulated observation</w:t>
            </w:r>
          </w:p>
        </w:tc>
        <w:tc>
          <w:tcPr>
            <w:tcW w:w="475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Initial interpretation</w:t>
            </w:r>
          </w:p>
        </w:tc>
      </w:tr>
      <w:tr>
        <w:trPr>
          <w:cantSplit/>
        </w:trPr>
        <w:tc>
          <w:tcPr>
            <w:tcW w:w="143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08:42</w:t>
            </w:r>
          </w:p>
        </w:tc>
        <w:tc>
          <w:tcPr>
            <w:tcW w:w="37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Unusual vendor account sign-in and new session</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Possible account compromise; validate with identity logs and vendor contact</w:t>
            </w:r>
          </w:p>
        </w:tc>
      </w:tr>
      <w:tr>
        <w:trPr>
          <w:cantSplit/>
        </w:trPr>
        <w:tc>
          <w:tcPr>
            <w:tcW w:w="143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08:49</w:t>
            </w:r>
          </w:p>
        </w:tc>
        <w:tc>
          <w:tcPr>
            <w:tcW w:w="37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Unexpected remote admin execution on web/API node</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Possible initial access or lateral movement; isolate host after evidence capture if feasible</w:t>
            </w:r>
          </w:p>
        </w:tc>
      </w:tr>
      <w:tr>
        <w:trPr>
          <w:cantSplit/>
        </w:trPr>
        <w:tc>
          <w:tcPr>
            <w:tcW w:w="143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09:02</w:t>
            </w:r>
          </w:p>
        </w:tc>
        <w:tc>
          <w:tcPr>
            <w:tcW w:w="37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Database read spike and outbound transfer anomaly</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Potential data discovery/exfiltration; protect exports and preserve DB/network logs</w:t>
            </w:r>
          </w:p>
        </w:tc>
      </w:tr>
      <w:tr>
        <w:trPr>
          <w:cantSplit/>
        </w:trPr>
        <w:tc>
          <w:tcPr>
            <w:tcW w:w="143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09:08</w:t>
            </w:r>
          </w:p>
        </w:tc>
        <w:tc>
          <w:tcPr>
            <w:tcW w:w="37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Document files are encrypted/renamed; ransom note found</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Active ransomware likely; SEV-1 activation and containment decision</w:t>
            </w:r>
          </w:p>
        </w:tc>
      </w:tr>
      <w:tr>
        <w:trPr>
          <w:cantSplit/>
        </w:trPr>
        <w:tc>
          <w:tcPr>
            <w:tcW w:w="143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09:15</w:t>
            </w:r>
          </w:p>
        </w:tc>
        <w:tc>
          <w:tcPr>
            <w:tcW w:w="37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Citizen support reports upload/status failures</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Public service impact confirmed; activate continuity and service status process</w:t>
            </w:r>
          </w:p>
        </w:tc>
      </w:tr>
      <w:tr>
        <w:trPr>
          <w:cantSplit/>
        </w:trPr>
        <w:tc>
          <w:tcPr>
            <w:tcW w:w="143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First 60 min</w:t>
            </w:r>
          </w:p>
        </w:tc>
        <w:tc>
          <w:tcPr>
            <w:tcW w:w="37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Full scope and data access remain uncertain</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Assume exposure is possible; do not make unverified public statements</w:t>
            </w:r>
          </w:p>
        </w:tc>
      </w:tr>
    </w:tbl>
    <w:p>
      <w:pPr>
        <w:pStyle w:val="Normal"/>
        <w:spacing w:before="0" w:after="0"/>
        <w:rPr/>
      </w:pPr>
      <w:r>
        <w:rPr/>
      </w:r>
    </w:p>
    <w:p>
      <w:pPr>
        <w:pStyle w:val="Heading2"/>
        <w:rPr/>
      </w:pPr>
      <w:r>
        <w:rPr/>
        <w:t>3.2 Planning Assumptions</w:t>
      </w:r>
    </w:p>
    <w:p>
      <w:pPr>
        <w:pStyle w:val="ListBullet"/>
        <w:numPr>
          <w:ilvl w:val="0"/>
          <w:numId w:val="1"/>
        </w:numPr>
        <w:spacing w:lineRule="auto" w:line="259" w:before="0" w:after="60"/>
        <w:contextualSpacing/>
        <w:rPr/>
      </w:pPr>
      <w:r>
        <w:rPr/>
        <w:t>The service is hypothetical; event times, account activity, indicators and impacts above are invented for training.</w:t>
      </w:r>
    </w:p>
    <w:p>
      <w:pPr>
        <w:pStyle w:val="ListBullet"/>
        <w:numPr>
          <w:ilvl w:val="0"/>
          <w:numId w:val="1"/>
        </w:numPr>
        <w:spacing w:lineRule="auto" w:line="259" w:before="0" w:after="60"/>
        <w:contextualSpacing/>
        <w:rPr/>
      </w:pPr>
      <w:r>
        <w:rPr/>
        <w:t>The organisation has an on-call SOC or security contact, platform owner, IT operations support and an executive decision-maker, even if some functions are provided by suppliers.</w:t>
      </w:r>
    </w:p>
    <w:p>
      <w:pPr>
        <w:pStyle w:val="ListBullet"/>
        <w:numPr>
          <w:ilvl w:val="0"/>
          <w:numId w:val="1"/>
        </w:numPr>
        <w:spacing w:lineRule="auto" w:line="259" w:before="0" w:after="60"/>
        <w:contextualSpacing/>
        <w:rPr/>
      </w:pPr>
      <w:r>
        <w:rPr/>
        <w:t>Logs from identity, applications, databases, network controls, endpoints and hosting are expected to exist but may be incomplete or delayed.</w:t>
      </w:r>
    </w:p>
    <w:p>
      <w:pPr>
        <w:pStyle w:val="ListBullet"/>
        <w:numPr>
          <w:ilvl w:val="0"/>
          <w:numId w:val="1"/>
        </w:numPr>
        <w:spacing w:lineRule="auto" w:line="259" w:before="0" w:after="60"/>
        <w:contextualSpacing/>
        <w:rPr/>
      </w:pPr>
      <w:r>
        <w:rPr/>
        <w:t>There is at least one backup set separate from production; whether it is clean, immutable and restorable must be verified.</w:t>
      </w:r>
    </w:p>
    <w:p>
      <w:pPr>
        <w:pStyle w:val="ListBullet"/>
        <w:numPr>
          <w:ilvl w:val="0"/>
          <w:numId w:val="1"/>
        </w:numPr>
        <w:spacing w:lineRule="auto" w:line="259" w:before="0" w:after="60"/>
        <w:contextualSpacing/>
        <w:rPr/>
      </w:pPr>
      <w:r>
        <w:rPr/>
        <w:t>The exact data categories, service dependencies, recovery time objective (RTO), recovery point objective (RPO), reporting obligations and vendor responsibilities must be confirmed by owners.</w:t>
      </w:r>
    </w:p>
    <w:p>
      <w:pPr>
        <w:pStyle w:val="Heading2"/>
        <w:rPr/>
      </w:pPr>
      <w:r>
        <w:rPr/>
        <w:t>3.3 Incident Hypotheses to Test</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592"/>
        <w:gridCol w:w="4103"/>
        <w:gridCol w:w="3241"/>
      </w:tblGrid>
      <w:tr>
        <w:trPr>
          <w:tblHeader w:val="true"/>
          <w:cantSplit/>
        </w:trPr>
        <w:tc>
          <w:tcPr>
            <w:tcW w:w="259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Hypothesis</w:t>
            </w:r>
          </w:p>
        </w:tc>
        <w:tc>
          <w:tcPr>
            <w:tcW w:w="410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Evidence to seek</w:t>
            </w:r>
          </w:p>
        </w:tc>
        <w:tc>
          <w:tcPr>
            <w:tcW w:w="324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Decision implication</w:t>
            </w:r>
          </w:p>
        </w:tc>
      </w:tr>
      <w:tr>
        <w:trPr>
          <w:cantSplit/>
        </w:trPr>
        <w:tc>
          <w:tcPr>
            <w:tcW w:w="25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Compromised vendor credential used for access</w:t>
            </w:r>
          </w:p>
        </w:tc>
        <w:tc>
          <w:tcPr>
            <w:tcW w:w="41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IdP/VPN logs, MFA events, vendor ticket, source IP/device, session history</w:t>
            </w:r>
          </w:p>
        </w:tc>
        <w:tc>
          <w:tcPr>
            <w:tcW w:w="32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Revoke tokens, disable account, restrict vendor route and check other vendor identities</w:t>
            </w:r>
          </w:p>
        </w:tc>
      </w:tr>
      <w:tr>
        <w:trPr>
          <w:cantSplit/>
        </w:trPr>
        <w:tc>
          <w:tcPr>
            <w:tcW w:w="25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Application vulnerability enabled execution</w:t>
            </w:r>
          </w:p>
        </w:tc>
        <w:tc>
          <w:tcPr>
            <w:tcW w:w="410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WAF/app logs, file-upload records, process tree, patch/configuration history</w:t>
            </w:r>
          </w:p>
        </w:tc>
        <w:tc>
          <w:tcPr>
            <w:tcW w:w="324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Isolate node, preserve evidence, rebuild from trusted baseline and close entry point</w:t>
            </w:r>
          </w:p>
        </w:tc>
      </w:tr>
      <w:tr>
        <w:trPr>
          <w:cantSplit/>
        </w:trPr>
        <w:tc>
          <w:tcPr>
            <w:tcW w:w="25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Database or document exfiltration occurred</w:t>
            </w:r>
          </w:p>
        </w:tc>
        <w:tc>
          <w:tcPr>
            <w:tcW w:w="41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DB audit/query logs, outbound flows, object-store access, egress proxy, DLP alerts</w:t>
            </w:r>
          </w:p>
        </w:tc>
        <w:tc>
          <w:tcPr>
            <w:tcW w:w="32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Assess records and time range; initiate privacy/legal assessment and notifications as applicable</w:t>
            </w:r>
          </w:p>
        </w:tc>
      </w:tr>
      <w:tr>
        <w:trPr>
          <w:cantSplit/>
        </w:trPr>
        <w:tc>
          <w:tcPr>
            <w:tcW w:w="25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Ransomware is still spreading</w:t>
            </w:r>
          </w:p>
        </w:tc>
        <w:tc>
          <w:tcPr>
            <w:tcW w:w="410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EDR detections, file changes, SMB/remote admin traffic, host-to-host events</w:t>
            </w:r>
          </w:p>
        </w:tc>
        <w:tc>
          <w:tcPr>
            <w:tcW w:w="324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Segment affected zone; disable risky shares and admin paths; protect backups</w:t>
            </w:r>
          </w:p>
        </w:tc>
      </w:tr>
      <w:tr>
        <w:trPr>
          <w:cantSplit/>
        </w:trPr>
        <w:tc>
          <w:tcPr>
            <w:tcW w:w="25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Backups may be exposed</w:t>
            </w:r>
          </w:p>
        </w:tc>
        <w:tc>
          <w:tcPr>
            <w:tcW w:w="41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Backup-console audit, delete/modify events, backup network logs, restoration sample scan</w:t>
            </w:r>
          </w:p>
        </w:tc>
        <w:tc>
          <w:tcPr>
            <w:tcW w:w="32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Protect backup credentials, isolate backup plane, test recovery from an independently trusted point</w:t>
            </w:r>
          </w:p>
        </w:tc>
      </w:tr>
    </w:tbl>
    <w:p>
      <w:pPr>
        <w:pStyle w:val="Normal"/>
        <w:spacing w:before="0" w:after="0"/>
        <w:rPr/>
      </w:pPr>
      <w:r>
        <w:rPr/>
      </w:r>
    </w:p>
    <w:p>
      <w:pPr>
        <w:pStyle w:val="Heading1"/>
        <w:rPr/>
      </w:pPr>
      <w:r>
        <w:rPr/>
        <w:t>4. Severity Levels, Activation and Internal Targets</w:t>
      </w:r>
    </w:p>
    <w:p>
      <w:pPr>
        <w:pStyle w:val="Normal"/>
        <w:spacing w:lineRule="auto" w:line="259" w:before="0" w:after="120"/>
        <w:rPr/>
      </w:pPr>
      <w:r>
        <w:rPr>
          <w:i w:val="false"/>
        </w:rPr>
        <w:t>Severity is assigned from observed impact and plausible worst-case impact, not from how dramatic an alert looks. The Incident Commander may raise severity immediately when material uncertainty exists; lowering severity requires a recorded rationale and agreement from the Incident Response Lead and Service Owner.</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512"/>
        <w:gridCol w:w="3671"/>
        <w:gridCol w:w="2592"/>
        <w:gridCol w:w="2161"/>
      </w:tblGrid>
      <w:tr>
        <w:trPr>
          <w:tblHeader w:val="true"/>
          <w:cantSplit/>
        </w:trPr>
        <w:tc>
          <w:tcPr>
            <w:tcW w:w="151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Level</w:t>
            </w:r>
          </w:p>
        </w:tc>
        <w:tc>
          <w:tcPr>
            <w:tcW w:w="367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Criteria</w:t>
            </w:r>
          </w:p>
        </w:tc>
        <w:tc>
          <w:tcPr>
            <w:tcW w:w="259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Internal response target</w:t>
            </w:r>
          </w:p>
        </w:tc>
        <w:tc>
          <w:tcPr>
            <w:tcW w:w="216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Authority / cadence</w:t>
            </w:r>
          </w:p>
        </w:tc>
      </w:tr>
      <w:tr>
        <w:trPr>
          <w:cantSplit/>
        </w:trPr>
        <w:tc>
          <w:tcPr>
            <w:tcW w:w="15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SEV-1 Critical</w:t>
            </w:r>
          </w:p>
        </w:tc>
        <w:tc>
          <w:tcPr>
            <w:tcW w:w="367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Active ransomware across production; confirmed or credible large-scale data exposure; privileged control-plane compromise; essential service unavailable or integrity is suspect.</w:t>
            </w:r>
          </w:p>
        </w:tc>
        <w:tc>
          <w:tcPr>
            <w:tcW w:w="25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Acknowledge within 15 min; IC and IR Lead engaged within 30 min; initial situation report within 60 min.</w:t>
            </w:r>
          </w:p>
        </w:tc>
        <w:tc>
          <w:tcPr>
            <w:tcW w:w="216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Executive incident sponsor; continuous bridge; updates at least hourly until stable.</w:t>
            </w:r>
          </w:p>
        </w:tc>
      </w:tr>
      <w:tr>
        <w:trPr>
          <w:cantSplit/>
        </w:trPr>
        <w:tc>
          <w:tcPr>
            <w:tcW w:w="15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SEV-2 High</w:t>
            </w:r>
          </w:p>
        </w:tc>
        <w:tc>
          <w:tcPr>
            <w:tcW w:w="367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Limited compromise, suspected data access, or major degradation with effective containment and no evidence of broad propagation.</w:t>
            </w:r>
          </w:p>
        </w:tc>
        <w:tc>
          <w:tcPr>
            <w:tcW w:w="25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Acknowledge within 30 min; response lead within 60 min; update at least every 2 hours.</w:t>
            </w:r>
          </w:p>
        </w:tc>
        <w:tc>
          <w:tcPr>
            <w:tcW w:w="216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Service owner and security lead; updates on agreed cadence.</w:t>
            </w:r>
          </w:p>
        </w:tc>
      </w:tr>
      <w:tr>
        <w:trPr>
          <w:cantSplit/>
        </w:trPr>
        <w:tc>
          <w:tcPr>
            <w:tcW w:w="15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SEV-3 Moderate</w:t>
            </w:r>
          </w:p>
        </w:tc>
        <w:tc>
          <w:tcPr>
            <w:tcW w:w="367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Contained malware or policy violation on a single non-critical asset with no credible lateral movement/data exposure.</w:t>
            </w:r>
          </w:p>
        </w:tc>
        <w:tc>
          <w:tcPr>
            <w:tcW w:w="25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Acknowledge within 4 business hours; investigate and document.</w:t>
            </w:r>
          </w:p>
        </w:tc>
        <w:tc>
          <w:tcPr>
            <w:tcW w:w="216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SOC/IT manager; daily update until closure.</w:t>
            </w:r>
          </w:p>
        </w:tc>
      </w:tr>
      <w:tr>
        <w:trPr>
          <w:cantSplit/>
        </w:trPr>
        <w:tc>
          <w:tcPr>
            <w:tcW w:w="15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SEV-4 Low / Event</w:t>
            </w:r>
          </w:p>
        </w:tc>
        <w:tc>
          <w:tcPr>
            <w:tcW w:w="367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Benign or low-impact event without evidence of compromise; handled through normal security operations.</w:t>
            </w:r>
          </w:p>
        </w:tc>
        <w:tc>
          <w:tcPr>
            <w:tcW w:w="25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Queue for normal processing.</w:t>
            </w:r>
          </w:p>
        </w:tc>
        <w:tc>
          <w:tcPr>
            <w:tcW w:w="216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SOC; disposition recorded.</w:t>
            </w:r>
          </w:p>
        </w:tc>
      </w:tr>
    </w:tbl>
    <w:p>
      <w:pPr>
        <w:pStyle w:val="Normal"/>
        <w:spacing w:before="0" w:after="0"/>
        <w:rPr/>
      </w:pPr>
      <w:r>
        <w:rPr/>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These are internal service targets, not statutory deadlines.</w:t>
            </w:r>
          </w:p>
          <w:p>
            <w:pPr>
              <w:pStyle w:val="Normal"/>
              <w:spacing w:lineRule="auto" w:line="254" w:before="0" w:after="0"/>
              <w:rPr/>
            </w:pPr>
            <w:r>
              <w:rPr>
                <w:color w:val="2B3641"/>
                <w:sz w:val="18"/>
              </w:rPr>
              <w:t>Legal reporting deadlines are separate. For incidents within the scope of CERT-In’s Directions, the stated reporting window is within six hours of noticing the incident or being informed of it; confirm applicability and report promptly using current official channels [3][4].</w:t>
            </w:r>
          </w:p>
        </w:tc>
      </w:tr>
    </w:tbl>
    <w:p>
      <w:pPr>
        <w:pStyle w:val="Normal"/>
        <w:spacing w:before="0" w:after="0"/>
        <w:rPr/>
      </w:pPr>
      <w:r>
        <w:rPr/>
      </w:r>
    </w:p>
    <w:p>
      <w:pPr>
        <w:pStyle w:val="Heading2"/>
        <w:rPr/>
      </w:pPr>
      <w:r>
        <w:rPr/>
        <w:t>4.1 Activation Triggers</w:t>
      </w:r>
    </w:p>
    <w:p>
      <w:pPr>
        <w:pStyle w:val="ListBullet"/>
        <w:numPr>
          <w:ilvl w:val="0"/>
          <w:numId w:val="1"/>
        </w:numPr>
        <w:spacing w:lineRule="auto" w:line="259" w:before="0" w:after="60"/>
        <w:contextualSpacing/>
        <w:rPr/>
      </w:pPr>
      <w:r>
        <w:rPr/>
        <w:t>Confirmed or highly credible ransomware, destructive malware, or unauthorised privileged access.</w:t>
      </w:r>
    </w:p>
    <w:p>
      <w:pPr>
        <w:pStyle w:val="ListBullet"/>
        <w:numPr>
          <w:ilvl w:val="0"/>
          <w:numId w:val="1"/>
        </w:numPr>
        <w:spacing w:lineRule="auto" w:line="259" w:before="0" w:after="60"/>
        <w:contextualSpacing/>
        <w:rPr/>
      </w:pPr>
      <w:r>
        <w:rPr/>
        <w:t>Credible indication that personal, application, identity, payment or official records may have been accessed, exfiltrated, altered or deleted.</w:t>
      </w:r>
    </w:p>
    <w:p>
      <w:pPr>
        <w:pStyle w:val="ListBullet"/>
        <w:numPr>
          <w:ilvl w:val="0"/>
          <w:numId w:val="1"/>
        </w:numPr>
        <w:spacing w:lineRule="auto" w:line="259" w:before="0" w:after="60"/>
        <w:contextualSpacing/>
        <w:rPr/>
      </w:pPr>
      <w:r>
        <w:rPr/>
        <w:t>Unavailability or integrity failure affecting critical citizen services, or multiple interdependent systems.</w:t>
      </w:r>
    </w:p>
    <w:p>
      <w:pPr>
        <w:pStyle w:val="ListBullet"/>
        <w:numPr>
          <w:ilvl w:val="0"/>
          <w:numId w:val="1"/>
        </w:numPr>
        <w:spacing w:lineRule="auto" w:line="259" w:before="0" w:after="60"/>
        <w:contextualSpacing/>
        <w:rPr/>
      </w:pPr>
      <w:r>
        <w:rPr/>
        <w:t>Compromise of a management plane, identity provider, backup console, signing key, or security monitoring capability.</w:t>
      </w:r>
    </w:p>
    <w:p>
      <w:pPr>
        <w:pStyle w:val="ListBullet"/>
        <w:numPr>
          <w:ilvl w:val="0"/>
          <w:numId w:val="1"/>
        </w:numPr>
        <w:spacing w:lineRule="auto" w:line="259" w:before="0" w:after="60"/>
        <w:contextualSpacing/>
        <w:rPr/>
      </w:pPr>
      <w:r>
        <w:rPr/>
        <w:t>An incident that may trigger mandatory external reporting, significant public impact, law-enforcement engagement or a supplier-wide incident.</w:t>
      </w:r>
    </w:p>
    <w:p>
      <w:pPr>
        <w:pStyle w:val="Heading1"/>
        <w:rPr/>
      </w:pPr>
      <w:r>
        <w:rPr/>
        <w:t>5. Roles, Responsibilities and RACI</w:t>
      </w:r>
    </w:p>
    <w:p>
      <w:pPr>
        <w:pStyle w:val="Normal"/>
        <w:spacing w:lineRule="auto" w:line="259" w:before="0" w:after="120"/>
        <w:rPr/>
      </w:pPr>
      <w:r>
        <w:rPr>
          <w:i w:val="false"/>
        </w:rPr>
        <w:t>Role names below are functional titles. The department must keep primary and alternate names and reachability details in a restricted contact roster. During a major incident, the Incident Commander has one operational decision log; technical teams retain detailed evidence notes and link them to the same incident ID.</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044"/>
        <w:gridCol w:w="4968"/>
        <w:gridCol w:w="2924"/>
      </w:tblGrid>
      <w:tr>
        <w:trPr>
          <w:tblHeader w:val="true"/>
          <w:cantSplit/>
        </w:trPr>
        <w:tc>
          <w:tcPr>
            <w:tcW w:w="204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Role</w:t>
            </w:r>
          </w:p>
        </w:tc>
        <w:tc>
          <w:tcPr>
            <w:tcW w:w="4968"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Main responsibilities</w:t>
            </w:r>
          </w:p>
        </w:tc>
        <w:tc>
          <w:tcPr>
            <w:tcW w:w="292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Authority / outputs</w:t>
            </w:r>
          </w:p>
        </w:tc>
      </w:tr>
      <w:tr>
        <w:trPr>
          <w:cantSplit/>
        </w:trPr>
        <w:tc>
          <w:tcPr>
            <w:tcW w:w="20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Incident Commander (IC)</w:t>
            </w:r>
          </w:p>
        </w:tc>
        <w:tc>
          <w:tcPr>
            <w:tcW w:w="49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Owns severity, priorities, decision log, resource allocation, executive reporting and stand-down. Usually security executive or delegated incident manager.</w:t>
            </w:r>
          </w:p>
        </w:tc>
        <w:tc>
          <w:tcPr>
            <w:tcW w:w="29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Declares SEV level; approves material containment/reopening decisions with service owner; resolves cross-team conflicts.</w:t>
            </w:r>
          </w:p>
        </w:tc>
      </w:tr>
      <w:tr>
        <w:trPr>
          <w:cantSplit/>
        </w:trPr>
        <w:tc>
          <w:tcPr>
            <w:tcW w:w="20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Incident Response Lead</w:t>
            </w:r>
          </w:p>
        </w:tc>
        <w:tc>
          <w:tcPr>
            <w:tcW w:w="49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Coordinates technical response; assigns workstreams; tracks scope, hypotheses, containment and eradication status.</w:t>
            </w:r>
          </w:p>
        </w:tc>
        <w:tc>
          <w:tcPr>
            <w:tcW w:w="29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Technical action plan, situation reports, evidence map, recommendation to recover or escalate.</w:t>
            </w:r>
          </w:p>
        </w:tc>
      </w:tr>
      <w:tr>
        <w:trPr>
          <w:cantSplit/>
        </w:trPr>
        <w:tc>
          <w:tcPr>
            <w:tcW w:w="20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SOC / Detection Lead</w:t>
            </w:r>
          </w:p>
        </w:tc>
        <w:tc>
          <w:tcPr>
            <w:tcW w:w="49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Validates alerts, correlates telemetry, maintains timeline and incident ticket, tracks indicators and alert coverage.</w:t>
            </w:r>
          </w:p>
        </w:tc>
        <w:tc>
          <w:tcPr>
            <w:tcW w:w="29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Initial evidence package, IOCs with confidence, scope summary, detection-rule updates.</w:t>
            </w:r>
          </w:p>
        </w:tc>
      </w:tr>
      <w:tr>
        <w:trPr>
          <w:cantSplit/>
        </w:trPr>
        <w:tc>
          <w:tcPr>
            <w:tcW w:w="20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Infrastructure / Network Lead</w:t>
            </w:r>
          </w:p>
        </w:tc>
        <w:tc>
          <w:tcPr>
            <w:tcW w:w="49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Isolates hosts/segments, manages firewall/WAF/DNS/network controls, snapshots systems and rebuilds infrastructure.</w:t>
            </w:r>
          </w:p>
        </w:tc>
        <w:tc>
          <w:tcPr>
            <w:tcW w:w="29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Network containment records, known-good infrastructure and change evidence.</w:t>
            </w:r>
          </w:p>
        </w:tc>
      </w:tr>
      <w:tr>
        <w:trPr>
          <w:cantSplit/>
        </w:trPr>
        <w:tc>
          <w:tcPr>
            <w:tcW w:w="20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Application / API Lead</w:t>
            </w:r>
          </w:p>
        </w:tc>
        <w:tc>
          <w:tcPr>
            <w:tcW w:w="49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Disables risky functions or endpoints, inspects application logs, fixes exploited code/configuration and tests functionality.</w:t>
            </w:r>
          </w:p>
        </w:tc>
        <w:tc>
          <w:tcPr>
            <w:tcW w:w="29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Root-cause findings, corrected release, functional test evidence.</w:t>
            </w:r>
          </w:p>
        </w:tc>
      </w:tr>
      <w:tr>
        <w:trPr>
          <w:cantSplit/>
        </w:trPr>
        <w:tc>
          <w:tcPr>
            <w:tcW w:w="20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Identity / Endpoint Lead</w:t>
            </w:r>
          </w:p>
        </w:tc>
        <w:tc>
          <w:tcPr>
            <w:tcW w:w="49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Revokes sessions, disables or rotates credentials, reviews endpoint alerts, resets privileged access and tokens.</w:t>
            </w:r>
          </w:p>
        </w:tc>
        <w:tc>
          <w:tcPr>
            <w:tcW w:w="29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Identity containment list, credential rotation record, EDR investigation report.</w:t>
            </w:r>
          </w:p>
        </w:tc>
      </w:tr>
      <w:tr>
        <w:trPr>
          <w:cantSplit/>
        </w:trPr>
        <w:tc>
          <w:tcPr>
            <w:tcW w:w="20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Data / Database Lead</w:t>
            </w:r>
          </w:p>
        </w:tc>
        <w:tc>
          <w:tcPr>
            <w:tcW w:w="49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Preserves DB audit/query logs, checks data integrity and access scope, validates restored records.</w:t>
            </w:r>
          </w:p>
        </w:tc>
        <w:tc>
          <w:tcPr>
            <w:tcW w:w="29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Data exposure assessment, reconciliation results and database recovery sign-off.</w:t>
            </w:r>
          </w:p>
        </w:tc>
      </w:tr>
      <w:tr>
        <w:trPr>
          <w:cantSplit/>
        </w:trPr>
        <w:tc>
          <w:tcPr>
            <w:tcW w:w="20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Service Owner / Business Continuity Lead</w:t>
            </w:r>
          </w:p>
        </w:tc>
        <w:tc>
          <w:tcPr>
            <w:tcW w:w="49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Prioritises citizen services, approves alternate workflow and validates service readiness.</w:t>
            </w:r>
          </w:p>
        </w:tc>
        <w:tc>
          <w:tcPr>
            <w:tcW w:w="29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Business impact decisions, citizen-service priority order, RTO/RPO decisions and sign-off.</w:t>
            </w:r>
          </w:p>
        </w:tc>
      </w:tr>
      <w:tr>
        <w:trPr>
          <w:cantSplit/>
        </w:trPr>
        <w:tc>
          <w:tcPr>
            <w:tcW w:w="20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Legal / Privacy Lead</w:t>
            </w:r>
          </w:p>
        </w:tc>
        <w:tc>
          <w:tcPr>
            <w:tcW w:w="49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Assesses applicable reporting, contractual, evidence, privacy and law-enforcement obligations; reviews external statements.</w:t>
            </w:r>
          </w:p>
        </w:tc>
        <w:tc>
          <w:tcPr>
            <w:tcW w:w="29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Notification decision log, legal hold, approved notices and regulator liaison.</w:t>
            </w:r>
          </w:p>
        </w:tc>
      </w:tr>
      <w:tr>
        <w:trPr>
          <w:cantSplit/>
        </w:trPr>
        <w:tc>
          <w:tcPr>
            <w:tcW w:w="20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Communications Lead</w:t>
            </w:r>
          </w:p>
        </w:tc>
        <w:tc>
          <w:tcPr>
            <w:tcW w:w="49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Maintains a single public message, status-page updates, citizen support script and media handling.</w:t>
            </w:r>
          </w:p>
        </w:tc>
        <w:tc>
          <w:tcPr>
            <w:tcW w:w="29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Approved internal/external updates; FAQ; timestamped publication record.</w:t>
            </w:r>
          </w:p>
        </w:tc>
      </w:tr>
      <w:tr>
        <w:trPr>
          <w:cantSplit/>
        </w:trPr>
        <w:tc>
          <w:tcPr>
            <w:tcW w:w="20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Vendor / Hosting Coordinator</w:t>
            </w:r>
          </w:p>
        </w:tc>
        <w:tc>
          <w:tcPr>
            <w:tcW w:w="49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Obtains provider evidence and support, restricts vendor access, confirms shared responsibility and contractual reporting.</w:t>
            </w:r>
          </w:p>
        </w:tc>
        <w:tc>
          <w:tcPr>
            <w:tcW w:w="29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Provider ticket, evidence request, access suspension/restoration and vendor update.</w:t>
            </w:r>
          </w:p>
        </w:tc>
      </w:tr>
      <w:tr>
        <w:trPr>
          <w:cantSplit/>
        </w:trPr>
        <w:tc>
          <w:tcPr>
            <w:tcW w:w="20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Recorder / Scribe</w:t>
            </w:r>
          </w:p>
        </w:tc>
        <w:tc>
          <w:tcPr>
            <w:tcW w:w="49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Maintains event timeline, decisions, action owner/status, contacts, approvals and outstanding questions.</w:t>
            </w:r>
          </w:p>
        </w:tc>
        <w:tc>
          <w:tcPr>
            <w:tcW w:w="29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Time-stamped incident log and shift handover.</w:t>
            </w:r>
          </w:p>
        </w:tc>
      </w:tr>
    </w:tbl>
    <w:p>
      <w:pPr>
        <w:pStyle w:val="Normal"/>
        <w:spacing w:before="0" w:after="0"/>
        <w:rPr/>
      </w:pPr>
      <w:r>
        <w:rPr/>
      </w:r>
    </w:p>
    <w:p>
      <w:pPr>
        <w:pStyle w:val="Heading2"/>
        <w:rPr/>
      </w:pPr>
      <w:r>
        <w:rPr/>
        <w:t>5.1 RACI Matrix</w:t>
      </w:r>
    </w:p>
    <w:p>
      <w:pPr>
        <w:pStyle w:val="Normal"/>
        <w:spacing w:lineRule="auto" w:line="259" w:before="0" w:after="120"/>
        <w:rPr/>
      </w:pPr>
      <w:r>
        <w:rPr>
          <w:i w:val="false"/>
        </w:rPr>
        <w:t>R = Responsible, A = Accountable, C = Consulted, I = Informed. The Incident Commander is accountable for coordination; the specialist service owner remains accountable for technical changes in their domain where policy requires it.</w:t>
      </w:r>
    </w:p>
    <w:tbl>
      <w:tblPr>
        <w:tblW w:w="10037"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3600"/>
        <w:gridCol w:w="892"/>
        <w:gridCol w:w="1368"/>
        <w:gridCol w:w="1440"/>
        <w:gridCol w:w="1296"/>
        <w:gridCol w:w="1441"/>
      </w:tblGrid>
      <w:tr>
        <w:trPr>
          <w:tblHeader w:val="true"/>
          <w:cantSplit/>
        </w:trPr>
        <w:tc>
          <w:tcPr>
            <w:tcW w:w="360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Activity</w:t>
            </w:r>
          </w:p>
        </w:tc>
        <w:tc>
          <w:tcPr>
            <w:tcW w:w="89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IC</w:t>
            </w:r>
          </w:p>
        </w:tc>
        <w:tc>
          <w:tcPr>
            <w:tcW w:w="1368"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IR Lead / SOC</w:t>
            </w:r>
          </w:p>
        </w:tc>
        <w:tc>
          <w:tcPr>
            <w:tcW w:w="144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Platform / Data</w:t>
            </w:r>
          </w:p>
        </w:tc>
        <w:tc>
          <w:tcPr>
            <w:tcW w:w="129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Legal / Privacy</w:t>
            </w:r>
          </w:p>
        </w:tc>
        <w:tc>
          <w:tcPr>
            <w:tcW w:w="144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Comms / Service Owner</w:t>
            </w:r>
          </w:p>
        </w:tc>
      </w:tr>
      <w:tr>
        <w:trPr>
          <w:cantSplit/>
        </w:trPr>
        <w:tc>
          <w:tcPr>
            <w:tcW w:w="36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Severity and incident declaration</w:t>
            </w:r>
          </w:p>
        </w:tc>
        <w:tc>
          <w:tcPr>
            <w:tcW w:w="8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w:t>
            </w:r>
          </w:p>
        </w:tc>
        <w:tc>
          <w:tcPr>
            <w:tcW w:w="13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w:t>
            </w:r>
          </w:p>
        </w:tc>
        <w:tc>
          <w:tcPr>
            <w:tcW w:w="14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2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w:t>
            </w:r>
          </w:p>
        </w:tc>
      </w:tr>
      <w:tr>
        <w:trPr>
          <w:cantSplit/>
        </w:trPr>
        <w:tc>
          <w:tcPr>
            <w:tcW w:w="36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Technical triage and scope</w:t>
            </w:r>
          </w:p>
        </w:tc>
        <w:tc>
          <w:tcPr>
            <w:tcW w:w="8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w:t>
            </w:r>
          </w:p>
        </w:tc>
        <w:tc>
          <w:tcPr>
            <w:tcW w:w="13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A/R</w:t>
            </w:r>
          </w:p>
        </w:tc>
        <w:tc>
          <w:tcPr>
            <w:tcW w:w="144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w:t>
            </w:r>
          </w:p>
        </w:tc>
        <w:tc>
          <w:tcPr>
            <w:tcW w:w="12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w:t>
            </w:r>
          </w:p>
        </w:tc>
      </w:tr>
      <w:tr>
        <w:trPr>
          <w:cantSplit/>
        </w:trPr>
        <w:tc>
          <w:tcPr>
            <w:tcW w:w="36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Isolation / account revocation</w:t>
            </w:r>
          </w:p>
        </w:tc>
        <w:tc>
          <w:tcPr>
            <w:tcW w:w="8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w:t>
            </w:r>
          </w:p>
        </w:tc>
        <w:tc>
          <w:tcPr>
            <w:tcW w:w="13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w:t>
            </w:r>
          </w:p>
        </w:tc>
        <w:tc>
          <w:tcPr>
            <w:tcW w:w="14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w:t>
            </w:r>
          </w:p>
        </w:tc>
        <w:tc>
          <w:tcPr>
            <w:tcW w:w="12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w:t>
            </w:r>
          </w:p>
        </w:tc>
      </w:tr>
      <w:tr>
        <w:trPr>
          <w:cantSplit/>
        </w:trPr>
        <w:tc>
          <w:tcPr>
            <w:tcW w:w="36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Forensic preservation</w:t>
            </w:r>
          </w:p>
        </w:tc>
        <w:tc>
          <w:tcPr>
            <w:tcW w:w="8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w:t>
            </w:r>
          </w:p>
        </w:tc>
        <w:tc>
          <w:tcPr>
            <w:tcW w:w="13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A/R</w:t>
            </w:r>
          </w:p>
        </w:tc>
        <w:tc>
          <w:tcPr>
            <w:tcW w:w="144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w:t>
            </w:r>
          </w:p>
        </w:tc>
        <w:tc>
          <w:tcPr>
            <w:tcW w:w="12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w:t>
            </w:r>
          </w:p>
        </w:tc>
      </w:tr>
      <w:tr>
        <w:trPr>
          <w:cantSplit/>
        </w:trPr>
        <w:tc>
          <w:tcPr>
            <w:tcW w:w="36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CERT-In / NIC-CERT assessment and submission</w:t>
            </w:r>
          </w:p>
        </w:tc>
        <w:tc>
          <w:tcPr>
            <w:tcW w:w="8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w:t>
            </w:r>
          </w:p>
        </w:tc>
        <w:tc>
          <w:tcPr>
            <w:tcW w:w="13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4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2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w:t>
            </w:r>
          </w:p>
        </w:tc>
        <w:tc>
          <w:tcPr>
            <w:tcW w:w="14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w:t>
            </w:r>
          </w:p>
        </w:tc>
      </w:tr>
      <w:tr>
        <w:trPr>
          <w:cantSplit/>
        </w:trPr>
        <w:tc>
          <w:tcPr>
            <w:tcW w:w="36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Citizen / public message</w:t>
            </w:r>
          </w:p>
        </w:tc>
        <w:tc>
          <w:tcPr>
            <w:tcW w:w="8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w:t>
            </w:r>
          </w:p>
        </w:tc>
        <w:tc>
          <w:tcPr>
            <w:tcW w:w="13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c>
          <w:tcPr>
            <w:tcW w:w="144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c>
          <w:tcPr>
            <w:tcW w:w="12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w:t>
            </w:r>
          </w:p>
        </w:tc>
      </w:tr>
      <w:tr>
        <w:trPr>
          <w:cantSplit/>
        </w:trPr>
        <w:tc>
          <w:tcPr>
            <w:tcW w:w="36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Restore / reopen service</w:t>
            </w:r>
          </w:p>
        </w:tc>
        <w:tc>
          <w:tcPr>
            <w:tcW w:w="89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w:t>
            </w:r>
          </w:p>
        </w:tc>
        <w:tc>
          <w:tcPr>
            <w:tcW w:w="136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4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w:t>
            </w:r>
          </w:p>
        </w:tc>
        <w:tc>
          <w:tcPr>
            <w:tcW w:w="12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R/C</w:t>
            </w:r>
          </w:p>
        </w:tc>
      </w:tr>
      <w:tr>
        <w:trPr>
          <w:cantSplit/>
        </w:trPr>
        <w:tc>
          <w:tcPr>
            <w:tcW w:w="36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After-action review and corrective actions</w:t>
            </w:r>
          </w:p>
        </w:tc>
        <w:tc>
          <w:tcPr>
            <w:tcW w:w="89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w:t>
            </w:r>
          </w:p>
        </w:tc>
        <w:tc>
          <w:tcPr>
            <w:tcW w:w="136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w:t>
            </w:r>
          </w:p>
        </w:tc>
        <w:tc>
          <w:tcPr>
            <w:tcW w:w="144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w:t>
            </w:r>
          </w:p>
        </w:tc>
        <w:tc>
          <w:tcPr>
            <w:tcW w:w="12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c>
          <w:tcPr>
            <w:tcW w:w="144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w:t>
            </w:r>
          </w:p>
        </w:tc>
      </w:tr>
    </w:tbl>
    <w:p>
      <w:pPr>
        <w:pStyle w:val="Normal"/>
        <w:spacing w:before="0" w:after="0"/>
        <w:rPr/>
      </w:pPr>
      <w:r>
        <w:rPr/>
      </w:r>
    </w:p>
    <w:p>
      <w:pPr>
        <w:pStyle w:val="Heading1"/>
        <w:rPr/>
      </w:pPr>
      <w:r>
        <w:rPr/>
        <w:t>6. Incident Detection and Analysis</w:t>
      </w:r>
    </w:p>
    <w:p>
      <w:pPr>
        <w:pStyle w:val="Heading2"/>
        <w:rPr/>
      </w:pPr>
      <w:r>
        <w:rPr/>
        <w:t>6.1 Detection Sources</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944"/>
        <w:gridCol w:w="4536"/>
        <w:gridCol w:w="3456"/>
      </w:tblGrid>
      <w:tr>
        <w:trPr>
          <w:tblHeader w:val="true"/>
          <w:cantSplit/>
        </w:trPr>
        <w:tc>
          <w:tcPr>
            <w:tcW w:w="194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Source</w:t>
            </w:r>
          </w:p>
        </w:tc>
        <w:tc>
          <w:tcPr>
            <w:tcW w:w="453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Signals to review</w:t>
            </w:r>
          </w:p>
        </w:tc>
        <w:tc>
          <w:tcPr>
            <w:tcW w:w="345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Purpose</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SIEM / central logs</w:t>
            </w:r>
          </w:p>
        </w:tc>
        <w:tc>
          <w:tcPr>
            <w:tcW w:w="453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Correlated login, admin, app, database and network events; unusual time/source; log gaps</w:t>
            </w:r>
          </w:p>
        </w:tc>
        <w:tc>
          <w:tcPr>
            <w:tcW w:w="34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Build a unified timeline; confirm if multiple signals share the same actor or asset.</w:t>
            </w:r>
          </w:p>
        </w:tc>
      </w:tr>
      <w:tr>
        <w:trPr>
          <w:cantSplit/>
        </w:trPr>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EDR / endpoint telemetry</w:t>
            </w:r>
          </w:p>
        </w:tc>
        <w:tc>
          <w:tcPr>
            <w:tcW w:w="453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Suspicious script/process tree, mass file modification, security-tool tampering, persistence</w:t>
            </w:r>
          </w:p>
        </w:tc>
        <w:tc>
          <w:tcPr>
            <w:tcW w:w="34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Identify initial and affected hosts; isolate devices; preserve investigation data.</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Network IDS / firewall / proxy</w:t>
            </w:r>
          </w:p>
        </w:tc>
        <w:tc>
          <w:tcPr>
            <w:tcW w:w="453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Unusual outbound volume, DNS anomalies, command-and-control indicators, lateral movement, new admin sessions</w:t>
            </w:r>
          </w:p>
        </w:tc>
        <w:tc>
          <w:tcPr>
            <w:tcW w:w="34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Identify egress and propagation; block verified malicious paths.</w:t>
            </w:r>
          </w:p>
        </w:tc>
      </w:tr>
      <w:tr>
        <w:trPr>
          <w:cantSplit/>
        </w:trPr>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Identity / VPN / SSO</w:t>
            </w:r>
          </w:p>
        </w:tc>
        <w:tc>
          <w:tcPr>
            <w:tcW w:w="453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New device, impossible travel, MFA changes, risky session, token issuance, new privileged role</w:t>
            </w:r>
          </w:p>
        </w:tc>
        <w:tc>
          <w:tcPr>
            <w:tcW w:w="34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Find compromised identity and revoke sessions/tokens.</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Application / API / WAF</w:t>
            </w:r>
          </w:p>
        </w:tc>
        <w:tc>
          <w:tcPr>
            <w:tcW w:w="453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Unexpected upload patterns, abnormal request volume, errors, unauthorised object access, new code/config changes</w:t>
            </w:r>
          </w:p>
        </w:tc>
        <w:tc>
          <w:tcPr>
            <w:tcW w:w="34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Link request activity to application nodes and user/session identities.</w:t>
            </w:r>
          </w:p>
        </w:tc>
      </w:tr>
      <w:tr>
        <w:trPr>
          <w:cantSplit/>
        </w:trPr>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Database / document store</w:t>
            </w:r>
          </w:p>
        </w:tc>
        <w:tc>
          <w:tcPr>
            <w:tcW w:w="453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Bulk reads/exports, unusual queries, object downloads, permission changes, audit-log deletion</w:t>
            </w:r>
          </w:p>
        </w:tc>
        <w:tc>
          <w:tcPr>
            <w:tcW w:w="34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Scope potential exposure and integrity changes.</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Backup / cloud control plane</w:t>
            </w:r>
          </w:p>
        </w:tc>
        <w:tc>
          <w:tcPr>
            <w:tcW w:w="453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Backup deletion attempts, snapshots, key changes, IAM policy changes, console login anomalies</w:t>
            </w:r>
          </w:p>
        </w:tc>
        <w:tc>
          <w:tcPr>
            <w:tcW w:w="34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Determine if recovery assets and control plane remain trustworthy.</w:t>
            </w:r>
          </w:p>
        </w:tc>
      </w:tr>
      <w:tr>
        <w:trPr>
          <w:cantSplit/>
        </w:trPr>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Human / external reports</w:t>
            </w:r>
          </w:p>
        </w:tc>
        <w:tc>
          <w:tcPr>
            <w:tcW w:w="453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Citizen support, employee report, provider alert, partner agency notice</w:t>
            </w:r>
          </w:p>
        </w:tc>
        <w:tc>
          <w:tcPr>
            <w:tcW w:w="34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Add context; verify independently and avoid dismissing reports as noise.</w:t>
            </w:r>
          </w:p>
        </w:tc>
      </w:tr>
    </w:tbl>
    <w:p>
      <w:pPr>
        <w:pStyle w:val="Normal"/>
        <w:spacing w:before="0" w:after="0"/>
        <w:rPr/>
      </w:pPr>
      <w:r>
        <w:rPr/>
      </w:r>
    </w:p>
    <w:p>
      <w:pPr>
        <w:pStyle w:val="Heading2"/>
        <w:rPr/>
      </w:pPr>
      <w:r>
        <w:rPr/>
        <w:t>6.2 Triage Procedure (First 15-30 Minutes)</w:t>
      </w:r>
    </w:p>
    <w:p>
      <w:pPr>
        <w:pStyle w:val="Normal"/>
        <w:spacing w:lineRule="auto" w:line="259" w:before="0" w:after="60"/>
        <w:ind w:hanging="346" w:start="346"/>
        <w:rPr/>
      </w:pPr>
      <w:r>
        <w:rPr>
          <w:b/>
          <w:color w:val="007880"/>
        </w:rPr>
        <w:t xml:space="preserve">1. </w:t>
      </w:r>
      <w:r>
        <w:rPr/>
        <w:t>Open a security incident record and assign a unique ID, for example IR-2026-001. Record who reported it, the first-noticed time, time zone, affected services and initial severity.</w:t>
      </w:r>
    </w:p>
    <w:p>
      <w:pPr>
        <w:pStyle w:val="Normal"/>
        <w:spacing w:lineRule="auto" w:line="259" w:before="0" w:after="60"/>
        <w:ind w:hanging="346" w:start="346"/>
        <w:rPr/>
      </w:pPr>
      <w:r>
        <w:rPr>
          <w:b/>
          <w:color w:val="007880"/>
        </w:rPr>
        <w:t xml:space="preserve">2. </w:t>
      </w:r>
      <w:r>
        <w:rPr/>
        <w:t>Validate that an alert is credible using two or more independent signals where possible. Do not delay SEV-1 activation if ransomware or ongoing destructive activity is credible.</w:t>
      </w:r>
    </w:p>
    <w:p>
      <w:pPr>
        <w:pStyle w:val="Normal"/>
        <w:spacing w:lineRule="auto" w:line="259" w:before="0" w:after="60"/>
        <w:ind w:hanging="346" w:start="346"/>
        <w:rPr/>
      </w:pPr>
      <w:r>
        <w:rPr>
          <w:b/>
          <w:color w:val="007880"/>
        </w:rPr>
        <w:t xml:space="preserve">3. </w:t>
      </w:r>
      <w:r>
        <w:rPr/>
        <w:t>Use a trusted communication path and alert the on-call Incident Response Lead and Incident Commander. Avoid relying solely on possibly compromised email or SSO.</w:t>
      </w:r>
    </w:p>
    <w:p>
      <w:pPr>
        <w:pStyle w:val="Normal"/>
        <w:spacing w:lineRule="auto" w:line="259" w:before="0" w:after="60"/>
        <w:ind w:hanging="346" w:start="346"/>
        <w:rPr/>
      </w:pPr>
      <w:r>
        <w:rPr>
          <w:b/>
          <w:color w:val="007880"/>
        </w:rPr>
        <w:t xml:space="preserve">4. </w:t>
      </w:r>
      <w:r>
        <w:rPr/>
        <w:t>Capture current alert details, device identifiers, account IDs, source/destination metadata, process names, file hashes, sample timestamps and relevant ticket references.</w:t>
      </w:r>
    </w:p>
    <w:p>
      <w:pPr>
        <w:pStyle w:val="Normal"/>
        <w:spacing w:lineRule="auto" w:line="259" w:before="0" w:after="60"/>
        <w:ind w:hanging="346" w:start="346"/>
        <w:rPr/>
      </w:pPr>
      <w:r>
        <w:rPr>
          <w:b/>
          <w:color w:val="007880"/>
        </w:rPr>
        <w:t xml:space="preserve">5. </w:t>
      </w:r>
      <w:r>
        <w:rPr/>
        <w:t>Identify potentially impacted accounts, hosts, data stores, service paths and third-party links. Mark known facts, assumptions and unknowns separately.</w:t>
      </w:r>
    </w:p>
    <w:p>
      <w:pPr>
        <w:pStyle w:val="Normal"/>
        <w:spacing w:lineRule="auto" w:line="259" w:before="0" w:after="60"/>
        <w:ind w:hanging="346" w:start="346"/>
        <w:rPr/>
      </w:pPr>
      <w:r>
        <w:rPr>
          <w:b/>
          <w:color w:val="007880"/>
        </w:rPr>
        <w:t xml:space="preserve">6. </w:t>
      </w:r>
      <w:r>
        <w:rPr/>
        <w:t>Consider citizen harm and continuity: which functions must be suspended, which can remain available in read-only mode, and what safe alternative is available?</w:t>
      </w:r>
    </w:p>
    <w:p>
      <w:pPr>
        <w:pStyle w:val="Normal"/>
        <w:spacing w:lineRule="auto" w:line="259" w:before="0" w:after="60"/>
        <w:ind w:hanging="346" w:start="346"/>
        <w:rPr/>
      </w:pPr>
      <w:r>
        <w:rPr>
          <w:b/>
          <w:color w:val="007880"/>
        </w:rPr>
        <w:t xml:space="preserve">7. </w:t>
      </w:r>
      <w:r>
        <w:rPr/>
        <w:t>Create the first situation report: what is known, what is not known, actions taken, impact, key decisions, next update time and reporting timer.</w:t>
      </w:r>
    </w:p>
    <w:p>
      <w:pPr>
        <w:pStyle w:val="Heading2"/>
        <w:rPr/>
      </w:pPr>
      <w:r>
        <w:rPr/>
        <w:t>6.3 Required Questions</w:t>
      </w:r>
    </w:p>
    <w:p>
      <w:pPr>
        <w:pStyle w:val="ListBullet"/>
        <w:numPr>
          <w:ilvl w:val="0"/>
          <w:numId w:val="1"/>
        </w:numPr>
        <w:spacing w:lineRule="auto" w:line="259" w:before="0" w:after="60"/>
        <w:contextualSpacing/>
        <w:rPr/>
      </w:pPr>
      <w:r>
        <w:rPr/>
        <w:t>What was the first confirmed malicious event, and what is the earliest plausible access time?</w:t>
      </w:r>
    </w:p>
    <w:p>
      <w:pPr>
        <w:pStyle w:val="ListBullet"/>
        <w:numPr>
          <w:ilvl w:val="0"/>
          <w:numId w:val="1"/>
        </w:numPr>
        <w:spacing w:lineRule="auto" w:line="259" w:before="0" w:after="60"/>
        <w:contextualSpacing/>
        <w:rPr/>
      </w:pPr>
      <w:r>
        <w:rPr/>
        <w:t>Which credentials, sessions, endpoints, APIs, databases, storage locations and control-plane accounts are involved?</w:t>
      </w:r>
    </w:p>
    <w:p>
      <w:pPr>
        <w:pStyle w:val="ListBullet"/>
        <w:numPr>
          <w:ilvl w:val="0"/>
          <w:numId w:val="1"/>
        </w:numPr>
        <w:spacing w:lineRule="auto" w:line="259" w:before="0" w:after="60"/>
        <w:contextualSpacing/>
        <w:rPr/>
      </w:pPr>
      <w:r>
        <w:rPr/>
        <w:t>Is the activity ongoing? Is data being encrypted, deleted, changed or transferred out?</w:t>
      </w:r>
    </w:p>
    <w:p>
      <w:pPr>
        <w:pStyle w:val="ListBullet"/>
        <w:numPr>
          <w:ilvl w:val="0"/>
          <w:numId w:val="1"/>
        </w:numPr>
        <w:spacing w:lineRule="auto" w:line="259" w:before="0" w:after="60"/>
        <w:contextualSpacing/>
        <w:rPr/>
      </w:pPr>
      <w:r>
        <w:rPr/>
        <w:t>Could the attacker maintain access through another identity, OAuth/app token, remote access path, scheduled task, service account or vendor account?</w:t>
      </w:r>
    </w:p>
    <w:p>
      <w:pPr>
        <w:pStyle w:val="ListBullet"/>
        <w:numPr>
          <w:ilvl w:val="0"/>
          <w:numId w:val="1"/>
        </w:numPr>
        <w:spacing w:lineRule="auto" w:line="259" w:before="0" w:after="60"/>
        <w:contextualSpacing/>
        <w:rPr/>
      </w:pPr>
      <w:r>
        <w:rPr/>
        <w:t>Which citizen services are unavailable or have questionable integrity? Could a wrong status or record change cause harm?</w:t>
      </w:r>
    </w:p>
    <w:p>
      <w:pPr>
        <w:pStyle w:val="ListBullet"/>
        <w:numPr>
          <w:ilvl w:val="0"/>
          <w:numId w:val="1"/>
        </w:numPr>
        <w:spacing w:lineRule="auto" w:line="259" w:before="0" w:after="60"/>
        <w:contextualSpacing/>
        <w:rPr/>
      </w:pPr>
      <w:r>
        <w:rPr/>
        <w:t>Which external notifications may be required, by which clock, and who is responsible for submitting them?</w:t>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Avoid premature conclusions</w:t>
            </w:r>
          </w:p>
          <w:p>
            <w:pPr>
              <w:pStyle w:val="Normal"/>
              <w:spacing w:lineRule="auto" w:line="254" w:before="0" w:after="0"/>
              <w:rPr/>
            </w:pPr>
            <w:r>
              <w:rPr>
                <w:color w:val="2B3641"/>
                <w:sz w:val="18"/>
              </w:rPr>
              <w:t>Say “no evidence of exfiltration identified so far” only if the investigation has actually checked relevant data access and egress sources. Do not say “no data was taken” merely because the team has not yet found evidence.</w:t>
            </w:r>
          </w:p>
        </w:tc>
      </w:tr>
    </w:tbl>
    <w:p>
      <w:pPr>
        <w:pStyle w:val="Normal"/>
        <w:spacing w:before="0" w:after="0"/>
        <w:rPr/>
      </w:pPr>
      <w:r>
        <w:rPr/>
      </w:r>
    </w:p>
    <w:p>
      <w:pPr>
        <w:pStyle w:val="Heading1"/>
        <w:rPr/>
      </w:pPr>
      <w:r>
        <w:rPr/>
        <w:t>7. Containment Playbook</w:t>
      </w:r>
    </w:p>
    <w:p>
      <w:pPr>
        <w:pStyle w:val="Normal"/>
        <w:spacing w:lineRule="auto" w:line="259" w:before="0" w:after="120"/>
        <w:rPr/>
      </w:pPr>
      <w:r>
        <w:rPr>
          <w:i w:val="false"/>
        </w:rPr>
        <w:t>Containment aims to stop harm quickly while preserving evidence and keeping unaffected citizen services running where safe. The Incident Commander approves broad shutdowns; technical leads execute domain actions under existing emergency authority. Every action must be timestamped with the reason, operator, affected asset and expected side effect.</w:t>
      </w:r>
    </w:p>
    <w:p>
      <w:pPr>
        <w:pStyle w:val="Heading2"/>
        <w:rPr/>
      </w:pPr>
      <w:r>
        <w:rPr/>
        <w:t>7.1 Immediate Containment Actions</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791"/>
        <w:gridCol w:w="4753"/>
        <w:gridCol w:w="2087"/>
        <w:gridCol w:w="2305"/>
      </w:tblGrid>
      <w:tr>
        <w:trPr>
          <w:tblHeader w:val="true"/>
          <w:cantSplit/>
        </w:trPr>
        <w:tc>
          <w:tcPr>
            <w:tcW w:w="79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Priority</w:t>
            </w:r>
          </w:p>
        </w:tc>
        <w:tc>
          <w:tcPr>
            <w:tcW w:w="475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Action</w:t>
            </w:r>
          </w:p>
        </w:tc>
        <w:tc>
          <w:tcPr>
            <w:tcW w:w="2087"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Owner</w:t>
            </w:r>
          </w:p>
        </w:tc>
        <w:tc>
          <w:tcPr>
            <w:tcW w:w="230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Evidence / decision record</w:t>
            </w:r>
          </w:p>
        </w:tc>
      </w:tr>
      <w:tr>
        <w:trPr>
          <w:cantSplit/>
        </w:trPr>
        <w:tc>
          <w:tcPr>
            <w:tcW w:w="79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P0</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Suspend the compromised vendor account and revoke active sessions/tokens; reset or disable linked credentials. Check other vendor identities and service accounts.</w:t>
            </w:r>
          </w:p>
        </w:tc>
        <w:tc>
          <w:tcPr>
            <w:tcW w:w="208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Identity Lead</w:t>
            </w:r>
          </w:p>
        </w:tc>
        <w:tc>
          <w:tcPr>
            <w:tcW w:w="23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Account ID, session revocation time, token/key changes, approval.</w:t>
            </w:r>
          </w:p>
        </w:tc>
      </w:tr>
      <w:tr>
        <w:trPr>
          <w:cantSplit/>
        </w:trPr>
        <w:tc>
          <w:tcPr>
            <w:tcW w:w="79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P0</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Isolate confirmed impacted hosts from network using EDR/NAC/firewall. If multiple systems are affected, isolate the relevant segment or share. Preserve volatile evidence first only when it does not materially delay stopping active harm.</w:t>
            </w:r>
          </w:p>
        </w:tc>
        <w:tc>
          <w:tcPr>
            <w:tcW w:w="208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Infrastructure + IR Lead</w:t>
            </w:r>
          </w:p>
        </w:tc>
        <w:tc>
          <w:tcPr>
            <w:tcW w:w="23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Host/segment IDs, rule/change IDs, time, side effects, evidence captured.</w:t>
            </w:r>
          </w:p>
        </w:tc>
      </w:tr>
      <w:tr>
        <w:trPr>
          <w:cantSplit/>
        </w:trPr>
        <w:tc>
          <w:tcPr>
            <w:tcW w:w="79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P0</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Protect backup systems: disable unneeded access, separate backup administration, prevent deletion/overwrite and verify the backup console has not been compromised.</w:t>
            </w:r>
          </w:p>
        </w:tc>
        <w:tc>
          <w:tcPr>
            <w:tcW w:w="208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Backup / Infrastructure Lead</w:t>
            </w:r>
          </w:p>
        </w:tc>
        <w:tc>
          <w:tcPr>
            <w:tcW w:w="23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Backup audit logs, access changes, known-safe restore points.</w:t>
            </w:r>
          </w:p>
        </w:tc>
      </w:tr>
      <w:tr>
        <w:trPr>
          <w:cantSplit/>
        </w:trPr>
        <w:tc>
          <w:tcPr>
            <w:tcW w:w="79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P0</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Block verified malicious indicators at appropriate egress/DNS/EDR/WAF controls. Use short-lived, reviewed blocks where confidence is low; avoid blocking shared public services without impact review.</w:t>
            </w:r>
          </w:p>
        </w:tc>
        <w:tc>
          <w:tcPr>
            <w:tcW w:w="208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Network / SOC Lead</w:t>
            </w:r>
          </w:p>
        </w:tc>
        <w:tc>
          <w:tcPr>
            <w:tcW w:w="23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IOC source and confidence, change ID, false-positive review date.</w:t>
            </w:r>
          </w:p>
        </w:tc>
      </w:tr>
      <w:tr>
        <w:trPr>
          <w:cantSplit/>
        </w:trPr>
        <w:tc>
          <w:tcPr>
            <w:tcW w:w="79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P1</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Disable document upload, remote maintenance or affected API routes if they are active attack paths. Put citizen status retrieval into read-only mode if integrity is not assured.</w:t>
            </w:r>
          </w:p>
        </w:tc>
        <w:tc>
          <w:tcPr>
            <w:tcW w:w="208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Application Lead + Service Owner</w:t>
            </w:r>
          </w:p>
        </w:tc>
        <w:tc>
          <w:tcPr>
            <w:tcW w:w="23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Feature toggle/change record, citizen impact, rollback condition.</w:t>
            </w:r>
          </w:p>
        </w:tc>
      </w:tr>
      <w:tr>
        <w:trPr>
          <w:cantSplit/>
        </w:trPr>
        <w:tc>
          <w:tcPr>
            <w:tcW w:w="79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P1</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Rotate privileged secrets, keys and service credentials from a trusted admin device and clean identity plane. Do not rotate secrets using a potentially compromised workstation.</w:t>
            </w:r>
          </w:p>
        </w:tc>
        <w:tc>
          <w:tcPr>
            <w:tcW w:w="208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Identity / Platform Lead</w:t>
            </w:r>
          </w:p>
        </w:tc>
        <w:tc>
          <w:tcPr>
            <w:tcW w:w="23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Inventory, rotation order, old-secret revocation, validation.</w:t>
            </w:r>
          </w:p>
        </w:tc>
      </w:tr>
      <w:tr>
        <w:trPr>
          <w:cantSplit/>
        </w:trPr>
        <w:tc>
          <w:tcPr>
            <w:tcW w:w="79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P1</w:t>
            </w:r>
          </w:p>
        </w:tc>
        <w:tc>
          <w:tcPr>
            <w:tcW w:w="47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Ask hosting/provider to preserve relevant logs/snapshots, isolate compromised service components and confirm shared infrastructure status.</w:t>
            </w:r>
          </w:p>
        </w:tc>
        <w:tc>
          <w:tcPr>
            <w:tcW w:w="208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Vendor Coordinator</w:t>
            </w:r>
          </w:p>
        </w:tc>
        <w:tc>
          <w:tcPr>
            <w:tcW w:w="23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Provider incident number, requested evidence, response time.</w:t>
            </w:r>
          </w:p>
        </w:tc>
      </w:tr>
      <w:tr>
        <w:trPr>
          <w:cantSplit/>
        </w:trPr>
        <w:tc>
          <w:tcPr>
            <w:tcW w:w="79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P2</w:t>
            </w:r>
          </w:p>
        </w:tc>
        <w:tc>
          <w:tcPr>
            <w:tcW w:w="47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Increase monitoring and hunt for similar activity across peer systems, accounts and backups; check for persistence and new privileged accounts.</w:t>
            </w:r>
          </w:p>
        </w:tc>
        <w:tc>
          <w:tcPr>
            <w:tcW w:w="208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SOC / IR Lead</w:t>
            </w:r>
          </w:p>
        </w:tc>
        <w:tc>
          <w:tcPr>
            <w:tcW w:w="23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Search queries, assets checked, findings and limitations.</w:t>
            </w:r>
          </w:p>
        </w:tc>
      </w:tr>
    </w:tbl>
    <w:p>
      <w:pPr>
        <w:pStyle w:val="Normal"/>
        <w:spacing w:before="0" w:after="0"/>
        <w:rPr/>
      </w:pPr>
      <w:r>
        <w:rPr/>
      </w:r>
    </w:p>
    <w:p>
      <w:pPr>
        <w:pStyle w:val="Heading2"/>
        <w:rPr/>
      </w:pPr>
      <w:r>
        <w:rPr/>
        <w:t>7.2 Decision: Isolate One Host or a Whole Segment?</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3455"/>
        <w:gridCol w:w="3529"/>
        <w:gridCol w:w="2952"/>
      </w:tblGrid>
      <w:tr>
        <w:trPr>
          <w:tblHeader w:val="true"/>
          <w:cantSplit/>
        </w:trPr>
        <w:tc>
          <w:tcPr>
            <w:tcW w:w="345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Condition</w:t>
            </w:r>
          </w:p>
        </w:tc>
        <w:tc>
          <w:tcPr>
            <w:tcW w:w="352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Decision</w:t>
            </w:r>
          </w:p>
        </w:tc>
        <w:tc>
          <w:tcPr>
            <w:tcW w:w="295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Safeguard</w:t>
            </w:r>
          </w:p>
        </w:tc>
      </w:tr>
      <w:tr>
        <w:trPr>
          <w:cantSplit/>
        </w:trPr>
        <w:tc>
          <w:tcPr>
            <w:tcW w:w="345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One host clearly affected; no observed spread; isolation is reliable</w:t>
            </w:r>
          </w:p>
        </w:tc>
        <w:tc>
          <w:tcPr>
            <w:tcW w:w="352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Isolate host; block affected identities; intensify monitoring across adjacent systems.</w:t>
            </w:r>
          </w:p>
        </w:tc>
        <w:tc>
          <w:tcPr>
            <w:tcW w:w="29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Monitor shared storage, admin jump hosts and service accounts for movement.</w:t>
            </w:r>
          </w:p>
        </w:tc>
      </w:tr>
      <w:tr>
        <w:trPr>
          <w:cantSplit/>
        </w:trPr>
        <w:tc>
          <w:tcPr>
            <w:tcW w:w="345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Multiple hosts, common admin identity, file share or management plane affected</w:t>
            </w:r>
          </w:p>
        </w:tc>
        <w:tc>
          <w:tcPr>
            <w:tcW w:w="352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Isolate affected segment/share or the relevant trust zone; consider temporarily disabling shared management access.</w:t>
            </w:r>
          </w:p>
        </w:tc>
        <w:tc>
          <w:tcPr>
            <w:tcW w:w="29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Service Owner and IC assess citizen impact; create controlled alternative where safe.</w:t>
            </w:r>
          </w:p>
        </w:tc>
      </w:tr>
      <w:tr>
        <w:trPr>
          <w:cantSplit/>
        </w:trPr>
        <w:tc>
          <w:tcPr>
            <w:tcW w:w="345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Ransomware spread is active and precise isolation is not fast enough</w:t>
            </w:r>
          </w:p>
        </w:tc>
        <w:tc>
          <w:tcPr>
            <w:tcW w:w="352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Take the affected network segment offline or disable the unsafe connectivity path.</w:t>
            </w:r>
          </w:p>
        </w:tc>
        <w:tc>
          <w:tcPr>
            <w:tcW w:w="29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Preserve evidence where feasible; document the business impact; do not reconnect until validated.</w:t>
            </w:r>
          </w:p>
        </w:tc>
      </w:tr>
      <w:tr>
        <w:trPr>
          <w:cantSplit/>
        </w:trPr>
        <w:tc>
          <w:tcPr>
            <w:tcW w:w="345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Evidence of compromise is uncertain but impact could be severe</w:t>
            </w:r>
          </w:p>
        </w:tc>
        <w:tc>
          <w:tcPr>
            <w:tcW w:w="352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Use reversible, scoped controls and seek fast validation; if active destructive behavior is credible, treat as SEV-1.</w:t>
            </w:r>
          </w:p>
        </w:tc>
        <w:tc>
          <w:tcPr>
            <w:tcW w:w="29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Record uncertainty and review decision every 30-60 minutes.</w:t>
            </w:r>
          </w:p>
        </w:tc>
      </w:tr>
    </w:tbl>
    <w:p>
      <w:pPr>
        <w:pStyle w:val="Normal"/>
        <w:spacing w:before="0" w:after="0"/>
        <w:rPr/>
      </w:pPr>
      <w:r>
        <w:rPr/>
      </w:r>
    </w:p>
    <w:p>
      <w:pPr>
        <w:pStyle w:val="Heading2"/>
        <w:rPr/>
      </w:pPr>
      <w:r>
        <w:rPr/>
        <w:t>7.3 Do Not</w:t>
      </w:r>
    </w:p>
    <w:p>
      <w:pPr>
        <w:pStyle w:val="ListBullet"/>
        <w:numPr>
          <w:ilvl w:val="0"/>
          <w:numId w:val="1"/>
        </w:numPr>
        <w:spacing w:lineRule="auto" w:line="259" w:before="0" w:after="60"/>
        <w:contextualSpacing/>
        <w:rPr/>
      </w:pPr>
      <w:r>
        <w:rPr/>
        <w:t>Do not delete suspicious files or reimage impacted systems before collecting evidence when evidence collection can be done safely.</w:t>
      </w:r>
    </w:p>
    <w:p>
      <w:pPr>
        <w:pStyle w:val="ListBullet"/>
        <w:numPr>
          <w:ilvl w:val="0"/>
          <w:numId w:val="1"/>
        </w:numPr>
        <w:spacing w:lineRule="auto" w:line="259" w:before="0" w:after="60"/>
        <w:contextualSpacing/>
        <w:rPr/>
      </w:pPr>
      <w:r>
        <w:rPr/>
        <w:t>Do not reconnect systems because the visible ransom note disappeared.</w:t>
      </w:r>
    </w:p>
    <w:p>
      <w:pPr>
        <w:pStyle w:val="ListBullet"/>
        <w:numPr>
          <w:ilvl w:val="0"/>
          <w:numId w:val="1"/>
        </w:numPr>
        <w:spacing w:lineRule="auto" w:line="259" w:before="0" w:after="60"/>
        <w:contextualSpacing/>
        <w:rPr/>
      </w:pPr>
      <w:r>
        <w:rPr/>
        <w:t>Do not send sensitive incident details through untrusted email or consumer messaging services.</w:t>
      </w:r>
    </w:p>
    <w:p>
      <w:pPr>
        <w:pStyle w:val="ListBullet"/>
        <w:numPr>
          <w:ilvl w:val="0"/>
          <w:numId w:val="1"/>
        </w:numPr>
        <w:spacing w:lineRule="auto" w:line="259" w:before="0" w:after="60"/>
        <w:contextualSpacing/>
        <w:rPr/>
      </w:pPr>
      <w:r>
        <w:rPr/>
        <w:t>Do not run untested “cleanup” scripts across the estate during active uncertainty.</w:t>
      </w:r>
    </w:p>
    <w:p>
      <w:pPr>
        <w:pStyle w:val="ListBullet"/>
        <w:numPr>
          <w:ilvl w:val="0"/>
          <w:numId w:val="1"/>
        </w:numPr>
        <w:spacing w:lineRule="auto" w:line="259" w:before="0" w:after="60"/>
        <w:contextualSpacing/>
        <w:rPr/>
      </w:pPr>
      <w:r>
        <w:rPr/>
        <w:t>Do not promise that data is safe, guarantee an end time or attribute the attack to a specific actor without verified evidence.</w:t>
      </w:r>
    </w:p>
    <w:p>
      <w:pPr>
        <w:pStyle w:val="Heading1"/>
        <w:rPr/>
      </w:pPr>
      <w:r>
        <w:rPr/>
        <w:t>8. Eradication Playbook</w:t>
      </w:r>
    </w:p>
    <w:p>
      <w:pPr>
        <w:pStyle w:val="Normal"/>
        <w:spacing w:lineRule="auto" w:line="259" w:before="0" w:after="120"/>
        <w:rPr/>
      </w:pPr>
      <w:r>
        <w:rPr>
          <w:i w:val="false"/>
        </w:rPr>
        <w:t>Eradication begins only after the immediate spread is under control and enough evidence is preserved to understand the likely entry path. A clean rebuild from a trusted baseline is preferred over attempting to clean heavily compromised systems by deleting visible malware alone.</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800"/>
        <w:gridCol w:w="5112"/>
        <w:gridCol w:w="3024"/>
      </w:tblGrid>
      <w:tr>
        <w:trPr>
          <w:tblHeader w:val="true"/>
          <w:cantSplit/>
        </w:trPr>
        <w:tc>
          <w:tcPr>
            <w:tcW w:w="180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Step</w:t>
            </w:r>
          </w:p>
        </w:tc>
        <w:tc>
          <w:tcPr>
            <w:tcW w:w="511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Required activity</w:t>
            </w:r>
          </w:p>
        </w:tc>
        <w:tc>
          <w:tcPr>
            <w:tcW w:w="302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Completion evidence</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1. Confirm scope</w:t>
            </w:r>
          </w:p>
        </w:tc>
        <w:tc>
          <w:tcPr>
            <w:tcW w:w="51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Identify first compromised identity/asset, affected time range, impacted services, suspected persistence, accessed data and lateral movement. State evidence gaps.</w:t>
            </w:r>
          </w:p>
        </w:tc>
        <w:tc>
          <w:tcPr>
            <w:tcW w:w="30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Scope statement approved by IR Lead; asset and identity list versioned.</w:t>
            </w:r>
          </w:p>
        </w:tc>
      </w:tr>
      <w:tr>
        <w:trPr>
          <w:cantSplit/>
        </w:trPr>
        <w:tc>
          <w:tcPr>
            <w:tcW w:w="18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2. Remove initial access</w:t>
            </w:r>
          </w:p>
        </w:tc>
        <w:tc>
          <w:tcPr>
            <w:tcW w:w="51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Patch or disable exploited service; correct upload/configuration weakness; close exposed management route; remove unapproved access methods.</w:t>
            </w:r>
          </w:p>
        </w:tc>
        <w:tc>
          <w:tcPr>
            <w:tcW w:w="30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Change record, tested patch/config diff, validation scan or review.</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3. Remove persistence</w:t>
            </w:r>
          </w:p>
        </w:tc>
        <w:tc>
          <w:tcPr>
            <w:tcW w:w="51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Review startup tasks, services, scheduled jobs, remote-management tools, authorised keys, OAuth tokens, administrator accounts and cloud IAM changes.</w:t>
            </w:r>
          </w:p>
        </w:tc>
        <w:tc>
          <w:tcPr>
            <w:tcW w:w="30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Persistence checklist completed; anomalous changes explained or removed.</w:t>
            </w:r>
          </w:p>
        </w:tc>
      </w:tr>
      <w:tr>
        <w:trPr>
          <w:cantSplit/>
        </w:trPr>
        <w:tc>
          <w:tcPr>
            <w:tcW w:w="18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4. Rebuild trusted systems</w:t>
            </w:r>
          </w:p>
        </w:tc>
        <w:tc>
          <w:tcPr>
            <w:tcW w:w="51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Reimage or redeploy affected hosts from verified golden images and known-good infrastructure-as-code. Reinstall software from trusted sources.</w:t>
            </w:r>
          </w:p>
        </w:tc>
        <w:tc>
          <w:tcPr>
            <w:tcW w:w="30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Image/build version, hashes/signatures where available, hardening and patch evidence.</w:t>
            </w:r>
          </w:p>
        </w:tc>
      </w:tr>
      <w:tr>
        <w:trPr>
          <w:cantSplit/>
        </w:trPr>
        <w:tc>
          <w:tcPr>
            <w:tcW w:w="180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5. Reset trust material</w:t>
            </w:r>
          </w:p>
        </w:tc>
        <w:tc>
          <w:tcPr>
            <w:tcW w:w="51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Rotate exposed credentials, API keys, certificates, database secrets, backup credentials and signing material as risk requires. Revoke old tokens and sessions.</w:t>
            </w:r>
          </w:p>
        </w:tc>
        <w:tc>
          <w:tcPr>
            <w:tcW w:w="30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Credential/key inventory marked rotated/revoked; new material tested; access reviewed.</w:t>
            </w:r>
          </w:p>
        </w:tc>
      </w:tr>
      <w:tr>
        <w:trPr>
          <w:cantSplit/>
        </w:trPr>
        <w:tc>
          <w:tcPr>
            <w:tcW w:w="180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6. Validate clean state</w:t>
            </w:r>
          </w:p>
        </w:tc>
        <w:tc>
          <w:tcPr>
            <w:tcW w:w="51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Run EDR scan, authorised vulnerability/configuration checks, review logs, test application security controls and observe for repeat indicators.</w:t>
            </w:r>
          </w:p>
        </w:tc>
        <w:tc>
          <w:tcPr>
            <w:tcW w:w="30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Test results, open finding list, independent reviewer sign-off.</w:t>
            </w:r>
          </w:p>
        </w:tc>
      </w:tr>
    </w:tbl>
    <w:p>
      <w:pPr>
        <w:pStyle w:val="Normal"/>
        <w:spacing w:before="0" w:after="0"/>
        <w:rPr/>
      </w:pPr>
      <w:r>
        <w:rPr/>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FFF2E4" w:val="clear"/>
          </w:tcPr>
          <w:p>
            <w:pPr>
              <w:pStyle w:val="Normal"/>
              <w:spacing w:before="0" w:after="80"/>
              <w:rPr/>
            </w:pPr>
            <w:r>
              <w:rPr>
                <w:b/>
                <w:color w:val="B96A12"/>
                <w:sz w:val="21"/>
              </w:rPr>
              <w:t>Ransomware note</w:t>
            </w:r>
          </w:p>
          <w:p>
            <w:pPr>
              <w:pStyle w:val="Normal"/>
              <w:spacing w:lineRule="auto" w:line="254" w:before="0" w:after="0"/>
              <w:rPr/>
            </w:pPr>
            <w:r>
              <w:rPr>
                <w:color w:val="2B3641"/>
                <w:sz w:val="18"/>
              </w:rPr>
              <w:t>Do not treat payment as a recovery strategy. Payment does not prove stolen data will be deleted or that decryption tools will work. Any ransom-related decision requires executive, legal, law-enforcement and policy review; the default plan is containment, clean rebuild and recovery from trusted backups [7].</w:t>
            </w:r>
          </w:p>
        </w:tc>
      </w:tr>
    </w:tbl>
    <w:p>
      <w:pPr>
        <w:pStyle w:val="Normal"/>
        <w:spacing w:before="0" w:after="0"/>
        <w:rPr/>
      </w:pPr>
      <w:r>
        <w:rPr/>
      </w:r>
    </w:p>
    <w:p>
      <w:pPr>
        <w:pStyle w:val="Heading1"/>
        <w:rPr/>
      </w:pPr>
      <w:r>
        <w:rPr/>
        <w:t>9. Recovery and Service Validation</w:t>
      </w:r>
    </w:p>
    <w:p>
      <w:pPr>
        <w:pStyle w:val="Heading2"/>
        <w:rPr/>
      </w:pPr>
      <w:r>
        <w:rPr/>
        <w:t>9.1 Recovery Preconditions</w:t>
      </w:r>
    </w:p>
    <w:p>
      <w:pPr>
        <w:pStyle w:val="ListBullet"/>
        <w:numPr>
          <w:ilvl w:val="0"/>
          <w:numId w:val="1"/>
        </w:numPr>
        <w:spacing w:lineRule="auto" w:line="259" w:before="0" w:after="60"/>
        <w:contextualSpacing/>
        <w:rPr/>
      </w:pPr>
      <w:r>
        <w:rPr/>
        <w:t>The IR Lead and technical owners agree that active attacker access is contained and the known entry path is closed.</w:t>
      </w:r>
    </w:p>
    <w:p>
      <w:pPr>
        <w:pStyle w:val="ListBullet"/>
        <w:numPr>
          <w:ilvl w:val="0"/>
          <w:numId w:val="1"/>
        </w:numPr>
        <w:spacing w:lineRule="auto" w:line="259" w:before="0" w:after="60"/>
        <w:contextualSpacing/>
        <w:rPr/>
      </w:pPr>
      <w:r>
        <w:rPr/>
        <w:t>Recovery assets, backups and deployment images are independently checked for integrity and malware; backup management credentials are clean.</w:t>
      </w:r>
    </w:p>
    <w:p>
      <w:pPr>
        <w:pStyle w:val="ListBullet"/>
        <w:numPr>
          <w:ilvl w:val="0"/>
          <w:numId w:val="1"/>
        </w:numPr>
        <w:spacing w:lineRule="auto" w:line="259" w:before="0" w:after="60"/>
        <w:contextualSpacing/>
        <w:rPr/>
      </w:pPr>
      <w:r>
        <w:rPr/>
        <w:t>Essential secrets and privileged identities are rotated, MFA and least privilege are enforced, and risky remote access remains disabled until approved.</w:t>
      </w:r>
    </w:p>
    <w:p>
      <w:pPr>
        <w:pStyle w:val="ListBullet"/>
        <w:numPr>
          <w:ilvl w:val="0"/>
          <w:numId w:val="1"/>
        </w:numPr>
        <w:spacing w:lineRule="auto" w:line="259" w:before="0" w:after="60"/>
        <w:contextualSpacing/>
        <w:rPr/>
      </w:pPr>
      <w:r>
        <w:rPr/>
        <w:t>Database/document integrity is checked against trusted snapshots, audit records or reconciled transaction records; unknown data changes are not silently accepted.</w:t>
      </w:r>
    </w:p>
    <w:p>
      <w:pPr>
        <w:pStyle w:val="ListBullet"/>
        <w:numPr>
          <w:ilvl w:val="0"/>
          <w:numId w:val="1"/>
        </w:numPr>
        <w:spacing w:lineRule="auto" w:line="259" w:before="0" w:after="60"/>
        <w:contextualSpacing/>
        <w:rPr/>
      </w:pPr>
      <w:r>
        <w:rPr/>
        <w:t>Monitoring and alerting are active on restored services, with incident-specific detections in place.</w:t>
      </w:r>
    </w:p>
    <w:p>
      <w:pPr>
        <w:pStyle w:val="ListBullet"/>
        <w:numPr>
          <w:ilvl w:val="0"/>
          <w:numId w:val="1"/>
        </w:numPr>
        <w:spacing w:lineRule="auto" w:line="259" w:before="0" w:after="60"/>
        <w:contextualSpacing/>
        <w:rPr/>
      </w:pPr>
      <w:r>
        <w:rPr/>
        <w:t>The Service Owner approves the business validation checklist and the Incident Commander approves the staged return to service.</w:t>
      </w:r>
    </w:p>
    <w:p>
      <w:pPr>
        <w:pStyle w:val="Heading2"/>
        <w:rPr/>
      </w:pPr>
      <w:r>
        <w:rPr/>
        <w:t>9.2 Staged Restoration</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944"/>
        <w:gridCol w:w="5184"/>
        <w:gridCol w:w="2808"/>
      </w:tblGrid>
      <w:tr>
        <w:trPr>
          <w:tblHeader w:val="true"/>
          <w:cantSplit/>
        </w:trPr>
        <w:tc>
          <w:tcPr>
            <w:tcW w:w="194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Stage</w:t>
            </w:r>
          </w:p>
        </w:tc>
        <w:tc>
          <w:tcPr>
            <w:tcW w:w="518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Actions</w:t>
            </w:r>
          </w:p>
        </w:tc>
        <w:tc>
          <w:tcPr>
            <w:tcW w:w="2808"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Exit criteria</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Stage 0: Isolated recovery</w:t>
            </w:r>
          </w:p>
        </w:tc>
        <w:tc>
          <w:tcPr>
            <w:tcW w:w="518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Build clean infrastructure in a recovery zone. Do not connect to compromised identity, management or shared-storage paths.</w:t>
            </w:r>
          </w:p>
        </w:tc>
        <w:tc>
          <w:tcPr>
            <w:tcW w:w="280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Build provenance verified; known-good configuration and security controls applied.</w:t>
            </w:r>
          </w:p>
        </w:tc>
      </w:tr>
      <w:tr>
        <w:trPr>
          <w:cantSplit/>
        </w:trPr>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Stage 1: Data restore</w:t>
            </w:r>
          </w:p>
        </w:tc>
        <w:tc>
          <w:tcPr>
            <w:tcW w:w="518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Restore the latest verified backup from before the earliest plausible compromise. Compare against application/database logs and audit trails.</w:t>
            </w:r>
          </w:p>
        </w:tc>
        <w:tc>
          <w:tcPr>
            <w:tcW w:w="280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Malware scans pass; record counts and critical data checks reconcile; uncertainty documented.</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Stage 2: Internal validation</w:t>
            </w:r>
          </w:p>
        </w:tc>
        <w:tc>
          <w:tcPr>
            <w:tcW w:w="518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Test authentication, authorisation, application workflows, uploads, APIs, database writes, audit logging and backup jobs in isolated environment.</w:t>
            </w:r>
          </w:p>
        </w:tc>
        <w:tc>
          <w:tcPr>
            <w:tcW w:w="280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Technical, security and business tests pass; no high-risk issue remains unaccepted.</w:t>
            </w:r>
          </w:p>
        </w:tc>
      </w:tr>
      <w:tr>
        <w:trPr>
          <w:cantSplit/>
        </w:trPr>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Stage 3: Limited release</w:t>
            </w:r>
          </w:p>
        </w:tc>
        <w:tc>
          <w:tcPr>
            <w:tcW w:w="518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Allow controlled staff or small user cohort; use additional monitoring and rate limits. Keep unsafe features disabled.</w:t>
            </w:r>
          </w:p>
        </w:tc>
        <w:tc>
          <w:tcPr>
            <w:tcW w:w="280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No repeat malicious indicators; error rates and transaction integrity remain within agreed thresholds.</w:t>
            </w:r>
          </w:p>
        </w:tc>
      </w:tr>
      <w:tr>
        <w:trPr>
          <w:cantSplit/>
        </w:trPr>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Stage 4: Full service</w:t>
            </w:r>
          </w:p>
        </w:tc>
        <w:tc>
          <w:tcPr>
            <w:tcW w:w="518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Reopen approved functions, publish status update and maintain heightened monitoring. Retain alternative routes until stable.</w:t>
            </w:r>
          </w:p>
        </w:tc>
        <w:tc>
          <w:tcPr>
            <w:tcW w:w="280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Service Owner and IC sign off; support volume stabilises; rollback plan tested/available.</w:t>
            </w:r>
          </w:p>
        </w:tc>
      </w:tr>
    </w:tbl>
    <w:p>
      <w:pPr>
        <w:pStyle w:val="Normal"/>
        <w:spacing w:before="0" w:after="0"/>
        <w:rPr/>
      </w:pPr>
      <w:r>
        <w:rPr/>
      </w:r>
    </w:p>
    <w:p>
      <w:pPr>
        <w:pStyle w:val="Heading2"/>
        <w:rPr/>
      </w:pPr>
      <w:r>
        <w:rPr/>
        <w:t>9.3 Recovery Order (Illustrative)</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037"/>
        <w:gridCol w:w="4032"/>
        <w:gridCol w:w="4867"/>
      </w:tblGrid>
      <w:tr>
        <w:trPr>
          <w:tblHeader w:val="true"/>
          <w:cantSplit/>
        </w:trPr>
        <w:tc>
          <w:tcPr>
            <w:tcW w:w="1037"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Priority</w:t>
            </w:r>
          </w:p>
        </w:tc>
        <w:tc>
          <w:tcPr>
            <w:tcW w:w="403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Service / capability</w:t>
            </w:r>
          </w:p>
        </w:tc>
        <w:tc>
          <w:tcPr>
            <w:tcW w:w="4867"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Rationale</w:t>
            </w:r>
          </w:p>
        </w:tc>
      </w:tr>
      <w:tr>
        <w:trPr>
          <w:cantSplit/>
        </w:trPr>
        <w:tc>
          <w:tcPr>
            <w:tcW w:w="103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1</w:t>
            </w:r>
          </w:p>
        </w:tc>
        <w:tc>
          <w:tcPr>
            <w:tcW w:w="403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Identity and privileged access, trusted network/management plane, DNS and security logging</w:t>
            </w:r>
          </w:p>
        </w:tc>
        <w:tc>
          <w:tcPr>
            <w:tcW w:w="486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Needed to securely administer and monitor recovery.</w:t>
            </w:r>
          </w:p>
        </w:tc>
      </w:tr>
      <w:tr>
        <w:trPr>
          <w:cantSplit/>
        </w:trPr>
        <w:tc>
          <w:tcPr>
            <w:tcW w:w="103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2</w:t>
            </w:r>
          </w:p>
        </w:tc>
        <w:tc>
          <w:tcPr>
            <w:tcW w:w="403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Core case database and case-status lookup (read-only first if needed)</w:t>
            </w:r>
          </w:p>
        </w:tc>
        <w:tc>
          <w:tcPr>
            <w:tcW w:w="486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Citizens and staff need reliable visibility into case status.</w:t>
            </w:r>
          </w:p>
        </w:tc>
      </w:tr>
      <w:tr>
        <w:trPr>
          <w:cantSplit/>
        </w:trPr>
        <w:tc>
          <w:tcPr>
            <w:tcW w:w="103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3</w:t>
            </w:r>
          </w:p>
        </w:tc>
        <w:tc>
          <w:tcPr>
            <w:tcW w:w="403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Citizen authentication and new application submission</w:t>
            </w:r>
          </w:p>
        </w:tc>
        <w:tc>
          <w:tcPr>
            <w:tcW w:w="486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Restore with strong access controls and validated transaction handling.</w:t>
            </w:r>
          </w:p>
        </w:tc>
      </w:tr>
      <w:tr>
        <w:trPr>
          <w:cantSplit/>
        </w:trPr>
        <w:tc>
          <w:tcPr>
            <w:tcW w:w="103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4</w:t>
            </w:r>
          </w:p>
        </w:tc>
        <w:tc>
          <w:tcPr>
            <w:tcW w:w="403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Document upload and document retrieval</w:t>
            </w:r>
          </w:p>
        </w:tc>
        <w:tc>
          <w:tcPr>
            <w:tcW w:w="486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Only after file-processing paths and restored content are verified.</w:t>
            </w:r>
          </w:p>
        </w:tc>
      </w:tr>
      <w:tr>
        <w:trPr>
          <w:cantSplit/>
        </w:trPr>
        <w:tc>
          <w:tcPr>
            <w:tcW w:w="103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5</w:t>
            </w:r>
          </w:p>
        </w:tc>
        <w:tc>
          <w:tcPr>
            <w:tcW w:w="403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Back-office workflow and integrations</w:t>
            </w:r>
          </w:p>
        </w:tc>
        <w:tc>
          <w:tcPr>
            <w:tcW w:w="486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Restore controlled access; validate queues, external dependencies and record integrity.</w:t>
            </w:r>
          </w:p>
        </w:tc>
      </w:tr>
      <w:tr>
        <w:trPr>
          <w:cantSplit/>
        </w:trPr>
        <w:tc>
          <w:tcPr>
            <w:tcW w:w="103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6</w:t>
            </w:r>
          </w:p>
        </w:tc>
        <w:tc>
          <w:tcPr>
            <w:tcW w:w="403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Non-essential analytics and convenience features</w:t>
            </w:r>
          </w:p>
        </w:tc>
        <w:tc>
          <w:tcPr>
            <w:tcW w:w="486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Restore after essential citizen services are stable.</w:t>
            </w:r>
          </w:p>
        </w:tc>
      </w:tr>
    </w:tbl>
    <w:p>
      <w:pPr>
        <w:pStyle w:val="Normal"/>
        <w:spacing w:before="0" w:after="0"/>
        <w:rPr/>
      </w:pPr>
      <w:r>
        <w:rPr/>
      </w:r>
    </w:p>
    <w:p>
      <w:pPr>
        <w:pStyle w:val="Normal"/>
        <w:spacing w:lineRule="auto" w:line="259" w:before="0" w:after="120"/>
        <w:rPr/>
      </w:pPr>
      <w:r>
        <w:rPr>
          <w:i w:val="false"/>
        </w:rPr>
        <w:t>The final order must be set from impact analysis, dependencies, accessibility requirements and approved RTO/RPO values. These are example priorities, not assumed service-level commitments.</w:t>
      </w:r>
    </w:p>
    <w:p>
      <w:pPr>
        <w:pStyle w:val="Heading1"/>
        <w:rPr/>
      </w:pPr>
      <w:r>
        <w:rPr/>
        <w:t>10. Communication and Escalation Workflow</w:t>
      </w:r>
    </w:p>
    <w:p>
      <w:pPr>
        <w:pStyle w:val="Normal"/>
        <w:rPr/>
      </w:pPr>
      <w:r>
        <w:rPr/>
        <w:drawing>
          <wp:inline distT="0" distB="0" distL="0" distR="0">
            <wp:extent cx="6172200" cy="3916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172200" cy="3916045"/>
                    </a:xfrm>
                    <a:prstGeom prst="rect">
                      <a:avLst/>
                    </a:prstGeom>
                    <a:noFill/>
                  </pic:spPr>
                </pic:pic>
              </a:graphicData>
            </a:graphic>
          </wp:inline>
        </w:drawing>
      </w:r>
    </w:p>
    <w:p>
      <w:pPr>
        <w:pStyle w:val="FigureCaption"/>
        <w:rPr/>
      </w:pPr>
      <w:r>
        <w:rPr/>
        <w:t>Figure 2. Escalation should create parallel technical, governance and external communication workstreams under one Incident Commander.</w:t>
      </w:r>
    </w:p>
    <w:p>
      <w:pPr>
        <w:pStyle w:val="Heading2"/>
        <w:rPr/>
      </w:pPr>
      <w:r>
        <w:rPr/>
        <w:t>10.1 Communication Rules</w:t>
      </w:r>
    </w:p>
    <w:p>
      <w:pPr>
        <w:pStyle w:val="ListBullet"/>
        <w:numPr>
          <w:ilvl w:val="0"/>
          <w:numId w:val="1"/>
        </w:numPr>
        <w:spacing w:lineRule="auto" w:line="259" w:before="0" w:after="60"/>
        <w:contextualSpacing/>
        <w:rPr/>
      </w:pPr>
      <w:r>
        <w:rPr/>
        <w:t>Use one incident ID, one approved status summary and one spokesperson. Distinguish confirmed facts, working hypotheses and unknowns.</w:t>
      </w:r>
    </w:p>
    <w:p>
      <w:pPr>
        <w:pStyle w:val="ListBullet"/>
        <w:numPr>
          <w:ilvl w:val="0"/>
          <w:numId w:val="1"/>
        </w:numPr>
        <w:spacing w:lineRule="auto" w:line="259" w:before="0" w:after="60"/>
        <w:contextualSpacing/>
        <w:rPr/>
      </w:pPr>
      <w:r>
        <w:rPr/>
        <w:t>Use a pre-approved out-of-band channel if identity, email or collaboration platforms could be compromised. Do not share IOCs or personal data in public channels.</w:t>
      </w:r>
    </w:p>
    <w:p>
      <w:pPr>
        <w:pStyle w:val="ListBullet"/>
        <w:numPr>
          <w:ilvl w:val="0"/>
          <w:numId w:val="1"/>
        </w:numPr>
        <w:spacing w:lineRule="auto" w:line="259" w:before="0" w:after="60"/>
        <w:contextualSpacing/>
        <w:rPr/>
      </w:pPr>
      <w:r>
        <w:rPr/>
        <w:t>Communicate on a predictable cadence: SEV-1 hourly while active, then every 2-4 hours when contained; immediately after a material scope or service-status change. Cadence is an internal target.</w:t>
      </w:r>
    </w:p>
    <w:p>
      <w:pPr>
        <w:pStyle w:val="ListBullet"/>
        <w:numPr>
          <w:ilvl w:val="0"/>
          <w:numId w:val="1"/>
        </w:numPr>
        <w:spacing w:lineRule="auto" w:line="259" w:before="0" w:after="60"/>
        <w:contextualSpacing/>
        <w:rPr/>
      </w:pPr>
      <w:r>
        <w:rPr/>
        <w:t>Keep an audit trail of who approved a message, what it said, when it was sent, the audience and the channel.</w:t>
      </w:r>
    </w:p>
    <w:p>
      <w:pPr>
        <w:pStyle w:val="ListBullet"/>
        <w:numPr>
          <w:ilvl w:val="0"/>
          <w:numId w:val="1"/>
        </w:numPr>
        <w:spacing w:lineRule="auto" w:line="259" w:before="0" w:after="60"/>
        <w:contextualSpacing/>
        <w:rPr/>
      </w:pPr>
      <w:r>
        <w:rPr/>
        <w:t>Communications must be accessible, plain-language and multilingual as required by the service; provide an alternative route for citizens who cannot use the portal.</w:t>
      </w:r>
    </w:p>
    <w:p>
      <w:pPr>
        <w:pStyle w:val="ListBullet"/>
        <w:numPr>
          <w:ilvl w:val="0"/>
          <w:numId w:val="1"/>
        </w:numPr>
        <w:spacing w:lineRule="auto" w:line="259" w:before="0" w:after="60"/>
        <w:contextualSpacing/>
        <w:rPr/>
      </w:pPr>
      <w:r>
        <w:rPr/>
        <w:t>Do not speculate about the actor, motive, number of affected people or data exfiltration before supported by evidence and approved by legal/privacy.</w:t>
      </w:r>
    </w:p>
    <w:p>
      <w:pPr>
        <w:pStyle w:val="Heading2"/>
        <w:rPr/>
      </w:pPr>
      <w:r>
        <w:rPr/>
        <w:t>10.2 Internal Escalation</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3096"/>
        <w:gridCol w:w="3959"/>
        <w:gridCol w:w="2881"/>
      </w:tblGrid>
      <w:tr>
        <w:trPr>
          <w:tblHeader w:val="true"/>
          <w:cantSplit/>
        </w:trPr>
        <w:tc>
          <w:tcPr>
            <w:tcW w:w="309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Trigger</w:t>
            </w:r>
          </w:p>
        </w:tc>
        <w:tc>
          <w:tcPr>
            <w:tcW w:w="395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Notify</w:t>
            </w:r>
          </w:p>
        </w:tc>
        <w:tc>
          <w:tcPr>
            <w:tcW w:w="288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Target / requirement</w:t>
            </w:r>
          </w:p>
        </w:tc>
      </w:tr>
      <w:tr>
        <w:trPr>
          <w:cantSplit/>
        </w:trPr>
        <w:tc>
          <w:tcPr>
            <w:tcW w:w="30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Potential SEV-1 alert</w:t>
            </w:r>
          </w:p>
        </w:tc>
        <w:tc>
          <w:tcPr>
            <w:tcW w:w="395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SOC On-Call, IR Lead, Incident Commander</w:t>
            </w:r>
          </w:p>
        </w:tc>
        <w:tc>
          <w:tcPr>
            <w:tcW w:w="288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Immediately; internal target is 15-minute acknowledgement.</w:t>
            </w:r>
          </w:p>
        </w:tc>
      </w:tr>
      <w:tr>
        <w:trPr>
          <w:cantSplit/>
        </w:trPr>
        <w:tc>
          <w:tcPr>
            <w:tcW w:w="30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Confirmed production impact or possible personal-data exposure</w:t>
            </w:r>
          </w:p>
        </w:tc>
        <w:tc>
          <w:tcPr>
            <w:tcW w:w="395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Service Owner, Legal/Privacy, Communications Lead, executive sponsor</w:t>
            </w:r>
          </w:p>
        </w:tc>
        <w:tc>
          <w:tcPr>
            <w:tcW w:w="288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As soon as SEV-1 is declared; begin facts-only situation report.</w:t>
            </w:r>
          </w:p>
        </w:tc>
      </w:tr>
      <w:tr>
        <w:trPr>
          <w:cantSplit/>
        </w:trPr>
        <w:tc>
          <w:tcPr>
            <w:tcW w:w="30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Vendor or cloud component implicated</w:t>
            </w:r>
          </w:p>
        </w:tc>
        <w:tc>
          <w:tcPr>
            <w:tcW w:w="395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Vendor Coordinator and provider security contact; preserve provider ticket and logs</w:t>
            </w:r>
          </w:p>
        </w:tc>
        <w:tc>
          <w:tcPr>
            <w:tcW w:w="288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Immediately; request containment and evidence preservation in writing.</w:t>
            </w:r>
          </w:p>
        </w:tc>
      </w:tr>
      <w:tr>
        <w:trPr>
          <w:cantSplit/>
        </w:trPr>
        <w:tc>
          <w:tcPr>
            <w:tcW w:w="30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Possible mandatory report</w:t>
            </w:r>
          </w:p>
        </w:tc>
        <w:tc>
          <w:tcPr>
            <w:tcW w:w="395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Legal/Privacy + designated CERT-In Point of Contact + IC</w:t>
            </w:r>
          </w:p>
        </w:tc>
        <w:tc>
          <w:tcPr>
            <w:tcW w:w="288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Do not wait for complete root cause; determine applicable reporting clock.</w:t>
            </w:r>
          </w:p>
        </w:tc>
      </w:tr>
      <w:tr>
        <w:trPr>
          <w:cantSplit/>
        </w:trPr>
        <w:tc>
          <w:tcPr>
            <w:tcW w:w="309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Citizen service unavailable or record integrity uncertain</w:t>
            </w:r>
          </w:p>
        </w:tc>
        <w:tc>
          <w:tcPr>
            <w:tcW w:w="395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Service Owner, help desk, affected department/process owner</w:t>
            </w:r>
          </w:p>
        </w:tc>
        <w:tc>
          <w:tcPr>
            <w:tcW w:w="288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Issue approved service status and alternate route as soon as feasible.</w:t>
            </w:r>
          </w:p>
        </w:tc>
      </w:tr>
      <w:tr>
        <w:trPr>
          <w:cantSplit/>
        </w:trPr>
        <w:tc>
          <w:tcPr>
            <w:tcW w:w="309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Return-to-service decision</w:t>
            </w:r>
          </w:p>
        </w:tc>
        <w:tc>
          <w:tcPr>
            <w:tcW w:w="395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IC, Service Owner, IR Lead, security testing lead</w:t>
            </w:r>
          </w:p>
        </w:tc>
        <w:tc>
          <w:tcPr>
            <w:tcW w:w="288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Formal recorded approval before staged or full reopening.</w:t>
            </w:r>
          </w:p>
        </w:tc>
      </w:tr>
    </w:tbl>
    <w:p>
      <w:pPr>
        <w:pStyle w:val="Normal"/>
        <w:spacing w:before="0" w:after="0"/>
        <w:rPr/>
      </w:pPr>
      <w:r>
        <w:rPr/>
      </w:r>
    </w:p>
    <w:p>
      <w:pPr>
        <w:pStyle w:val="Heading2"/>
        <w:rPr/>
      </w:pPr>
      <w:r>
        <w:rPr/>
        <w:t>10.3 Situation Report Template</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231"/>
        <w:gridCol w:w="7705"/>
      </w:tblGrid>
      <w:tr>
        <w:trPr>
          <w:tblHeader w:val="true"/>
          <w:cantSplit/>
        </w:trPr>
        <w:tc>
          <w:tcPr>
            <w:tcW w:w="223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Field</w:t>
            </w:r>
          </w:p>
        </w:tc>
        <w:tc>
          <w:tcPr>
            <w:tcW w:w="770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Content to record</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Incident ID / severity</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IR-YYYY-NNN; SEV-1 to SEV-4; time opened; Incident Commander.</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Confirmed facts</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What is proven by logs/observations; source and confidence.</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Potential impact</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Services, data types, affected user groups, geography, integrity/availability concerns. Clearly mark estimates.</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Actions completed</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Containment, identity revocation, evidence capture, provider actions and service changes.</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Actions next</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Action, named role, due time, dependencies and status.</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Risks / unknowns</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Possible data exfiltration, uncertain start time, unavailable logs, backup uncertainty, side effects.</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External notifications</w:t>
            </w:r>
          </w:p>
        </w:tc>
        <w:tc>
          <w:tcPr>
            <w:tcW w:w="770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Authority/partner, legal basis, owner, deadline, submission time, reference number and follow-up.</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Next update</w:t>
            </w:r>
          </w:p>
        </w:tc>
        <w:tc>
          <w:tcPr>
            <w:tcW w:w="770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Time, channel, audience and message owner.</w:t>
            </w:r>
          </w:p>
        </w:tc>
      </w:tr>
    </w:tbl>
    <w:p>
      <w:pPr>
        <w:pStyle w:val="Normal"/>
        <w:spacing w:before="0" w:after="0"/>
        <w:rPr/>
      </w:pPr>
      <w:r>
        <w:rPr/>
      </w:r>
    </w:p>
    <w:p>
      <w:pPr>
        <w:pStyle w:val="Heading1"/>
        <w:rPr/>
      </w:pPr>
      <w:r>
        <w:rPr/>
        <w:t>11. Regulatory and External Notification Considerations</w:t>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Reporting is a separate workstream</w:t>
            </w:r>
          </w:p>
          <w:p>
            <w:pPr>
              <w:pStyle w:val="Normal"/>
              <w:spacing w:lineRule="auto" w:line="254" w:before="0" w:after="0"/>
              <w:rPr/>
            </w:pPr>
            <w:r>
              <w:rPr>
                <w:color w:val="2B3641"/>
                <w:sz w:val="18"/>
              </w:rPr>
              <w:t>The technical response team supplies facts; the designated Point of Contact and Legal/Privacy Lead determine the applicable report, recipient, format and deadline. Record the time the incident was first noticed or brought to the organisation’s attention; do not reset that clock when the incident is escalated internally.</w:t>
            </w:r>
          </w:p>
        </w:tc>
      </w:tr>
    </w:tbl>
    <w:p>
      <w:pPr>
        <w:pStyle w:val="Normal"/>
        <w:spacing w:before="0" w:after="0"/>
        <w:rPr/>
      </w:pPr>
      <w:r>
        <w:rPr/>
      </w:r>
    </w:p>
    <w:p>
      <w:pPr>
        <w:pStyle w:val="Heading2"/>
        <w:rPr/>
      </w:pPr>
      <w:r>
        <w:rPr/>
        <w:t>11.1 CERT-In and Government Website Guidance</w:t>
      </w:r>
    </w:p>
    <w:p>
      <w:pPr>
        <w:pStyle w:val="Normal"/>
        <w:spacing w:lineRule="auto" w:line="259" w:before="0" w:after="120"/>
        <w:rPr/>
      </w:pPr>
      <w:r>
        <w:rPr>
          <w:i w:val="false"/>
        </w:rPr>
        <w:t>CERT-In’s Directions under Section 70B of the Information Technology Act, 2000 specify categories of cyber incidents to be reported, including severe incidents such as intrusion, ransomware, denial of service, website intrusions, data breaches and data leaks. CERT-In’s published FAQ states that an incident within the reporting scope must be reported within six hours of noticing it or being brought to notice; if all details are not available, available information may be submitted and additional information provided later within a reasonable time [3][4]. Confirm the current Directions, FAQ and applicability with the designated contact and legal adviser.</w:t>
      </w:r>
    </w:p>
    <w:p>
      <w:pPr>
        <w:pStyle w:val="Normal"/>
        <w:spacing w:lineRule="auto" w:line="259" w:before="0" w:after="120"/>
        <w:rPr/>
      </w:pPr>
      <w:r>
        <w:rPr>
          <w:i w:val="false"/>
        </w:rPr>
        <w:t>The Government of India’s Guidelines for Indian Government Websites and Apps (GIGW 3.0) instruct reporting web-application-related security incidents to NIC-CERT and CERT-In immediately. The same guidance stresses security audit clearance, database audit logging, secure backups and contingency planning [5]. The plan therefore assigns a reporting owner and asks the vendor and hosting provider to preserve logs without waiting for a full forensic conclusion.</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231"/>
        <w:gridCol w:w="5112"/>
        <w:gridCol w:w="2593"/>
      </w:tblGrid>
      <w:tr>
        <w:trPr>
          <w:tblHeader w:val="true"/>
          <w:cantSplit/>
        </w:trPr>
        <w:tc>
          <w:tcPr>
            <w:tcW w:w="223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Potential recipient</w:t>
            </w:r>
          </w:p>
        </w:tc>
        <w:tc>
          <w:tcPr>
            <w:tcW w:w="511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Why / when to assess</w:t>
            </w:r>
          </w:p>
        </w:tc>
        <w:tc>
          <w:tcPr>
            <w:tcW w:w="259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Responsible role</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CERT-In</w:t>
            </w:r>
          </w:p>
        </w:tc>
        <w:tc>
          <w:tcPr>
            <w:tcW w:w="51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Cyber incident falls within categories and criteria in current Directions; ransomware, intrusion, data breach/leak or other in-scope event.</w:t>
            </w:r>
          </w:p>
        </w:tc>
        <w:tc>
          <w:tcPr>
            <w:tcW w:w="259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Designated CERT-In Point of Contact with Legal/Privacy and IC oversight.</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NIC-CERT</w:t>
            </w:r>
          </w:p>
        </w:tc>
        <w:tc>
          <w:tcPr>
            <w:tcW w:w="51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Web application/portal security incident per GIGW and relevant government hosting procedures.</w:t>
            </w:r>
          </w:p>
        </w:tc>
        <w:tc>
          <w:tcPr>
            <w:tcW w:w="259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Government IT / Hosting Coordinator with IC oversight.</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Hosting / cloud / managed provider</w:t>
            </w:r>
          </w:p>
        </w:tc>
        <w:tc>
          <w:tcPr>
            <w:tcW w:w="51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Incident touches provider-operated infrastructure or contractual support; preserve evidence and coordinate containment.</w:t>
            </w:r>
          </w:p>
        </w:tc>
        <w:tc>
          <w:tcPr>
            <w:tcW w:w="259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Vendor Coordinator.</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Data Protection Board / affected individuals</w:t>
            </w:r>
          </w:p>
        </w:tc>
        <w:tc>
          <w:tcPr>
            <w:tcW w:w="51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Assess according to the DPDP Act/Rules commencement status, applicability, other laws and approved privacy process.</w:t>
            </w:r>
          </w:p>
        </w:tc>
        <w:tc>
          <w:tcPr>
            <w:tcW w:w="259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Legal/Privacy Lead.</w:t>
            </w:r>
          </w:p>
        </w:tc>
      </w:tr>
      <w:tr>
        <w:trPr>
          <w:cantSplit/>
        </w:trPr>
        <w:tc>
          <w:tcPr>
            <w:tcW w:w="223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Law enforcement / other sector authority</w:t>
            </w:r>
          </w:p>
        </w:tc>
        <w:tc>
          <w:tcPr>
            <w:tcW w:w="511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Where criminal investigation, fraud, public safety or sector-specific requirements apply.</w:t>
            </w:r>
          </w:p>
        </w:tc>
        <w:tc>
          <w:tcPr>
            <w:tcW w:w="259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Legal Lead and executive sponsor.</w:t>
            </w:r>
          </w:p>
        </w:tc>
      </w:tr>
      <w:tr>
        <w:trPr>
          <w:cantSplit/>
        </w:trPr>
        <w:tc>
          <w:tcPr>
            <w:tcW w:w="223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Citizens / service users</w:t>
            </w:r>
          </w:p>
        </w:tc>
        <w:tc>
          <w:tcPr>
            <w:tcW w:w="511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When service impact or disclosure warrants a reliable public notice under approved policy/law.</w:t>
            </w:r>
          </w:p>
        </w:tc>
        <w:tc>
          <w:tcPr>
            <w:tcW w:w="259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Communications Lead after legal and IC approval.</w:t>
            </w:r>
          </w:p>
        </w:tc>
      </w:tr>
    </w:tbl>
    <w:p>
      <w:pPr>
        <w:pStyle w:val="Normal"/>
        <w:spacing w:before="0" w:after="0"/>
        <w:rPr/>
      </w:pPr>
      <w:r>
        <w:rPr/>
      </w:r>
    </w:p>
    <w:p>
      <w:pPr>
        <w:pStyle w:val="Heading2"/>
        <w:rPr/>
      </w:pPr>
      <w:r>
        <w:rPr/>
        <w:t>11.2 DPDP Commencement Caveat (India)</w:t>
      </w:r>
    </w:p>
    <w:p>
      <w:pPr>
        <w:pStyle w:val="Normal"/>
        <w:spacing w:lineRule="auto" w:line="259" w:before="0" w:after="120"/>
        <w:rPr/>
      </w:pPr>
      <w:r>
        <w:rPr>
          <w:i w:val="false"/>
        </w:rPr>
        <w:t>The Digital Personal Data Protection Act, 2023 and Digital Personal Data Protection Rules, 2025 have phased commencement notifications. As of 24 October 2026, the Gazette schedule places Act sections 3-17 and Rules 3, 5-16, 22 and 23 eighteen months after publication on 13 November 2025 (scheduled for 13 May 2027), subject to subsequent amendments or notifications [6][7]. The Rules’ Rule 7 describes personal-data-breach intimation to affected individuals without delay and a Board notification process that includes an initial intimation without delay and detailed information within 72 hours (unless the Board allows a longer period). Because the relevant provisions are scheduled to commence later, this plan treats those future requirements as readiness obligations, not as an assertion that Rule 7 is already effective on the report date. Legal counsel must re-check the latest Gazette, transitional orders and other laws at the time of an incident.</w:t>
      </w:r>
    </w:p>
    <w:p>
      <w:pPr>
        <w:pStyle w:val="Heading2"/>
        <w:rPr/>
      </w:pPr>
      <w:r>
        <w:rPr/>
        <w:t>11.3 Notification Procedure</w:t>
      </w:r>
    </w:p>
    <w:p>
      <w:pPr>
        <w:pStyle w:val="Normal"/>
        <w:spacing w:lineRule="auto" w:line="259" w:before="0" w:after="60"/>
        <w:ind w:hanging="346" w:start="346"/>
        <w:rPr/>
      </w:pPr>
      <w:r>
        <w:rPr>
          <w:b/>
          <w:color w:val="007880"/>
        </w:rPr>
        <w:t xml:space="preserve">1. </w:t>
      </w:r>
      <w:r>
        <w:rPr/>
        <w:t>Within the first 30 minutes, log the first-noticed time, incident type, potential affected systems and the suspected impact. Start an explicit reporting-deadline tracker.</w:t>
      </w:r>
    </w:p>
    <w:p>
      <w:pPr>
        <w:pStyle w:val="Normal"/>
        <w:spacing w:lineRule="auto" w:line="259" w:before="0" w:after="60"/>
        <w:ind w:hanging="346" w:start="346"/>
        <w:rPr/>
      </w:pPr>
      <w:r>
        <w:rPr>
          <w:b/>
          <w:color w:val="007880"/>
        </w:rPr>
        <w:t xml:space="preserve">2. </w:t>
      </w:r>
      <w:r>
        <w:rPr/>
        <w:t>Within the first hour, assign a single notification owner and a backup. Identify current official reporting channel, form, required facts and secure transmission method.</w:t>
      </w:r>
    </w:p>
    <w:p>
      <w:pPr>
        <w:pStyle w:val="Normal"/>
        <w:spacing w:lineRule="auto" w:line="259" w:before="0" w:after="60"/>
        <w:ind w:hanging="346" w:start="346"/>
        <w:rPr/>
      </w:pPr>
      <w:r>
        <w:rPr>
          <w:b/>
          <w:color w:val="007880"/>
        </w:rPr>
        <w:t xml:space="preserve">3. </w:t>
      </w:r>
      <w:r>
        <w:rPr/>
        <w:t>For an in-scope CERT-In incident, submit within the applicable six-hour period using available confirmed information; update the report later in line with official guidance.</w:t>
      </w:r>
    </w:p>
    <w:p>
      <w:pPr>
        <w:pStyle w:val="Normal"/>
        <w:spacing w:lineRule="auto" w:line="259" w:before="0" w:after="60"/>
        <w:ind w:hanging="346" w:start="346"/>
        <w:rPr/>
      </w:pPr>
      <w:r>
        <w:rPr>
          <w:b/>
          <w:color w:val="007880"/>
        </w:rPr>
        <w:t xml:space="preserve">4. </w:t>
      </w:r>
      <w:r>
        <w:rPr/>
        <w:t>For NIC-CERT, hosting provider or sectoral contacts, follow the relevant government hosting process, contract and current incident-handling instructions.</w:t>
      </w:r>
    </w:p>
    <w:p>
      <w:pPr>
        <w:pStyle w:val="Normal"/>
        <w:spacing w:lineRule="auto" w:line="259" w:before="0" w:after="60"/>
        <w:ind w:hanging="346" w:start="346"/>
        <w:rPr/>
      </w:pPr>
      <w:r>
        <w:rPr>
          <w:b/>
          <w:color w:val="007880"/>
        </w:rPr>
        <w:t xml:space="preserve">5. </w:t>
      </w:r>
      <w:r>
        <w:rPr/>
        <w:t>For personal-data incidents, document data categories, affected groups, time window, risk to people, mitigation, advice for affected people and reasons for any notification decision.</w:t>
      </w:r>
    </w:p>
    <w:p>
      <w:pPr>
        <w:pStyle w:val="Normal"/>
        <w:spacing w:lineRule="auto" w:line="259" w:before="0" w:after="60"/>
        <w:ind w:hanging="346" w:start="346"/>
        <w:rPr/>
      </w:pPr>
      <w:r>
        <w:rPr>
          <w:b/>
          <w:color w:val="007880"/>
        </w:rPr>
        <w:t xml:space="preserve">6. </w:t>
      </w:r>
      <w:r>
        <w:rPr/>
        <w:t>Keep copies of submitted forms, approvals, acknowledgements, reference IDs, time sent, recipients and follow-up requests in the incident record.</w:t>
      </w:r>
    </w:p>
    <w:p>
      <w:pPr>
        <w:pStyle w:val="Heading1"/>
        <w:rPr/>
      </w:pPr>
      <w:r>
        <w:rPr/>
        <w:t>12. Evidence Preservation and Case Record</w:t>
      </w:r>
    </w:p>
    <w:p>
      <w:pPr>
        <w:pStyle w:val="Normal"/>
        <w:spacing w:lineRule="auto" w:line="259" w:before="0" w:after="120"/>
        <w:rPr/>
      </w:pPr>
      <w:r>
        <w:rPr>
          <w:i w:val="false"/>
        </w:rPr>
        <w:t>Incident response must preserve enough evidence to understand what happened, support decisions and enable any subsequent investigation. Evidence handling should be coordinated with legal counsel and applicable law. NIST SP 800-86 provides general guidance on integrating forensic techniques into incident response [8].</w:t>
      </w:r>
    </w:p>
    <w:p>
      <w:pPr>
        <w:pStyle w:val="Heading2"/>
        <w:rPr/>
      </w:pPr>
      <w:r>
        <w:rPr/>
        <w:t>12.1 Evidence Handling Rules</w:t>
      </w:r>
    </w:p>
    <w:p>
      <w:pPr>
        <w:pStyle w:val="ListBullet"/>
        <w:numPr>
          <w:ilvl w:val="0"/>
          <w:numId w:val="1"/>
        </w:numPr>
        <w:spacing w:lineRule="auto" w:line="259" w:before="0" w:after="60"/>
        <w:contextualSpacing/>
        <w:rPr/>
      </w:pPr>
      <w:r>
        <w:rPr/>
        <w:t>Assign each evidence item a unique ID. Record collector, collection time (with time zone), source asset/account, method, tool/version, storage location and reason for collection.</w:t>
      </w:r>
    </w:p>
    <w:p>
      <w:pPr>
        <w:pStyle w:val="ListBullet"/>
        <w:numPr>
          <w:ilvl w:val="0"/>
          <w:numId w:val="1"/>
        </w:numPr>
        <w:spacing w:lineRule="auto" w:line="259" w:before="0" w:after="60"/>
        <w:contextualSpacing/>
        <w:rPr/>
      </w:pPr>
      <w:r>
        <w:rPr/>
        <w:t>Preserve original logs and data where possible; create working copies for analysis. Calculate a cryptographic hash (for example SHA-256) for acquired files/images when appropriate and available.</w:t>
      </w:r>
    </w:p>
    <w:p>
      <w:pPr>
        <w:pStyle w:val="ListBullet"/>
        <w:numPr>
          <w:ilvl w:val="0"/>
          <w:numId w:val="1"/>
        </w:numPr>
        <w:spacing w:lineRule="auto" w:line="259" w:before="0" w:after="60"/>
        <w:contextualSpacing/>
        <w:rPr/>
      </w:pPr>
      <w:r>
        <w:rPr/>
        <w:t>Keep a chain-of-custody record for each transfer, including who transferred it, who received it, date/time and purpose. Restrict access and encrypt evidence storage.</w:t>
      </w:r>
    </w:p>
    <w:p>
      <w:pPr>
        <w:pStyle w:val="ListBullet"/>
        <w:numPr>
          <w:ilvl w:val="0"/>
          <w:numId w:val="1"/>
        </w:numPr>
        <w:spacing w:lineRule="auto" w:line="259" w:before="0" w:after="60"/>
        <w:contextualSpacing/>
        <w:rPr/>
      </w:pPr>
      <w:r>
        <w:rPr/>
        <w:t>Capture volatile information (such as memory or live sessions) only where staff are trained and doing so does not materially delay stopping active harm. Otherwise isolate and document why the evidence was not collected.</w:t>
      </w:r>
    </w:p>
    <w:p>
      <w:pPr>
        <w:pStyle w:val="ListBullet"/>
        <w:numPr>
          <w:ilvl w:val="0"/>
          <w:numId w:val="1"/>
        </w:numPr>
        <w:spacing w:lineRule="auto" w:line="259" w:before="0" w:after="60"/>
        <w:contextualSpacing/>
        <w:rPr/>
      </w:pPr>
      <w:r>
        <w:rPr/>
        <w:t>Export logs from the SIEM, identity provider, endpoint, WAF, firewall, DNS/proxy, database, object storage, backup console, cloud control plane and supplier systems as relevant.</w:t>
      </w:r>
    </w:p>
    <w:p>
      <w:pPr>
        <w:pStyle w:val="ListBullet"/>
        <w:numPr>
          <w:ilvl w:val="0"/>
          <w:numId w:val="1"/>
        </w:numPr>
        <w:spacing w:lineRule="auto" w:line="259" w:before="0" w:after="60"/>
        <w:contextualSpacing/>
        <w:rPr/>
      </w:pPr>
      <w:r>
        <w:rPr/>
        <w:t>Keep the original timestamp and timezone metadata. Record clock skew, time source and any normalisation used to build the consolidated timeline.</w:t>
      </w:r>
    </w:p>
    <w:p>
      <w:pPr>
        <w:pStyle w:val="ListBullet"/>
        <w:numPr>
          <w:ilvl w:val="0"/>
          <w:numId w:val="1"/>
        </w:numPr>
        <w:spacing w:lineRule="auto" w:line="259" w:before="0" w:after="60"/>
        <w:contextualSpacing/>
        <w:rPr/>
      </w:pPr>
      <w:r>
        <w:rPr/>
        <w:t>Do not store incident evidence only on a compromised endpoint or use the suspected compromised identity to collect or administer evidence.</w:t>
      </w:r>
    </w:p>
    <w:p>
      <w:pPr>
        <w:pStyle w:val="ListBullet"/>
        <w:numPr>
          <w:ilvl w:val="0"/>
          <w:numId w:val="1"/>
        </w:numPr>
        <w:spacing w:lineRule="auto" w:line="259" w:before="0" w:after="60"/>
        <w:contextualSpacing/>
        <w:rPr/>
      </w:pPr>
      <w:r>
        <w:rPr/>
        <w:t>Limit collection to what is reasonably necessary for investigation, compliance and service recovery; handle citizen personal data according to approved policy and legal direction.</w:t>
      </w:r>
    </w:p>
    <w:p>
      <w:pPr>
        <w:pStyle w:val="Heading2"/>
        <w:rPr/>
      </w:pPr>
      <w:r>
        <w:rPr/>
        <w:t>12.2 Evidence Log Template</w:t>
      </w:r>
    </w:p>
    <w:tbl>
      <w:tblPr>
        <w:tblW w:w="1029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152"/>
        <w:gridCol w:w="2879"/>
        <w:gridCol w:w="2088"/>
        <w:gridCol w:w="2233"/>
        <w:gridCol w:w="1944"/>
      </w:tblGrid>
      <w:tr>
        <w:trPr>
          <w:tblHeader w:val="true"/>
          <w:cantSplit/>
        </w:trPr>
        <w:tc>
          <w:tcPr>
            <w:tcW w:w="115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Evidence ID</w:t>
            </w:r>
          </w:p>
        </w:tc>
        <w:tc>
          <w:tcPr>
            <w:tcW w:w="287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Source / description</w:t>
            </w:r>
          </w:p>
        </w:tc>
        <w:tc>
          <w:tcPr>
            <w:tcW w:w="2088"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Collected by / time</w:t>
            </w:r>
          </w:p>
        </w:tc>
        <w:tc>
          <w:tcPr>
            <w:tcW w:w="223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Integrity / storage</w:t>
            </w:r>
          </w:p>
        </w:tc>
        <w:tc>
          <w:tcPr>
            <w:tcW w:w="194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Transfer / approval</w:t>
            </w:r>
          </w:p>
        </w:tc>
      </w:tr>
      <w:tr>
        <w:trPr>
          <w:cantSplit/>
        </w:trPr>
        <w:tc>
          <w:tcPr>
            <w:tcW w:w="11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EV-001</w:t>
            </w:r>
          </w:p>
        </w:tc>
        <w:tc>
          <w:tcPr>
            <w:tcW w:w="287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Identity / VPN logs covering suspected account</w:t>
            </w:r>
          </w:p>
        </w:tc>
        <w:tc>
          <w:tcPr>
            <w:tcW w:w="208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Name / role; date-time IST</w:t>
            </w:r>
          </w:p>
        </w:tc>
        <w:tc>
          <w:tcPr>
            <w:tcW w:w="223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SHA-256 if exported; restricted evidence store</w:t>
            </w:r>
          </w:p>
        </w:tc>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Source, recipient and transfer time</w:t>
            </w:r>
          </w:p>
        </w:tc>
      </w:tr>
      <w:tr>
        <w:trPr>
          <w:cantSplit/>
        </w:trPr>
        <w:tc>
          <w:tcPr>
            <w:tcW w:w="11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EV-002</w:t>
            </w:r>
          </w:p>
        </w:tc>
        <w:tc>
          <w:tcPr>
            <w:tcW w:w="287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Affected application node disk or snapshot</w:t>
            </w:r>
          </w:p>
        </w:tc>
        <w:tc>
          <w:tcPr>
            <w:tcW w:w="208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Name / role; date-time IST</w:t>
            </w:r>
          </w:p>
        </w:tc>
        <w:tc>
          <w:tcPr>
            <w:tcW w:w="223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Snapshot ID / hash; read-only copy</w:t>
            </w:r>
          </w:p>
        </w:tc>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Approval and reason for collection</w:t>
            </w:r>
          </w:p>
        </w:tc>
      </w:tr>
      <w:tr>
        <w:trPr>
          <w:cantSplit/>
        </w:trPr>
        <w:tc>
          <w:tcPr>
            <w:tcW w:w="11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EV-003</w:t>
            </w:r>
          </w:p>
        </w:tc>
        <w:tc>
          <w:tcPr>
            <w:tcW w:w="287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Database audit and object-storage access logs</w:t>
            </w:r>
          </w:p>
        </w:tc>
        <w:tc>
          <w:tcPr>
            <w:tcW w:w="2088"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Name / role; date-time IST</w:t>
            </w:r>
          </w:p>
        </w:tc>
        <w:tc>
          <w:tcPr>
            <w:tcW w:w="223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Export integrity, retention and access log</w:t>
            </w:r>
          </w:p>
        </w:tc>
        <w:tc>
          <w:tcPr>
            <w:tcW w:w="194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Provider request/reference if external</w:t>
            </w:r>
          </w:p>
        </w:tc>
      </w:tr>
      <w:tr>
        <w:trPr>
          <w:cantSplit/>
        </w:trPr>
        <w:tc>
          <w:tcPr>
            <w:tcW w:w="11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EV-004</w:t>
            </w:r>
          </w:p>
        </w:tc>
        <w:tc>
          <w:tcPr>
            <w:tcW w:w="287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EDR alert, process tree, file metadata and suspected sample</w:t>
            </w:r>
          </w:p>
        </w:tc>
        <w:tc>
          <w:tcPr>
            <w:tcW w:w="2088"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Name / role; date-time IST</w:t>
            </w:r>
          </w:p>
        </w:tc>
        <w:tc>
          <w:tcPr>
            <w:tcW w:w="223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Tool export, hashes, protected malware store</w:t>
            </w:r>
          </w:p>
        </w:tc>
        <w:tc>
          <w:tcPr>
            <w:tcW w:w="194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Only authorised analysts access</w:t>
            </w:r>
          </w:p>
        </w:tc>
      </w:tr>
    </w:tbl>
    <w:p>
      <w:pPr>
        <w:pStyle w:val="Normal"/>
        <w:spacing w:before="0" w:after="0"/>
        <w:rPr/>
      </w:pPr>
      <w:r>
        <w:rPr/>
      </w:r>
      <w:r>
        <w:br w:type="page"/>
      </w:r>
    </w:p>
    <w:p>
      <w:pPr>
        <w:pStyle w:val="Heading2"/>
        <w:rPr/>
      </w:pPr>
      <w:r>
        <w:rPr/>
        <w:t>12.3 Event Timeline Template</w:t>
      </w:r>
    </w:p>
    <w:tbl>
      <w:tblPr>
        <w:tblW w:w="1029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224"/>
        <w:gridCol w:w="2447"/>
        <w:gridCol w:w="2160"/>
        <w:gridCol w:w="2881"/>
        <w:gridCol w:w="1584"/>
      </w:tblGrid>
      <w:tr>
        <w:trPr>
          <w:tblHeader w:val="true"/>
          <w:cantSplit/>
        </w:trPr>
        <w:tc>
          <w:tcPr>
            <w:tcW w:w="122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Time / zone</w:t>
            </w:r>
          </w:p>
        </w:tc>
        <w:tc>
          <w:tcPr>
            <w:tcW w:w="2447"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Event / observation</w:t>
            </w:r>
          </w:p>
        </w:tc>
        <w:tc>
          <w:tcPr>
            <w:tcW w:w="216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Source / confidence</w:t>
            </w:r>
          </w:p>
        </w:tc>
        <w:tc>
          <w:tcPr>
            <w:tcW w:w="288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Action / decision</w:t>
            </w:r>
          </w:p>
        </w:tc>
        <w:tc>
          <w:tcPr>
            <w:tcW w:w="1584"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Owner</w:t>
            </w:r>
          </w:p>
        </w:tc>
      </w:tr>
      <w:tr>
        <w:trPr>
          <w:cantSplit/>
        </w:trPr>
        <w:tc>
          <w:tcPr>
            <w:tcW w:w="12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08:42 IST</w:t>
            </w:r>
          </w:p>
        </w:tc>
        <w:tc>
          <w:tcPr>
            <w:tcW w:w="24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Unusual vendor login</w:t>
            </w:r>
          </w:p>
        </w:tc>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IdP log / high</w:t>
            </w:r>
          </w:p>
        </w:tc>
        <w:tc>
          <w:tcPr>
            <w:tcW w:w="288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Open incident, verify vendor</w:t>
            </w:r>
          </w:p>
        </w:tc>
        <w:tc>
          <w:tcPr>
            <w:tcW w:w="158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SOC</w:t>
            </w:r>
          </w:p>
        </w:tc>
      </w:tr>
      <w:tr>
        <w:trPr>
          <w:cantSplit/>
        </w:trPr>
        <w:tc>
          <w:tcPr>
            <w:tcW w:w="12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08:49 IST</w:t>
            </w:r>
          </w:p>
        </w:tc>
        <w:tc>
          <w:tcPr>
            <w:tcW w:w="244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Unexpected script on application node</w:t>
            </w:r>
          </w:p>
        </w:tc>
        <w:tc>
          <w:tcPr>
            <w:tcW w:w="216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EDR / high</w:t>
            </w:r>
          </w:p>
        </w:tc>
        <w:tc>
          <w:tcPr>
            <w:tcW w:w="288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Isolate host and preserve relevant evidence</w:t>
            </w:r>
          </w:p>
        </w:tc>
        <w:tc>
          <w:tcPr>
            <w:tcW w:w="158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IR Lead / Platform</w:t>
            </w:r>
          </w:p>
        </w:tc>
      </w:tr>
      <w:tr>
        <w:trPr>
          <w:cantSplit/>
        </w:trPr>
        <w:tc>
          <w:tcPr>
            <w:tcW w:w="12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09:02 IST</w:t>
            </w:r>
          </w:p>
        </w:tc>
        <w:tc>
          <w:tcPr>
            <w:tcW w:w="24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Outbound traffic and bulk database reads</w:t>
            </w:r>
          </w:p>
        </w:tc>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Proxy + DB / medium-high</w:t>
            </w:r>
          </w:p>
        </w:tc>
        <w:tc>
          <w:tcPr>
            <w:tcW w:w="288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Investigate possible exposure; limit egress</w:t>
            </w:r>
          </w:p>
        </w:tc>
        <w:tc>
          <w:tcPr>
            <w:tcW w:w="158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SOC / Data Lead</w:t>
            </w:r>
          </w:p>
        </w:tc>
      </w:tr>
      <w:tr>
        <w:trPr>
          <w:cantSplit/>
        </w:trPr>
        <w:tc>
          <w:tcPr>
            <w:tcW w:w="122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09:08 IST</w:t>
            </w:r>
          </w:p>
        </w:tc>
        <w:tc>
          <w:tcPr>
            <w:tcW w:w="244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File encryption observed</w:t>
            </w:r>
          </w:p>
        </w:tc>
        <w:tc>
          <w:tcPr>
            <w:tcW w:w="216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EDR / high</w:t>
            </w:r>
          </w:p>
        </w:tc>
        <w:tc>
          <w:tcPr>
            <w:tcW w:w="288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SEV-1; isolate affected shares and protect backups</w:t>
            </w:r>
          </w:p>
        </w:tc>
        <w:tc>
          <w:tcPr>
            <w:tcW w:w="1584"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IC / Infrastructure</w:t>
            </w:r>
          </w:p>
        </w:tc>
      </w:tr>
      <w:tr>
        <w:trPr>
          <w:cantSplit/>
        </w:trPr>
        <w:tc>
          <w:tcPr>
            <w:tcW w:w="122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[time]</w:t>
            </w:r>
          </w:p>
        </w:tc>
        <w:tc>
          <w:tcPr>
            <w:tcW w:w="24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[facts only; attach evidence ID]</w:t>
            </w:r>
          </w:p>
        </w:tc>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[source / confidence]</w:t>
            </w:r>
          </w:p>
        </w:tc>
        <w:tc>
          <w:tcPr>
            <w:tcW w:w="288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[decision, rationale and approval]</w:t>
            </w:r>
          </w:p>
        </w:tc>
        <w:tc>
          <w:tcPr>
            <w:tcW w:w="1584"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[role]</w:t>
            </w:r>
          </w:p>
        </w:tc>
      </w:tr>
    </w:tbl>
    <w:p>
      <w:pPr>
        <w:pStyle w:val="Normal"/>
        <w:spacing w:before="0" w:after="0"/>
        <w:rPr/>
      </w:pPr>
      <w:r>
        <w:rPr/>
      </w:r>
    </w:p>
    <w:p>
      <w:pPr>
        <w:pStyle w:val="Heading1"/>
        <w:rPr/>
      </w:pPr>
      <w:r>
        <w:rPr/>
        <w:t>13. First 24-Hour Action Timeline</w:t>
      </w:r>
    </w:p>
    <w:p>
      <w:pPr>
        <w:pStyle w:val="Normal"/>
        <w:spacing w:lineRule="auto" w:line="259" w:before="0" w:after="120"/>
        <w:rPr/>
      </w:pPr>
      <w:r>
        <w:rPr>
          <w:i w:val="false"/>
        </w:rPr>
        <w:t>The timeline below is an operational target for a SEV-1 incident. It does not replace legal deadlines or imply all incidents have the same complexity. Reassess at every major change; hand over between shifts using the same incident record and a verbal read-back of critical open actions.</w:t>
      </w:r>
    </w:p>
    <w:tbl>
      <w:tblPr>
        <w:tblW w:w="10008"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656"/>
        <w:gridCol w:w="5543"/>
        <w:gridCol w:w="2809"/>
      </w:tblGrid>
      <w:tr>
        <w:trPr>
          <w:tblHeader w:val="true"/>
          <w:cantSplit/>
        </w:trPr>
        <w:tc>
          <w:tcPr>
            <w:tcW w:w="165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Time from detection</w:t>
            </w:r>
          </w:p>
        </w:tc>
        <w:tc>
          <w:tcPr>
            <w:tcW w:w="554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Actions</w:t>
            </w:r>
          </w:p>
        </w:tc>
        <w:tc>
          <w:tcPr>
            <w:tcW w:w="280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Required output</w:t>
            </w:r>
          </w:p>
        </w:tc>
      </w:tr>
      <w:tr>
        <w:trPr>
          <w:cantSplit/>
        </w:trPr>
        <w:tc>
          <w:tcPr>
            <w:tcW w:w="16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0-15 minutes</w:t>
            </w:r>
          </w:p>
        </w:tc>
        <w:tc>
          <w:tcPr>
            <w:tcW w:w="554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SOC validates alert; creates incident ID; contacts IR Lead and IC; classifies provisional severity; captures alert context; identifies ongoing destructive activity.</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Initial incident record, impact estimate, first owner and next update time.</w:t>
            </w:r>
          </w:p>
        </w:tc>
      </w:tr>
      <w:tr>
        <w:trPr>
          <w:cantSplit/>
        </w:trPr>
        <w:tc>
          <w:tcPr>
            <w:tcW w:w="16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15-30 minutes</w:t>
            </w:r>
          </w:p>
        </w:tc>
        <w:tc>
          <w:tcPr>
            <w:tcW w:w="554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Activate incident bridge; assemble core team; confirm out-of-band channel; begin scoped host/account isolation; protect backups; assign recorder and legal/privacy liaison.</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SEV-1 declaration if criteria met; first action log; list of systems/accounts isolated.</w:t>
            </w:r>
          </w:p>
        </w:tc>
      </w:tr>
      <w:tr>
        <w:trPr>
          <w:cantSplit/>
        </w:trPr>
        <w:tc>
          <w:tcPr>
            <w:tcW w:w="16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30-60 minutes</w:t>
            </w:r>
          </w:p>
        </w:tc>
        <w:tc>
          <w:tcPr>
            <w:tcW w:w="554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Build initial timeline; preserve available high-value logs/snapshots; assess citizen-service impact; contact vendor/host; start CERT-In/NIC-CERT applicability and deadline assessment.</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Situation Report #1; reporting owner, deadline tracker, external evidence requests.</w:t>
            </w:r>
          </w:p>
        </w:tc>
      </w:tr>
      <w:tr>
        <w:trPr>
          <w:cantSplit/>
        </w:trPr>
        <w:tc>
          <w:tcPr>
            <w:tcW w:w="16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1-3 hours</w:t>
            </w:r>
          </w:p>
        </w:tc>
        <w:tc>
          <w:tcPr>
            <w:tcW w:w="554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Contain lateral movement; revoke tokens and credentials; disable risky routes/features; scope database/object-store access and egress; assess continuity and safe read-only mode.</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Containment status; affected asset/account list; initial data-impact hypothesis.</w:t>
            </w:r>
          </w:p>
        </w:tc>
      </w:tr>
      <w:tr>
        <w:trPr>
          <w:cantSplit/>
        </w:trPr>
        <w:tc>
          <w:tcPr>
            <w:tcW w:w="16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3-6 hours</w:t>
            </w:r>
          </w:p>
        </w:tc>
        <w:tc>
          <w:tcPr>
            <w:tcW w:w="554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Continue investigation; submit applicable CERT-In report within deadline; notify NIC-CERT/provider as required; provide initial facts and follow-up plan; maintain citizen update.</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Submission receipt/reference; situation report; documented unknowns and next update.</w:t>
            </w:r>
          </w:p>
        </w:tc>
      </w:tr>
      <w:tr>
        <w:trPr>
          <w:cantSplit/>
        </w:trPr>
        <w:tc>
          <w:tcPr>
            <w:tcW w:w="16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6-12 hours</w:t>
            </w:r>
          </w:p>
        </w:tc>
        <w:tc>
          <w:tcPr>
            <w:tcW w:w="554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Confirm entry path; eradicate persistence; rebuild priority systems from trusted images; validate backups; rotate secrets; establish recovery test environment.</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Root-cause working hypothesis; clean rebuild plan; backup trust decision.</w:t>
            </w:r>
          </w:p>
        </w:tc>
      </w:tr>
      <w:tr>
        <w:trPr>
          <w:cantSplit/>
        </w:trPr>
        <w:tc>
          <w:tcPr>
            <w:tcW w:w="165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12-24 hours</w:t>
            </w:r>
          </w:p>
        </w:tc>
        <w:tc>
          <w:tcPr>
            <w:tcW w:w="554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Restore only approved functions in stages; test data integrity and user flows; monitor for recurrence; prepare leadership and citizen updates; plan shift handover.</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Recovery gate decision; service tests; outstanding risk register; next-24-hour plan.</w:t>
            </w:r>
          </w:p>
        </w:tc>
      </w:tr>
      <w:tr>
        <w:trPr>
          <w:cantSplit/>
        </w:trPr>
        <w:tc>
          <w:tcPr>
            <w:tcW w:w="165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After 24 hours</w:t>
            </w:r>
          </w:p>
        </w:tc>
        <w:tc>
          <w:tcPr>
            <w:tcW w:w="554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Continue heightened monitoring and investigation; provide updates; validate clean state; conduct evidence handover and schedule after-action review.</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Incident record maintained; closure conditions tracked; corrective actions assigned.</w:t>
            </w:r>
          </w:p>
        </w:tc>
      </w:tr>
    </w:tbl>
    <w:p>
      <w:pPr>
        <w:pStyle w:val="Normal"/>
        <w:spacing w:before="0" w:after="0"/>
        <w:rPr/>
      </w:pPr>
      <w:r>
        <w:rPr/>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Critical clock</w:t>
            </w:r>
          </w:p>
          <w:p>
            <w:pPr>
              <w:pStyle w:val="Normal"/>
              <w:spacing w:lineRule="auto" w:line="254" w:before="0" w:after="0"/>
              <w:rPr/>
            </w:pPr>
            <w:r>
              <w:rPr>
                <w:color w:val="2B3641"/>
                <w:sz w:val="18"/>
              </w:rPr>
              <w:t>If CERT-In reporting applies, the six-hour time requirement runs from noticing the incident or being brought to notice, according to CERT-In’s FAQ; it does not start when the executive call occurs. If information is incomplete, report available information and follow official guidance for updates [4].</w:t>
            </w:r>
          </w:p>
        </w:tc>
      </w:tr>
    </w:tbl>
    <w:p>
      <w:pPr>
        <w:pStyle w:val="Normal"/>
        <w:spacing w:before="0" w:after="0"/>
        <w:rPr/>
      </w:pPr>
      <w:r>
        <w:rPr/>
      </w:r>
    </w:p>
    <w:p>
      <w:pPr>
        <w:pStyle w:val="Heading1"/>
        <w:rPr/>
      </w:pPr>
      <w:r>
        <w:rPr/>
        <w:t>14. Decision Trees and Scenario Injects</w:t>
      </w:r>
    </w:p>
    <w:p>
      <w:pPr>
        <w:pStyle w:val="Normal"/>
        <w:rPr/>
      </w:pPr>
      <w:r>
        <w:rPr/>
        <w:drawing>
          <wp:inline distT="0" distB="0" distL="0" distR="0">
            <wp:extent cx="6172200" cy="2359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172200" cy="2359660"/>
                    </a:xfrm>
                    <a:prstGeom prst="rect">
                      <a:avLst/>
                    </a:prstGeom>
                    <a:noFill/>
                  </pic:spPr>
                </pic:pic>
              </a:graphicData>
            </a:graphic>
          </wp:inline>
        </w:drawing>
      </w:r>
    </w:p>
    <w:p>
      <w:pPr>
        <w:pStyle w:val="FigureCaption"/>
        <w:rPr/>
      </w:pPr>
      <w:r>
        <w:rPr/>
        <w:t>Figure 3. Response lifecycle. Preparation, governance and risk reduction are continuous, not activities that begin only after an incident.</w:t>
      </w:r>
    </w:p>
    <w:p>
      <w:pPr>
        <w:pStyle w:val="Heading2"/>
        <w:rPr/>
      </w:pPr>
      <w:r>
        <w:rPr/>
        <w:t>14.1 Key Decision Tree</w:t>
      </w:r>
    </w:p>
    <w:tbl>
      <w:tblPr>
        <w:tblW w:w="10008"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3383"/>
        <w:gridCol w:w="3385"/>
        <w:gridCol w:w="3240"/>
      </w:tblGrid>
      <w:tr>
        <w:trPr>
          <w:tblHeader w:val="true"/>
          <w:cantSplit/>
        </w:trPr>
        <w:tc>
          <w:tcPr>
            <w:tcW w:w="338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Question</w:t>
            </w:r>
          </w:p>
        </w:tc>
        <w:tc>
          <w:tcPr>
            <w:tcW w:w="3385"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Yes</w:t>
            </w:r>
          </w:p>
        </w:tc>
        <w:tc>
          <w:tcPr>
            <w:tcW w:w="324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No / unknown</w:t>
            </w:r>
          </w:p>
        </w:tc>
      </w:tr>
      <w:tr>
        <w:trPr>
          <w:cantSplit/>
        </w:trPr>
        <w:tc>
          <w:tcPr>
            <w:tcW w:w="338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Is there credible active encryption, destructive behaviour or privileged compromise?</w:t>
            </w:r>
          </w:p>
        </w:tc>
        <w:tc>
          <w:tcPr>
            <w:tcW w:w="338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Declare SEV-1; isolate affected assets/identity; protect backups; activate executive and technical teams.</w:t>
            </w:r>
          </w:p>
        </w:tc>
        <w:tc>
          <w:tcPr>
            <w:tcW w:w="32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Continue triage; record evidence and reassess within the internal response target.</w:t>
            </w:r>
          </w:p>
        </w:tc>
      </w:tr>
      <w:tr>
        <w:trPr>
          <w:cantSplit/>
        </w:trPr>
        <w:tc>
          <w:tcPr>
            <w:tcW w:w="338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Could personal data or protected records have been accessed or transferred?</w:t>
            </w:r>
          </w:p>
        </w:tc>
        <w:tc>
          <w:tcPr>
            <w:tcW w:w="338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Treat exposure as possible; preserve access and egress logs; start legal/privacy and notification assessment.</w:t>
            </w:r>
          </w:p>
        </w:tc>
        <w:tc>
          <w:tcPr>
            <w:tcW w:w="324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Document evidence reviewed, sources available and why exposure is not indicated; keep monitoring.</w:t>
            </w:r>
          </w:p>
        </w:tc>
      </w:tr>
      <w:tr>
        <w:trPr>
          <w:cantSplit/>
        </w:trPr>
        <w:tc>
          <w:tcPr>
            <w:tcW w:w="338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Is the identity/management plane trusted?</w:t>
            </w:r>
          </w:p>
        </w:tc>
        <w:tc>
          <w:tcPr>
            <w:tcW w:w="338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Revoke tokens and rotate secrets from trusted admin workstation; enforce MFA and least privilege.</w:t>
            </w:r>
          </w:p>
        </w:tc>
        <w:tc>
          <w:tcPr>
            <w:tcW w:w="32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Use out-of-band recovery access and known-good administrative path; avoid changes through compromised control plane.</w:t>
            </w:r>
          </w:p>
        </w:tc>
      </w:tr>
      <w:tr>
        <w:trPr>
          <w:cantSplit/>
        </w:trPr>
        <w:tc>
          <w:tcPr>
            <w:tcW w:w="338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Are backups independently trustworthy and restorable?</w:t>
            </w:r>
          </w:p>
        </w:tc>
        <w:tc>
          <w:tcPr>
            <w:tcW w:w="3385"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Restore in isolated recovery environment and validate content/integrity.</w:t>
            </w:r>
          </w:p>
        </w:tc>
        <w:tc>
          <w:tcPr>
            <w:tcW w:w="324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Protect backup systems; seek earlier clean recovery point; assess alternate continuity options; do not restore unverified media.</w:t>
            </w:r>
          </w:p>
        </w:tc>
      </w:tr>
      <w:tr>
        <w:trPr>
          <w:cantSplit/>
        </w:trPr>
        <w:tc>
          <w:tcPr>
            <w:tcW w:w="338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Have technical, data and business validation criteria passed?</w:t>
            </w:r>
          </w:p>
        </w:tc>
        <w:tc>
          <w:tcPr>
            <w:tcW w:w="3385"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IC and Service Owner approve staged reopening with heightened monitoring.</w:t>
            </w:r>
          </w:p>
        </w:tc>
        <w:tc>
          <w:tcPr>
            <w:tcW w:w="324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Keep affected functionality isolated or read-only; remediate and retest.</w:t>
            </w:r>
          </w:p>
        </w:tc>
      </w:tr>
    </w:tbl>
    <w:p>
      <w:pPr>
        <w:pStyle w:val="Normal"/>
        <w:spacing w:before="0" w:after="0"/>
        <w:rPr/>
      </w:pPr>
      <w:r>
        <w:rPr/>
      </w:r>
    </w:p>
    <w:p>
      <w:pPr>
        <w:pStyle w:val="Heading2"/>
        <w:rPr/>
      </w:pPr>
      <w:r>
        <w:rPr/>
        <w:t>14.2 Tabletop Exercise Injects</w:t>
      </w:r>
    </w:p>
    <w:tbl>
      <w:tblPr>
        <w:tblW w:w="10008"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952"/>
        <w:gridCol w:w="4247"/>
        <w:gridCol w:w="2809"/>
      </w:tblGrid>
      <w:tr>
        <w:trPr>
          <w:tblHeader w:val="true"/>
          <w:cantSplit/>
        </w:trPr>
        <w:tc>
          <w:tcPr>
            <w:tcW w:w="295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Inject</w:t>
            </w:r>
          </w:p>
        </w:tc>
        <w:tc>
          <w:tcPr>
            <w:tcW w:w="4247"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Expected team response</w:t>
            </w:r>
          </w:p>
        </w:tc>
        <w:tc>
          <w:tcPr>
            <w:tcW w:w="280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4"/>
              </w:rPr>
              <w:t>What the evaluator should observe</w:t>
            </w:r>
          </w:p>
        </w:tc>
      </w:tr>
      <w:tr>
        <w:trPr>
          <w:cantSplit/>
        </w:trPr>
        <w:tc>
          <w:tcPr>
            <w:tcW w:w="29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A. SOC confirms unusual vendor login and suspicious script</w:t>
            </w:r>
          </w:p>
        </w:tc>
        <w:tc>
          <w:tcPr>
            <w:tcW w:w="42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Activate incident record, classify, revoke account/session, validate provider ticket, collect evidence.</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Does the team use a single timeline, named owners and trusted communications?</w:t>
            </w:r>
          </w:p>
        </w:tc>
      </w:tr>
      <w:tr>
        <w:trPr>
          <w:cantSplit/>
        </w:trPr>
        <w:tc>
          <w:tcPr>
            <w:tcW w:w="29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B. Ransomware begins in one document share</w:t>
            </w:r>
          </w:p>
        </w:tc>
        <w:tc>
          <w:tcPr>
            <w:tcW w:w="424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Isolate the share/hosts, protect backups and assess whether broader segment isolation is needed.</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Is containment fast but scoped? Are side effects and decisions recorded?</w:t>
            </w:r>
          </w:p>
        </w:tc>
      </w:tr>
      <w:tr>
        <w:trPr>
          <w:cantSplit/>
        </w:trPr>
        <w:tc>
          <w:tcPr>
            <w:tcW w:w="29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C. A provider says their central logs will rotate in 30 minutes</w:t>
            </w:r>
          </w:p>
        </w:tc>
        <w:tc>
          <w:tcPr>
            <w:tcW w:w="42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Send written preservation request and export available logs immediately.</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Does evidence collection include third-party sources and ownership?</w:t>
            </w:r>
          </w:p>
        </w:tc>
      </w:tr>
      <w:tr>
        <w:trPr>
          <w:cantSplit/>
        </w:trPr>
        <w:tc>
          <w:tcPr>
            <w:tcW w:w="29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D. Database audit suggests bulk reads; exfiltration remains uncertain</w:t>
            </w:r>
          </w:p>
        </w:tc>
        <w:tc>
          <w:tcPr>
            <w:tcW w:w="424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Start privacy/legal analysis, preserve egress and query logs, avoid unverified public claims.</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Are unknowns clearly labelled and notifications actively assessed?</w:t>
            </w:r>
          </w:p>
        </w:tc>
      </w:tr>
      <w:tr>
        <w:trPr>
          <w:cantSplit/>
        </w:trPr>
        <w:tc>
          <w:tcPr>
            <w:tcW w:w="29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E. Citizen support receives screenshots of a ransom message</w:t>
            </w:r>
          </w:p>
        </w:tc>
        <w:tc>
          <w:tcPr>
            <w:tcW w:w="42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Use approved support script; record report safely; update public status only through Communications Lead.</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Does staff avoid phishing or forwarding malicious files without process?</w:t>
            </w:r>
          </w:p>
        </w:tc>
      </w:tr>
      <w:tr>
        <w:trPr>
          <w:cantSplit/>
        </w:trPr>
        <w:tc>
          <w:tcPr>
            <w:tcW w:w="29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F. Backup console has suspicious login</w:t>
            </w:r>
          </w:p>
        </w:tc>
        <w:tc>
          <w:tcPr>
            <w:tcW w:w="424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Treat recovery plane as potentially compromised; isolate admin access; validate backup integrity from separate trusted path.</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Does the team avoid blindly restoring from possibly affected backups?</w:t>
            </w:r>
          </w:p>
        </w:tc>
      </w:tr>
      <w:tr>
        <w:trPr>
          <w:cantSplit/>
        </w:trPr>
        <w:tc>
          <w:tcPr>
            <w:tcW w:w="29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G. A reporter asks whether citizen records were stolen</w:t>
            </w:r>
          </w:p>
        </w:tc>
        <w:tc>
          <w:tcPr>
            <w:tcW w:w="4247"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Spokesperson uses approved holding statement; no speculation; legal/privacy review continues.</w:t>
            </w:r>
          </w:p>
        </w:tc>
        <w:tc>
          <w:tcPr>
            <w:tcW w:w="28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4"/>
              </w:rPr>
              <w:t>Is there one spokesperson and a logged approval?</w:t>
            </w:r>
          </w:p>
        </w:tc>
      </w:tr>
      <w:tr>
        <w:trPr>
          <w:cantSplit/>
        </w:trPr>
        <w:tc>
          <w:tcPr>
            <w:tcW w:w="29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H. Clean restore is complete but a high-risk vulnerability remains</w:t>
            </w:r>
          </w:p>
        </w:tc>
        <w:tc>
          <w:tcPr>
            <w:tcW w:w="4247"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Keep the affected feature isolated or apply compensating controls; document risk acceptance and expiry.</w:t>
            </w:r>
          </w:p>
        </w:tc>
        <w:tc>
          <w:tcPr>
            <w:tcW w:w="28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4"/>
              </w:rPr>
              <w:t>Is recovery based on security and business validation rather than schedule pressure?</w:t>
            </w:r>
          </w:p>
        </w:tc>
      </w:tr>
    </w:tbl>
    <w:p>
      <w:pPr>
        <w:pStyle w:val="Normal"/>
        <w:spacing w:before="0" w:after="0"/>
        <w:rPr/>
      </w:pPr>
      <w:r>
        <w:rPr/>
      </w:r>
    </w:p>
    <w:p>
      <w:pPr>
        <w:pStyle w:val="Heading1"/>
        <w:rPr/>
      </w:pPr>
      <w:r>
        <w:rPr/>
        <w:t>15. Closure, Lessons Learned and Improvement</w:t>
      </w:r>
    </w:p>
    <w:p>
      <w:pPr>
        <w:pStyle w:val="Heading2"/>
        <w:rPr/>
      </w:pPr>
      <w:r>
        <w:rPr/>
        <w:t>15.1 Closure Criteria</w:t>
      </w:r>
    </w:p>
    <w:p>
      <w:pPr>
        <w:pStyle w:val="ListBullet"/>
        <w:numPr>
          <w:ilvl w:val="0"/>
          <w:numId w:val="1"/>
        </w:numPr>
        <w:spacing w:lineRule="auto" w:line="259" w:before="0" w:after="60"/>
        <w:contextualSpacing/>
        <w:rPr/>
      </w:pPr>
      <w:r>
        <w:rPr/>
        <w:t>No evidence of active attacker persistence remains within the defined scope, and monitoring covers known entry paths and affected identities.</w:t>
      </w:r>
    </w:p>
    <w:p>
      <w:pPr>
        <w:pStyle w:val="ListBullet"/>
        <w:numPr>
          <w:ilvl w:val="0"/>
          <w:numId w:val="1"/>
        </w:numPr>
        <w:spacing w:lineRule="auto" w:line="259" w:before="0" w:after="60"/>
        <w:contextualSpacing/>
        <w:rPr/>
      </w:pPr>
      <w:r>
        <w:rPr/>
        <w:t>Root cause and time window are documented to the extent evidence permits; material evidence gaps are listed explicitly.</w:t>
      </w:r>
    </w:p>
    <w:p>
      <w:pPr>
        <w:pStyle w:val="ListBullet"/>
        <w:numPr>
          <w:ilvl w:val="0"/>
          <w:numId w:val="1"/>
        </w:numPr>
        <w:spacing w:lineRule="auto" w:line="259" w:before="0" w:after="60"/>
        <w:contextualSpacing/>
        <w:rPr/>
      </w:pPr>
      <w:r>
        <w:rPr/>
        <w:t>Restored services pass security, data-integrity, transaction, user acceptance and accessibility checks appropriate to the service.</w:t>
      </w:r>
    </w:p>
    <w:p>
      <w:pPr>
        <w:pStyle w:val="ListBullet"/>
        <w:numPr>
          <w:ilvl w:val="0"/>
          <w:numId w:val="1"/>
        </w:numPr>
        <w:spacing w:lineRule="auto" w:line="259" w:before="0" w:after="60"/>
        <w:contextualSpacing/>
        <w:rPr/>
      </w:pPr>
      <w:r>
        <w:rPr/>
        <w:t>All applicable regulatory, government, vendor and citizen communications have been completed or have an assigned follow-up and due date.</w:t>
      </w:r>
    </w:p>
    <w:p>
      <w:pPr>
        <w:pStyle w:val="ListBullet"/>
        <w:numPr>
          <w:ilvl w:val="0"/>
          <w:numId w:val="1"/>
        </w:numPr>
        <w:spacing w:lineRule="auto" w:line="259" w:before="0" w:after="60"/>
        <w:contextualSpacing/>
        <w:rPr/>
      </w:pPr>
      <w:r>
        <w:rPr/>
        <w:t>Business owner and Incident Commander approve closure or transition into long-term remediation; any residual high risk has an authorised owner and expiry date.</w:t>
      </w:r>
    </w:p>
    <w:p>
      <w:pPr>
        <w:pStyle w:val="ListBullet"/>
        <w:numPr>
          <w:ilvl w:val="0"/>
          <w:numId w:val="1"/>
        </w:numPr>
        <w:spacing w:lineRule="auto" w:line="259" w:before="0" w:after="60"/>
        <w:contextualSpacing/>
        <w:rPr/>
      </w:pPr>
      <w:r>
        <w:rPr/>
        <w:t>Evidence is retained securely under the approved schedule and any legal hold; access to evidence and case data is limited.</w:t>
      </w:r>
    </w:p>
    <w:p>
      <w:pPr>
        <w:pStyle w:val="ListBullet"/>
        <w:numPr>
          <w:ilvl w:val="0"/>
          <w:numId w:val="1"/>
        </w:numPr>
        <w:spacing w:lineRule="auto" w:line="259" w:before="0" w:after="60"/>
        <w:contextualSpacing/>
        <w:rPr/>
      </w:pPr>
      <w:r>
        <w:rPr/>
        <w:t>An after-action review is scheduled no later than 10 business days after containment or service stabilisation (internal target).</w:t>
      </w:r>
    </w:p>
    <w:p>
      <w:pPr>
        <w:pStyle w:val="Heading2"/>
        <w:rPr/>
      </w:pPr>
      <w:r>
        <w:rPr/>
        <w:t>15.2 After-Action Review Questions</w:t>
      </w:r>
    </w:p>
    <w:p>
      <w:pPr>
        <w:pStyle w:val="ListBullet"/>
        <w:numPr>
          <w:ilvl w:val="0"/>
          <w:numId w:val="1"/>
        </w:numPr>
        <w:spacing w:lineRule="auto" w:line="259" w:before="0" w:after="60"/>
        <w:contextualSpacing/>
        <w:rPr/>
      </w:pPr>
      <w:r>
        <w:rPr/>
        <w:t>What happened? What was the earliest known signal, and how long did detection and containment take?</w:t>
      </w:r>
    </w:p>
    <w:p>
      <w:pPr>
        <w:pStyle w:val="ListBullet"/>
        <w:numPr>
          <w:ilvl w:val="0"/>
          <w:numId w:val="1"/>
        </w:numPr>
        <w:spacing w:lineRule="auto" w:line="259" w:before="0" w:after="60"/>
        <w:contextualSpacing/>
        <w:rPr/>
      </w:pPr>
      <w:r>
        <w:rPr/>
        <w:t>Which control or assumption failed (identity, vendor access, patching, network segmentation, logging, backup, user reporting or change management)?</w:t>
      </w:r>
    </w:p>
    <w:p>
      <w:pPr>
        <w:pStyle w:val="ListBullet"/>
        <w:numPr>
          <w:ilvl w:val="0"/>
          <w:numId w:val="1"/>
        </w:numPr>
        <w:spacing w:lineRule="auto" w:line="259" w:before="0" w:after="60"/>
        <w:contextualSpacing/>
        <w:rPr/>
      </w:pPr>
      <w:r>
        <w:rPr/>
        <w:t>What helped the response, and what caused delay, confusion, duplicate work or service impact?</w:t>
      </w:r>
    </w:p>
    <w:p>
      <w:pPr>
        <w:pStyle w:val="ListBullet"/>
        <w:numPr>
          <w:ilvl w:val="0"/>
          <w:numId w:val="1"/>
        </w:numPr>
        <w:spacing w:lineRule="auto" w:line="259" w:before="0" w:after="60"/>
        <w:contextualSpacing/>
        <w:rPr/>
      </w:pPr>
      <w:r>
        <w:rPr/>
        <w:t>Were service priorities, decision authority and communications clear? Were there avoidable citizen impacts?</w:t>
      </w:r>
    </w:p>
    <w:p>
      <w:pPr>
        <w:pStyle w:val="ListBullet"/>
        <w:numPr>
          <w:ilvl w:val="0"/>
          <w:numId w:val="1"/>
        </w:numPr>
        <w:spacing w:lineRule="auto" w:line="259" w:before="0" w:after="60"/>
        <w:contextualSpacing/>
        <w:rPr/>
      </w:pPr>
      <w:r>
        <w:rPr/>
        <w:t>Were legal and regulatory deadlines identified and met? Did the team preserve submission receipts and decision rationale?</w:t>
      </w:r>
    </w:p>
    <w:p>
      <w:pPr>
        <w:pStyle w:val="ListBullet"/>
        <w:numPr>
          <w:ilvl w:val="0"/>
          <w:numId w:val="1"/>
        </w:numPr>
        <w:spacing w:lineRule="auto" w:line="259" w:before="0" w:after="60"/>
        <w:contextualSpacing/>
        <w:rPr/>
      </w:pPr>
      <w:r>
        <w:rPr/>
        <w:t>Which actions will be funded, who owns them, when are they due, and what test will prove completion?</w:t>
      </w:r>
    </w:p>
    <w:p>
      <w:pPr>
        <w:pStyle w:val="Heading2"/>
        <w:rPr/>
      </w:pPr>
      <w:r>
        <w:rPr/>
        <w:t>15.3 Metrics and Targets</w:t>
      </w:r>
    </w:p>
    <w:tbl>
      <w:tblPr>
        <w:tblW w:w="10008"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303"/>
        <w:gridCol w:w="4752"/>
        <w:gridCol w:w="2953"/>
      </w:tblGrid>
      <w:tr>
        <w:trPr>
          <w:tblHeader w:val="true"/>
          <w:cantSplit/>
        </w:trPr>
        <w:tc>
          <w:tcPr>
            <w:tcW w:w="230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Metric</w:t>
            </w:r>
          </w:p>
        </w:tc>
        <w:tc>
          <w:tcPr>
            <w:tcW w:w="4752"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Definition</w:t>
            </w:r>
          </w:p>
        </w:tc>
        <w:tc>
          <w:tcPr>
            <w:tcW w:w="2953"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Suggested initial target</w:t>
            </w:r>
          </w:p>
        </w:tc>
      </w:tr>
      <w:tr>
        <w:trPr>
          <w:cantSplit/>
        </w:trPr>
        <w:tc>
          <w:tcPr>
            <w:tcW w:w="23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Mean time to acknowledge (MTTA)</w:t>
            </w:r>
          </w:p>
        </w:tc>
        <w:tc>
          <w:tcPr>
            <w:tcW w:w="47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Time from first alert to human acknowledgement.</w:t>
            </w:r>
          </w:p>
        </w:tc>
        <w:tc>
          <w:tcPr>
            <w:tcW w:w="29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SEV-1 &lt;= 15 minutes for staffed on-call.</w:t>
            </w:r>
          </w:p>
        </w:tc>
      </w:tr>
      <w:tr>
        <w:trPr>
          <w:cantSplit/>
        </w:trPr>
        <w:tc>
          <w:tcPr>
            <w:tcW w:w="230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Time to incident declaration</w:t>
            </w:r>
          </w:p>
        </w:tc>
        <w:tc>
          <w:tcPr>
            <w:tcW w:w="47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Time from first credible evidence to severity/IC activation.</w:t>
            </w:r>
          </w:p>
        </w:tc>
        <w:tc>
          <w:tcPr>
            <w:tcW w:w="29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SEV-1 &lt;= 30 minutes, internal target.</w:t>
            </w:r>
          </w:p>
        </w:tc>
      </w:tr>
      <w:tr>
        <w:trPr>
          <w:cantSplit/>
        </w:trPr>
        <w:tc>
          <w:tcPr>
            <w:tcW w:w="23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Time to containment</w:t>
            </w:r>
          </w:p>
        </w:tc>
        <w:tc>
          <w:tcPr>
            <w:tcW w:w="47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Time from declaration to effective isolation of active attacker path.</w:t>
            </w:r>
          </w:p>
        </w:tc>
        <w:tc>
          <w:tcPr>
            <w:tcW w:w="29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Track per incident; establish baseline and set a risk-based target.</w:t>
            </w:r>
          </w:p>
        </w:tc>
      </w:tr>
      <w:tr>
        <w:trPr>
          <w:cantSplit/>
        </w:trPr>
        <w:tc>
          <w:tcPr>
            <w:tcW w:w="230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Notification timeliness</w:t>
            </w:r>
          </w:p>
        </w:tc>
        <w:tc>
          <w:tcPr>
            <w:tcW w:w="47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In-scope reports submitted within applicable legal/reporting time.</w:t>
            </w:r>
          </w:p>
        </w:tc>
        <w:tc>
          <w:tcPr>
            <w:tcW w:w="29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100% with owner, deadline and receipt captured.</w:t>
            </w:r>
          </w:p>
        </w:tc>
      </w:tr>
      <w:tr>
        <w:trPr>
          <w:cantSplit/>
        </w:trPr>
        <w:tc>
          <w:tcPr>
            <w:tcW w:w="23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Evidence completeness</w:t>
            </w:r>
          </w:p>
        </w:tc>
        <w:tc>
          <w:tcPr>
            <w:tcW w:w="47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Critical evidence sources requested/preserved against checklist.</w:t>
            </w:r>
          </w:p>
        </w:tc>
        <w:tc>
          <w:tcPr>
            <w:tcW w:w="29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100% of available critical sources; gaps documented.</w:t>
            </w:r>
          </w:p>
        </w:tc>
      </w:tr>
      <w:tr>
        <w:trPr>
          <w:cantSplit/>
        </w:trPr>
        <w:tc>
          <w:tcPr>
            <w:tcW w:w="230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Recovery success</w:t>
            </w:r>
          </w:p>
        </w:tc>
        <w:tc>
          <w:tcPr>
            <w:tcW w:w="47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Restored services pass integrity/security/business gates.</w:t>
            </w:r>
          </w:p>
        </w:tc>
        <w:tc>
          <w:tcPr>
            <w:tcW w:w="29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No reopening without sign-off; 100% of gates recorded.</w:t>
            </w:r>
          </w:p>
        </w:tc>
      </w:tr>
      <w:tr>
        <w:trPr>
          <w:cantSplit/>
        </w:trPr>
        <w:tc>
          <w:tcPr>
            <w:tcW w:w="23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Backup recovery assurance</w:t>
            </w:r>
          </w:p>
        </w:tc>
        <w:tc>
          <w:tcPr>
            <w:tcW w:w="47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Successful restore tests for critical systems.</w:t>
            </w:r>
          </w:p>
        </w:tc>
        <w:tc>
          <w:tcPr>
            <w:tcW w:w="29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At least quarterly for critical services or as policy requires.</w:t>
            </w:r>
          </w:p>
        </w:tc>
      </w:tr>
      <w:tr>
        <w:trPr>
          <w:cantSplit/>
        </w:trPr>
        <w:tc>
          <w:tcPr>
            <w:tcW w:w="230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Exercise completion</w:t>
            </w:r>
          </w:p>
        </w:tc>
        <w:tc>
          <w:tcPr>
            <w:tcW w:w="4752"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IR tabletop and recovery test outcomes completed and actions tracked.</w:t>
            </w:r>
          </w:p>
        </w:tc>
        <w:tc>
          <w:tcPr>
            <w:tcW w:w="2953"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At least one tabletop every six months; annual recovery exercise.</w:t>
            </w:r>
          </w:p>
        </w:tc>
      </w:tr>
      <w:tr>
        <w:trPr>
          <w:cantSplit/>
        </w:trPr>
        <w:tc>
          <w:tcPr>
            <w:tcW w:w="230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Corrective action closure</w:t>
            </w:r>
          </w:p>
        </w:tc>
        <w:tc>
          <w:tcPr>
            <w:tcW w:w="4752"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Actions completed and validated by due date.</w:t>
            </w:r>
          </w:p>
        </w:tc>
        <w:tc>
          <w:tcPr>
            <w:tcW w:w="2953"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100% high-priority actions have owner and target date; overdue risks escalated.</w:t>
            </w:r>
          </w:p>
        </w:tc>
      </w:tr>
    </w:tbl>
    <w:p>
      <w:pPr>
        <w:pStyle w:val="Normal"/>
        <w:spacing w:before="0" w:after="0"/>
        <w:rPr/>
      </w:pPr>
      <w:r>
        <w:rPr/>
      </w:r>
      <w:r>
        <w:br w:type="page"/>
      </w:r>
    </w:p>
    <w:p>
      <w:pPr>
        <w:pStyle w:val="Heading1"/>
        <w:rPr/>
      </w:pPr>
      <w:r>
        <w:rPr/>
        <w:t>16. Readiness Checklist and Operational Templates</w:t>
      </w:r>
    </w:p>
    <w:p>
      <w:pPr>
        <w:pStyle w:val="Heading2"/>
        <w:rPr/>
      </w:pPr>
      <w:r>
        <w:rPr/>
        <w:t>16.1 Before an Incident</w:t>
      </w:r>
    </w:p>
    <w:p>
      <w:pPr>
        <w:pStyle w:val="ListBullet"/>
        <w:numPr>
          <w:ilvl w:val="0"/>
          <w:numId w:val="1"/>
        </w:numPr>
        <w:spacing w:lineRule="auto" w:line="259" w:before="0" w:after="60"/>
        <w:contextualSpacing/>
        <w:rPr/>
      </w:pPr>
      <w:r>
        <w:rPr/>
        <w:t xml:space="preserve">☐ </w:t>
      </w:r>
      <w:r>
        <w:rPr/>
        <w:t>Maintain current on-call roster with primary and alternate for IC, IR Lead, SOC, identity, network, application, database, legal/privacy, communications, service owner and vendor coordinator.</w:t>
      </w:r>
    </w:p>
    <w:p>
      <w:pPr>
        <w:pStyle w:val="ListBullet"/>
        <w:numPr>
          <w:ilvl w:val="0"/>
          <w:numId w:val="1"/>
        </w:numPr>
        <w:spacing w:lineRule="auto" w:line="259" w:before="0" w:after="60"/>
        <w:contextualSpacing/>
        <w:rPr/>
      </w:pPr>
      <w:r>
        <w:rPr/>
        <w:t xml:space="preserve">☐ </w:t>
      </w:r>
      <w:r>
        <w:rPr/>
        <w:t>Verify out-of-band bridge and emergency access that do not depend on the potentially compromised SSO/email tenant.</w:t>
      </w:r>
    </w:p>
    <w:p>
      <w:pPr>
        <w:pStyle w:val="ListBullet"/>
        <w:numPr>
          <w:ilvl w:val="0"/>
          <w:numId w:val="1"/>
        </w:numPr>
        <w:spacing w:lineRule="auto" w:line="259" w:before="0" w:after="60"/>
        <w:contextualSpacing/>
        <w:rPr/>
      </w:pPr>
      <w:r>
        <w:rPr/>
        <w:t xml:space="preserve">☐ </w:t>
      </w:r>
      <w:r>
        <w:rPr/>
        <w:t>Keep current architecture/data-flow map, critical asset list, privileged access list, supplier contacts, retention schedules and backup dependencies.</w:t>
      </w:r>
    </w:p>
    <w:p>
      <w:pPr>
        <w:pStyle w:val="ListBullet"/>
        <w:numPr>
          <w:ilvl w:val="0"/>
          <w:numId w:val="1"/>
        </w:numPr>
        <w:spacing w:lineRule="auto" w:line="259" w:before="0" w:after="60"/>
        <w:contextualSpacing/>
        <w:rPr/>
      </w:pPr>
      <w:r>
        <w:rPr/>
        <w:t xml:space="preserve">☐ </w:t>
      </w:r>
      <w:r>
        <w:rPr/>
        <w:t>Test ability to export logs from identity, endpoints, WAF, DNS/proxy, database, object storage, cloud control plane and provider systems.</w:t>
      </w:r>
    </w:p>
    <w:p>
      <w:pPr>
        <w:pStyle w:val="ListBullet"/>
        <w:numPr>
          <w:ilvl w:val="0"/>
          <w:numId w:val="1"/>
        </w:numPr>
        <w:spacing w:lineRule="auto" w:line="259" w:before="0" w:after="60"/>
        <w:contextualSpacing/>
        <w:rPr/>
      </w:pPr>
      <w:r>
        <w:rPr/>
        <w:t xml:space="preserve">☐ </w:t>
      </w:r>
      <w:r>
        <w:rPr/>
        <w:t>Confirm the CERT-In Point of Contact and current CERT-In/NIC-CERT reporting process; rehearse a draft report using a tabletop scenario.</w:t>
      </w:r>
    </w:p>
    <w:p>
      <w:pPr>
        <w:pStyle w:val="ListBullet"/>
        <w:numPr>
          <w:ilvl w:val="0"/>
          <w:numId w:val="1"/>
        </w:numPr>
        <w:spacing w:lineRule="auto" w:line="259" w:before="0" w:after="60"/>
        <w:contextualSpacing/>
        <w:rPr/>
      </w:pPr>
      <w:r>
        <w:rPr/>
        <w:t xml:space="preserve">☐ </w:t>
      </w:r>
      <w:r>
        <w:rPr/>
        <w:t>Maintain safe, immutable/offline backup copies and regularly test restoration in an isolated environment.</w:t>
      </w:r>
    </w:p>
    <w:p>
      <w:pPr>
        <w:pStyle w:val="ListBullet"/>
        <w:numPr>
          <w:ilvl w:val="0"/>
          <w:numId w:val="1"/>
        </w:numPr>
        <w:spacing w:lineRule="auto" w:line="259" w:before="0" w:after="60"/>
        <w:contextualSpacing/>
        <w:rPr/>
      </w:pPr>
      <w:r>
        <w:rPr/>
        <w:t xml:space="preserve">☐ </w:t>
      </w:r>
      <w:r>
        <w:rPr/>
        <w:t>Define service RTO/RPO, read-only fallback, citizen support script, public status page and message approval chain.</w:t>
      </w:r>
    </w:p>
    <w:p>
      <w:pPr>
        <w:pStyle w:val="ListBullet"/>
        <w:numPr>
          <w:ilvl w:val="0"/>
          <w:numId w:val="1"/>
        </w:numPr>
        <w:spacing w:lineRule="auto" w:line="259" w:before="0" w:after="60"/>
        <w:contextualSpacing/>
        <w:rPr/>
      </w:pPr>
      <w:r>
        <w:rPr/>
        <w:t xml:space="preserve">☐ </w:t>
      </w:r>
      <w:r>
        <w:rPr/>
        <w:t>Ensure incident forms, evidence log, legal hold, decision log and situation report templates are accessible offline or through a trusted system.</w:t>
      </w:r>
    </w:p>
    <w:p>
      <w:pPr>
        <w:pStyle w:val="ListBullet"/>
        <w:numPr>
          <w:ilvl w:val="0"/>
          <w:numId w:val="1"/>
        </w:numPr>
        <w:spacing w:lineRule="auto" w:line="259" w:before="0" w:after="60"/>
        <w:contextualSpacing/>
        <w:rPr/>
      </w:pPr>
      <w:r>
        <w:rPr/>
        <w:t xml:space="preserve">☐ </w:t>
      </w:r>
      <w:r>
        <w:rPr/>
        <w:t>Exercise the plan at least twice per year and after material platform, identity, cloud or vendor changes.</w:t>
      </w:r>
    </w:p>
    <w:p>
      <w:pPr>
        <w:pStyle w:val="Heading2"/>
        <w:rPr/>
      </w:pPr>
      <w:r>
        <w:rPr/>
        <w:t>16.2 First 15-Minute Quick Checklist</w:t>
      </w:r>
    </w:p>
    <w:p>
      <w:pPr>
        <w:pStyle w:val="ListBullet"/>
        <w:numPr>
          <w:ilvl w:val="0"/>
          <w:numId w:val="1"/>
        </w:numPr>
        <w:spacing w:lineRule="auto" w:line="259" w:before="0" w:after="60"/>
        <w:contextualSpacing/>
        <w:rPr/>
      </w:pPr>
      <w:r>
        <w:rPr/>
        <w:t xml:space="preserve">☐ </w:t>
      </w:r>
      <w:r>
        <w:rPr/>
        <w:t>Create incident ID and capture first-noticed time/time zone.</w:t>
      </w:r>
    </w:p>
    <w:p>
      <w:pPr>
        <w:pStyle w:val="ListBullet"/>
        <w:numPr>
          <w:ilvl w:val="0"/>
          <w:numId w:val="1"/>
        </w:numPr>
        <w:spacing w:lineRule="auto" w:line="259" w:before="0" w:after="60"/>
        <w:contextualSpacing/>
        <w:rPr/>
      </w:pPr>
      <w:r>
        <w:rPr/>
        <w:t xml:space="preserve">☐ </w:t>
      </w:r>
      <w:r>
        <w:rPr/>
        <w:t>Validate signal and classify provisional severity.</w:t>
      </w:r>
    </w:p>
    <w:p>
      <w:pPr>
        <w:pStyle w:val="ListBullet"/>
        <w:numPr>
          <w:ilvl w:val="0"/>
          <w:numId w:val="1"/>
        </w:numPr>
        <w:spacing w:lineRule="auto" w:line="259" w:before="0" w:after="60"/>
        <w:contextualSpacing/>
        <w:rPr/>
      </w:pPr>
      <w:r>
        <w:rPr/>
        <w:t xml:space="preserve">☐ </w:t>
      </w:r>
      <w:r>
        <w:rPr/>
        <w:t>Contact IR Lead and Incident Commander through trusted channel.</w:t>
      </w:r>
    </w:p>
    <w:p>
      <w:pPr>
        <w:pStyle w:val="ListBullet"/>
        <w:numPr>
          <w:ilvl w:val="0"/>
          <w:numId w:val="1"/>
        </w:numPr>
        <w:spacing w:lineRule="auto" w:line="259" w:before="0" w:after="60"/>
        <w:contextualSpacing/>
        <w:rPr/>
      </w:pPr>
      <w:r>
        <w:rPr/>
        <w:t xml:space="preserve">☐ </w:t>
      </w:r>
      <w:r>
        <w:rPr/>
        <w:t>Identify active harm: encryption, data transfer, account misuse or service integrity risk.</w:t>
      </w:r>
    </w:p>
    <w:p>
      <w:pPr>
        <w:pStyle w:val="ListBullet"/>
        <w:numPr>
          <w:ilvl w:val="0"/>
          <w:numId w:val="1"/>
        </w:numPr>
        <w:spacing w:lineRule="auto" w:line="259" w:before="0" w:after="60"/>
        <w:contextualSpacing/>
        <w:rPr/>
      </w:pPr>
      <w:r>
        <w:rPr/>
        <w:t xml:space="preserve">☐ </w:t>
      </w:r>
      <w:r>
        <w:rPr/>
        <w:t>Revoke compromised identity/session and isolate affected systems as appropriate.</w:t>
      </w:r>
    </w:p>
    <w:p>
      <w:pPr>
        <w:pStyle w:val="ListBullet"/>
        <w:numPr>
          <w:ilvl w:val="0"/>
          <w:numId w:val="1"/>
        </w:numPr>
        <w:spacing w:lineRule="auto" w:line="259" w:before="0" w:after="60"/>
        <w:contextualSpacing/>
        <w:rPr/>
      </w:pPr>
      <w:r>
        <w:rPr/>
        <w:t xml:space="preserve">☐ </w:t>
      </w:r>
      <w:r>
        <w:rPr/>
        <w:t>Protect backups and security monitoring; preserve key volatile evidence where safe.</w:t>
      </w:r>
    </w:p>
    <w:p>
      <w:pPr>
        <w:pStyle w:val="ListBullet"/>
        <w:numPr>
          <w:ilvl w:val="0"/>
          <w:numId w:val="1"/>
        </w:numPr>
        <w:spacing w:lineRule="auto" w:line="259" w:before="0" w:after="60"/>
        <w:contextualSpacing/>
        <w:rPr/>
      </w:pPr>
      <w:r>
        <w:rPr/>
        <w:t xml:space="preserve">☐ </w:t>
      </w:r>
      <w:r>
        <w:rPr/>
        <w:t>Start one event timeline, decision log and action tracker.</w:t>
      </w:r>
    </w:p>
    <w:p>
      <w:pPr>
        <w:pStyle w:val="ListBullet"/>
        <w:numPr>
          <w:ilvl w:val="0"/>
          <w:numId w:val="1"/>
        </w:numPr>
        <w:spacing w:lineRule="auto" w:line="259" w:before="0" w:after="60"/>
        <w:contextualSpacing/>
        <w:rPr/>
      </w:pPr>
      <w:r>
        <w:rPr/>
        <w:t xml:space="preserve">☐ </w:t>
      </w:r>
      <w:r>
        <w:rPr/>
        <w:t>Assign legal/privacy and external reporting owner; track applicable deadlines.</w:t>
      </w:r>
    </w:p>
    <w:p>
      <w:pPr>
        <w:pStyle w:val="ListBullet"/>
        <w:numPr>
          <w:ilvl w:val="0"/>
          <w:numId w:val="1"/>
        </w:numPr>
        <w:spacing w:lineRule="auto" w:line="259" w:before="0" w:after="60"/>
        <w:contextualSpacing/>
        <w:rPr/>
      </w:pPr>
      <w:r>
        <w:rPr/>
        <w:t xml:space="preserve">☐ </w:t>
      </w:r>
      <w:r>
        <w:rPr/>
        <w:t>Agree next situation report time and citizen-service update path.</w:t>
      </w:r>
    </w:p>
    <w:p>
      <w:pPr>
        <w:pStyle w:val="Heading2"/>
        <w:rPr/>
      </w:pPr>
      <w:r>
        <w:rPr/>
        <w:t>16.3 Internal Message Template</w:t>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Subject: SEV-1 Cybersecurity Incident - IR-[ID] - Action Required</w:t>
            </w:r>
          </w:p>
          <w:p>
            <w:pPr>
              <w:pStyle w:val="Normal"/>
              <w:spacing w:lineRule="auto" w:line="254" w:before="0" w:after="0"/>
              <w:rPr/>
            </w:pPr>
            <w:r>
              <w:rPr>
                <w:color w:val="2B3641"/>
                <w:sz w:val="18"/>
              </w:rPr>
              <w:t>At [time IST], [team] detected [confirmed facts]. The affected scope is currently [known/under investigation]. Immediate actions: [isolation/revocation/status]. Required action for recipients: [specific task, owner, due time]. Do not forward sensitive incident data outside approved channels. Next update at [time IST]. Incident Commander: [role/contact via approved roster].</w:t>
            </w:r>
          </w:p>
        </w:tc>
      </w:tr>
    </w:tbl>
    <w:p>
      <w:pPr>
        <w:pStyle w:val="Normal"/>
        <w:spacing w:before="0" w:after="0"/>
        <w:rPr/>
      </w:pPr>
      <w:r>
        <w:rPr/>
      </w:r>
    </w:p>
    <w:p>
      <w:pPr>
        <w:pStyle w:val="Heading2"/>
        <w:rPr/>
      </w:pPr>
      <w:r>
        <w:rPr/>
        <w:t>16.4 Citizen Status Template</w:t>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Service notice - e-Seva Connect</w:t>
            </w:r>
          </w:p>
          <w:p>
            <w:pPr>
              <w:pStyle w:val="Normal"/>
              <w:spacing w:lineRule="auto" w:line="254" w:before="0" w:after="0"/>
              <w:rPr/>
            </w:pPr>
            <w:r>
              <w:rPr>
                <w:color w:val="2B3641"/>
                <w:sz w:val="18"/>
              </w:rPr>
              <w:t>We are investigating a technical security incident affecting [specific service/function]. Some users may be unable to [specific action]. We have taken steps to protect the service and are working to restore it safely. Please use [approved alternative route] for urgent matters. We will publish the next update at [time/date]. Please do not send identity documents or passwords by email or social media. Further information will be provided through this official channel.</w:t>
            </w:r>
          </w:p>
        </w:tc>
      </w:tr>
    </w:tbl>
    <w:p>
      <w:pPr>
        <w:pStyle w:val="Normal"/>
        <w:spacing w:before="0" w:after="0"/>
        <w:rPr/>
      </w:pPr>
      <w:r>
        <w:rPr/>
      </w:r>
    </w:p>
    <w:p>
      <w:pPr>
        <w:pStyle w:val="Normal"/>
        <w:spacing w:lineRule="auto" w:line="259" w:before="0" w:after="120"/>
        <w:rPr/>
      </w:pPr>
      <w:r>
        <w:rPr>
          <w:i w:val="false"/>
        </w:rPr>
        <w:t>Use the citizen template only after approval by the Communications Lead, Service Owner and Legal/Privacy Lead. Add personal-data notification content only after facts and legal requirements are assessed. Do not claim that data was or was not accessed unless the statement is substantiated.</w:t>
      </w:r>
    </w:p>
    <w:p>
      <w:pPr>
        <w:pStyle w:val="Heading2"/>
        <w:rPr/>
      </w:pPr>
      <w:r>
        <w:rPr/>
        <w:t>16.5 Handover Template</w:t>
      </w:r>
    </w:p>
    <w:tbl>
      <w:tblPr>
        <w:tblW w:w="9936"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2160"/>
        <w:gridCol w:w="7776"/>
      </w:tblGrid>
      <w:tr>
        <w:trPr>
          <w:tblHeader w:val="true"/>
          <w:cantSplit/>
        </w:trPr>
        <w:tc>
          <w:tcPr>
            <w:tcW w:w="2160"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Handover item</w:t>
            </w:r>
          </w:p>
        </w:tc>
        <w:tc>
          <w:tcPr>
            <w:tcW w:w="777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6"/>
              </w:rPr>
              <w:t>Required detail</w:t>
            </w:r>
          </w:p>
        </w:tc>
      </w:tr>
      <w:tr>
        <w:trPr>
          <w:cantSplit/>
        </w:trPr>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Current status</w:t>
            </w:r>
          </w:p>
        </w:tc>
        <w:tc>
          <w:tcPr>
            <w:tcW w:w="77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Severity, incident ID, IC, scope and last update timestamp.</w:t>
            </w:r>
          </w:p>
        </w:tc>
      </w:tr>
      <w:tr>
        <w:trPr>
          <w:cantSplit/>
        </w:trPr>
        <w:tc>
          <w:tcPr>
            <w:tcW w:w="216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Containment</w:t>
            </w:r>
          </w:p>
        </w:tc>
        <w:tc>
          <w:tcPr>
            <w:tcW w:w="777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Isolated assets/accounts, disabled functions, network changes and known side effects.</w:t>
            </w:r>
          </w:p>
        </w:tc>
      </w:tr>
      <w:tr>
        <w:trPr>
          <w:cantSplit/>
        </w:trPr>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Evidence</w:t>
            </w:r>
          </w:p>
        </w:tc>
        <w:tc>
          <w:tcPr>
            <w:tcW w:w="77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Items collected, storage locations, hashes, chain of custody, pending provider requests.</w:t>
            </w:r>
          </w:p>
        </w:tc>
      </w:tr>
      <w:tr>
        <w:trPr>
          <w:cantSplit/>
        </w:trPr>
        <w:tc>
          <w:tcPr>
            <w:tcW w:w="216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Open questions</w:t>
            </w:r>
          </w:p>
        </w:tc>
        <w:tc>
          <w:tcPr>
            <w:tcW w:w="777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Unknown scope, data exposure, persistence, backup trust, legal decisions.</w:t>
            </w:r>
          </w:p>
        </w:tc>
      </w:tr>
      <w:tr>
        <w:trPr>
          <w:cantSplit/>
        </w:trPr>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Deadlines / notifications</w:t>
            </w:r>
          </w:p>
        </w:tc>
        <w:tc>
          <w:tcPr>
            <w:tcW w:w="77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Authority, owner, deadline, receipt/status, next update and legal contact.</w:t>
            </w:r>
          </w:p>
        </w:tc>
      </w:tr>
      <w:tr>
        <w:trPr>
          <w:cantSplit/>
        </w:trPr>
        <w:tc>
          <w:tcPr>
            <w:tcW w:w="2160"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Next actions</w:t>
            </w:r>
          </w:p>
        </w:tc>
        <w:tc>
          <w:tcPr>
            <w:tcW w:w="777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6"/>
              </w:rPr>
              <w:t>Task, owner, due time, prerequisites, escalation trigger.</w:t>
            </w:r>
          </w:p>
        </w:tc>
      </w:tr>
      <w:tr>
        <w:trPr>
          <w:cantSplit/>
        </w:trPr>
        <w:tc>
          <w:tcPr>
            <w:tcW w:w="2160"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Recovery state</w:t>
            </w:r>
          </w:p>
        </w:tc>
        <w:tc>
          <w:tcPr>
            <w:tcW w:w="77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6"/>
              </w:rPr>
              <w:t>Stage, validation outcomes, rollback path and approvals.</w:t>
            </w:r>
          </w:p>
        </w:tc>
      </w:tr>
    </w:tbl>
    <w:p>
      <w:pPr>
        <w:pStyle w:val="Normal"/>
        <w:spacing w:before="0" w:after="0"/>
        <w:rPr/>
      </w:pPr>
      <w:r>
        <w:rPr/>
      </w:r>
    </w:p>
    <w:p>
      <w:pPr>
        <w:pStyle w:val="Heading1"/>
        <w:rPr/>
      </w:pPr>
      <w:r>
        <w:rPr/>
        <w:t>1</w:t>
      </w:r>
      <w:r>
        <w:rPr/>
        <w:t>7</w:t>
      </w:r>
      <w:r>
        <w:rPr/>
        <w:t>. References</w:t>
      </w:r>
    </w:p>
    <w:p>
      <w:pPr>
        <w:pStyle w:val="Normal"/>
        <w:spacing w:lineRule="auto" w:line="252" w:before="0" w:after="100"/>
        <w:rPr/>
      </w:pPr>
      <w:r>
        <w:rPr/>
        <w:t xml:space="preserve">[1] National Institute of Standards and Technology (NIST). SP 800-61 Rev. 3, Incident Response Recommendations and Considerations for Cybersecurity Risk Management: A CSF 2.0 Community Profile (April 2025). </w:t>
      </w:r>
      <w:hyperlink r:id="rId5">
        <w:r>
          <w:rPr>
            <w:rStyle w:val="Style"/>
            <w:color w:val="0563C1"/>
            <w:u w:val="single"/>
          </w:rPr>
          <w:t>Official source</w:t>
        </w:r>
      </w:hyperlink>
    </w:p>
    <w:p>
      <w:pPr>
        <w:pStyle w:val="Normal"/>
        <w:spacing w:lineRule="auto" w:line="252" w:before="0" w:after="100"/>
        <w:rPr/>
      </w:pPr>
      <w:r>
        <w:rPr/>
        <w:t xml:space="preserve">[2] NIST. Cybersecurity Framework (CSF) 2.0. </w:t>
      </w:r>
      <w:hyperlink r:id="rId6">
        <w:r>
          <w:rPr>
            <w:rStyle w:val="Style"/>
            <w:color w:val="0563C1"/>
            <w:u w:val="single"/>
          </w:rPr>
          <w:t>Official source</w:t>
        </w:r>
      </w:hyperlink>
    </w:p>
    <w:p>
      <w:pPr>
        <w:pStyle w:val="Normal"/>
        <w:spacing w:lineRule="auto" w:line="252" w:before="0" w:after="100"/>
        <w:rPr/>
      </w:pPr>
      <w:r>
        <w:rPr/>
        <w:t xml:space="preserve">[3] Indian Computer Emergency Response Team (CERT-In). Directions under Section 70B of the Information Technology Act, 2000, dated 28 April 2022. </w:t>
      </w:r>
      <w:hyperlink r:id="rId7">
        <w:r>
          <w:rPr>
            <w:rStyle w:val="Style"/>
            <w:color w:val="0563C1"/>
            <w:u w:val="single"/>
          </w:rPr>
          <w:t>Official source</w:t>
        </w:r>
      </w:hyperlink>
    </w:p>
    <w:p>
      <w:pPr>
        <w:pStyle w:val="Normal"/>
        <w:spacing w:lineRule="auto" w:line="252" w:before="0" w:after="100"/>
        <w:rPr/>
      </w:pPr>
      <w:r>
        <w:rPr/>
        <w:t xml:space="preserve">[4] CERT-In. FAQs on Cyber Security Directions dated 28 April 2022 (May 2022), including six-hour reporting clarifications. </w:t>
      </w:r>
      <w:hyperlink r:id="rId8">
        <w:r>
          <w:rPr>
            <w:rStyle w:val="Style"/>
            <w:color w:val="0563C1"/>
            <w:u w:val="single"/>
          </w:rPr>
          <w:t>Official source</w:t>
        </w:r>
      </w:hyperlink>
    </w:p>
    <w:p>
      <w:pPr>
        <w:pStyle w:val="Normal"/>
        <w:spacing w:lineRule="auto" w:line="252" w:before="0" w:after="100"/>
        <w:rPr/>
      </w:pPr>
      <w:r>
        <w:rPr/>
        <w:t xml:space="preserve">[5] Government of India. Guidelines for Indian Government Websites and Apps (GIGW 3.0), Security Guidelines and incident reporting guidance. </w:t>
      </w:r>
      <w:hyperlink r:id="rId9">
        <w:r>
          <w:rPr>
            <w:rStyle w:val="Style"/>
            <w:color w:val="0563C1"/>
            <w:u w:val="single"/>
          </w:rPr>
          <w:t>Official source</w:t>
        </w:r>
      </w:hyperlink>
    </w:p>
    <w:p>
      <w:pPr>
        <w:pStyle w:val="Normal"/>
        <w:spacing w:lineRule="auto" w:line="252" w:before="0" w:after="100"/>
        <w:rPr/>
      </w:pPr>
      <w:r>
        <w:rPr/>
        <w:t xml:space="preserve">[6] Ministry of Electronics and Information Technology (MeitY). Digital Personal Data Protection Act, 2023. </w:t>
      </w:r>
      <w:hyperlink r:id="rId10">
        <w:r>
          <w:rPr>
            <w:rStyle w:val="Style"/>
            <w:color w:val="0563C1"/>
            <w:u w:val="single"/>
          </w:rPr>
          <w:t>Official source</w:t>
        </w:r>
      </w:hyperlink>
    </w:p>
    <w:p>
      <w:pPr>
        <w:pStyle w:val="Normal"/>
        <w:spacing w:lineRule="auto" w:line="252" w:before="0" w:after="100"/>
        <w:rPr/>
      </w:pPr>
      <w:r>
        <w:rPr/>
        <w:t xml:space="preserve">[7] MeitY. Digital Personal Data Protection Rules, 2025, Gazette of India notification G.S.R. 846(E), 13 November 2025, and related commencement notifications. </w:t>
      </w:r>
      <w:hyperlink r:id="rId11">
        <w:r>
          <w:rPr>
            <w:rStyle w:val="Style"/>
            <w:color w:val="0563C1"/>
            <w:u w:val="single"/>
          </w:rPr>
          <w:t>Official source</w:t>
        </w:r>
      </w:hyperlink>
    </w:p>
    <w:p>
      <w:pPr>
        <w:pStyle w:val="Normal"/>
        <w:spacing w:lineRule="auto" w:line="252" w:before="0" w:after="100"/>
        <w:rPr/>
      </w:pPr>
      <w:r>
        <w:rPr/>
        <w:t xml:space="preserve">[8] NIST. SP 800-86, Guide to Integrating Forensic Techniques into Incident Response (August 2006). </w:t>
      </w:r>
      <w:hyperlink r:id="rId12">
        <w:r>
          <w:rPr>
            <w:rStyle w:val="Style"/>
            <w:color w:val="0563C1"/>
            <w:u w:val="single"/>
          </w:rPr>
          <w:t>Official source</w:t>
        </w:r>
      </w:hyperlink>
    </w:p>
    <w:p>
      <w:pPr>
        <w:pStyle w:val="Normal"/>
        <w:spacing w:lineRule="auto" w:line="252" w:before="0" w:after="100"/>
        <w:rPr/>
      </w:pPr>
      <w:r>
        <w:rPr/>
        <w:t xml:space="preserve">[9] Cybersecurity and Infrastructure Security Agency (CISA). #StopRansomware Guide. Used as supplementary technical practice, not Indian legal authority. </w:t>
      </w:r>
      <w:hyperlink r:id="rId13">
        <w:r>
          <w:rPr>
            <w:rStyle w:val="Style"/>
            <w:color w:val="0563C1"/>
            <w:u w:val="single"/>
          </w:rPr>
          <w:t>Official source</w:t>
        </w:r>
      </w:hyperlink>
    </w:p>
    <w:p>
      <w:pPr>
        <w:pStyle w:val="Normal"/>
        <w:spacing w:lineRule="auto" w:line="259" w:before="0" w:after="120"/>
        <w:rPr/>
      </w:pPr>
      <w:r>
        <w:rPr>
          <w:i w:val="false"/>
        </w:rPr>
        <w:t>Reference verification date: 24 October 2026. Before operational use, confirm the latest official publications, amendments, commencement notifications, sector-specific directions, departmental policies and supplier contracts. Regulatory interpretation should be confirmed by authorised legal/privacy counsel.</w:t>
      </w:r>
    </w:p>
    <w:p>
      <w:pPr>
        <w:pStyle w:val="Heading1"/>
        <w:rPr/>
      </w:pPr>
      <w:r>
        <w:rPr/>
        <w:t>Final Action Plan</w:t>
      </w:r>
    </w:p>
    <w:tbl>
      <w:tblPr>
        <w:tblW w:w="10512" w:type="dxa"/>
        <w:jc w:val="center"/>
        <w:tblInd w:w="0" w:type="dxa"/>
        <w:tblLayout w:type="fixed"/>
        <w:tblCellMar>
          <w:top w:w="100" w:type="dxa"/>
          <w:start w:w="110" w:type="dxa"/>
          <w:bottom w:w="100" w:type="dxa"/>
          <w:end w:w="110" w:type="dxa"/>
        </w:tblCellMar>
        <w:tblLook w:noHBand="0" w:noVBand="1" w:firstColumn="1" w:lastRow="0" w:lastColumn="0" w:firstRow="1" w:val="04a0"/>
      </w:tblPr>
      <w:tblGrid>
        <w:gridCol w:w="1511"/>
        <w:gridCol w:w="4609"/>
        <w:gridCol w:w="2016"/>
        <w:gridCol w:w="2376"/>
      </w:tblGrid>
      <w:tr>
        <w:trPr>
          <w:tblHeader w:val="true"/>
          <w:cantSplit/>
        </w:trPr>
        <w:tc>
          <w:tcPr>
            <w:tcW w:w="1511"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When</w:t>
            </w:r>
          </w:p>
        </w:tc>
        <w:tc>
          <w:tcPr>
            <w:tcW w:w="4609"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Action</w:t>
            </w:r>
          </w:p>
        </w:tc>
        <w:tc>
          <w:tcPr>
            <w:tcW w:w="201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Accountable role</w:t>
            </w:r>
          </w:p>
        </w:tc>
        <w:tc>
          <w:tcPr>
            <w:tcW w:w="2376" w:type="dxa"/>
            <w:tcBorders>
              <w:top w:val="single" w:sz="4" w:space="0" w:color="D4DEE5"/>
              <w:start w:val="single" w:sz="4" w:space="0" w:color="D4DEE5"/>
              <w:bottom w:val="single" w:sz="4" w:space="0" w:color="D4DEE5"/>
              <w:end w:val="single" w:sz="4" w:space="0" w:color="D4DEE5"/>
            </w:tcBorders>
            <w:shd w:fill="142D46" w:val="clear"/>
            <w:vAlign w:val="center"/>
          </w:tcPr>
          <w:p>
            <w:pPr>
              <w:pStyle w:val="Normal"/>
              <w:spacing w:lineRule="auto" w:line="247" w:before="0" w:after="0"/>
              <w:rPr/>
            </w:pPr>
            <w:r>
              <w:rPr>
                <w:b/>
                <w:color w:val="FFFFFF"/>
                <w:sz w:val="15"/>
              </w:rPr>
              <w:t>Proof of completion</w:t>
            </w:r>
          </w:p>
        </w:tc>
      </w:tr>
      <w:tr>
        <w:trPr>
          <w:cantSplit/>
        </w:trPr>
        <w:tc>
          <w:tcPr>
            <w:tcW w:w="151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Before adoption</w:t>
            </w:r>
          </w:p>
        </w:tc>
        <w:tc>
          <w:tcPr>
            <w:tcW w:w="46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Approve severity criteria, RACI, contact roster, out-of-band channel and authorised containment powers.</w:t>
            </w:r>
          </w:p>
        </w:tc>
        <w:tc>
          <w:tcPr>
            <w:tcW w:w="201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Department Head / Service Owner</w:t>
            </w:r>
          </w:p>
        </w:tc>
        <w:tc>
          <w:tcPr>
            <w:tcW w:w="23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Signed plan and tested contact tree.</w:t>
            </w:r>
          </w:p>
        </w:tc>
      </w:tr>
      <w:tr>
        <w:trPr>
          <w:cantSplit/>
        </w:trPr>
        <w:tc>
          <w:tcPr>
            <w:tcW w:w="151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Within 30 days</w:t>
            </w:r>
          </w:p>
        </w:tc>
        <w:tc>
          <w:tcPr>
            <w:tcW w:w="46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Map the actual platform, critical data flows, log sources, backups, suppliers, reporting channels and RTO/RPO.</w:t>
            </w:r>
          </w:p>
        </w:tc>
        <w:tc>
          <w:tcPr>
            <w:tcW w:w="201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Security Lead + Platform Owner</w:t>
            </w:r>
          </w:p>
        </w:tc>
        <w:tc>
          <w:tcPr>
            <w:tcW w:w="237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Approved dependency map and incident asset list.</w:t>
            </w:r>
          </w:p>
        </w:tc>
      </w:tr>
      <w:tr>
        <w:trPr>
          <w:cantSplit/>
        </w:trPr>
        <w:tc>
          <w:tcPr>
            <w:tcW w:w="151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Within 60 days</w:t>
            </w:r>
          </w:p>
        </w:tc>
        <w:tc>
          <w:tcPr>
            <w:tcW w:w="46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Run one ransomware/data-exposure tabletop including CERT-In, NIC-CERT, privacy and communications decisions.</w:t>
            </w:r>
          </w:p>
        </w:tc>
        <w:tc>
          <w:tcPr>
            <w:tcW w:w="201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IR Lead + Legal/Privacy + Service Owner</w:t>
            </w:r>
          </w:p>
        </w:tc>
        <w:tc>
          <w:tcPr>
            <w:tcW w:w="23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Exercise report, gap list, actions and owners.</w:t>
            </w:r>
          </w:p>
        </w:tc>
      </w:tr>
      <w:tr>
        <w:trPr>
          <w:cantSplit/>
        </w:trPr>
        <w:tc>
          <w:tcPr>
            <w:tcW w:w="1511"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Within 90 days</w:t>
            </w:r>
          </w:p>
        </w:tc>
        <w:tc>
          <w:tcPr>
            <w:tcW w:w="4609"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Conduct an isolated restore test and verify out-of-band access, evidence exports and secure contact method.</w:t>
            </w:r>
          </w:p>
        </w:tc>
        <w:tc>
          <w:tcPr>
            <w:tcW w:w="201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Infrastructure / Backup Lead</w:t>
            </w:r>
          </w:p>
        </w:tc>
        <w:tc>
          <w:tcPr>
            <w:tcW w:w="2376" w:type="dxa"/>
            <w:tcBorders>
              <w:top w:val="single" w:sz="4" w:space="0" w:color="D4DEE5"/>
              <w:start w:val="single" w:sz="4" w:space="0" w:color="D4DEE5"/>
              <w:bottom w:val="single" w:sz="4" w:space="0" w:color="D4DEE5"/>
              <w:end w:val="single" w:sz="4" w:space="0" w:color="D4DEE5"/>
            </w:tcBorders>
            <w:shd w:fill="F4F7F9" w:val="clear"/>
            <w:vAlign w:val="center"/>
          </w:tcPr>
          <w:p>
            <w:pPr>
              <w:pStyle w:val="Normal"/>
              <w:spacing w:lineRule="auto" w:line="247" w:before="0" w:after="0"/>
              <w:rPr/>
            </w:pPr>
            <w:r>
              <w:rPr>
                <w:b w:val="false"/>
                <w:color w:val="2B3641"/>
                <w:sz w:val="15"/>
              </w:rPr>
              <w:t>Restore test record and remediation tickets.</w:t>
            </w:r>
          </w:p>
        </w:tc>
      </w:tr>
      <w:tr>
        <w:trPr>
          <w:cantSplit/>
        </w:trPr>
        <w:tc>
          <w:tcPr>
            <w:tcW w:w="1511"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Ongoing</w:t>
            </w:r>
          </w:p>
        </w:tc>
        <w:tc>
          <w:tcPr>
            <w:tcW w:w="4609"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Review after incidents, exercises, material platform changes or regulatory changes; track high-risk corrective actions to verified closure.</w:t>
            </w:r>
          </w:p>
        </w:tc>
        <w:tc>
          <w:tcPr>
            <w:tcW w:w="201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Incident Commander / Security Lead</w:t>
            </w:r>
          </w:p>
        </w:tc>
        <w:tc>
          <w:tcPr>
            <w:tcW w:w="2376" w:type="dxa"/>
            <w:tcBorders>
              <w:top w:val="single" w:sz="4" w:space="0" w:color="D4DEE5"/>
              <w:start w:val="single" w:sz="4" w:space="0" w:color="D4DEE5"/>
              <w:bottom w:val="single" w:sz="4" w:space="0" w:color="D4DEE5"/>
              <w:end w:val="single" w:sz="4" w:space="0" w:color="D4DEE5"/>
            </w:tcBorders>
            <w:vAlign w:val="center"/>
          </w:tcPr>
          <w:p>
            <w:pPr>
              <w:pStyle w:val="Normal"/>
              <w:spacing w:lineRule="auto" w:line="247" w:before="0" w:after="0"/>
              <w:rPr/>
            </w:pPr>
            <w:r>
              <w:rPr>
                <w:b w:val="false"/>
                <w:color w:val="2B3641"/>
                <w:sz w:val="15"/>
              </w:rPr>
              <w:t>Quarterly dashboard and approved updates.</w:t>
            </w:r>
          </w:p>
        </w:tc>
      </w:tr>
    </w:tbl>
    <w:p>
      <w:pPr>
        <w:pStyle w:val="Normal"/>
        <w:spacing w:before="0" w:after="0"/>
        <w:rPr/>
      </w:pPr>
      <w:r>
        <w:rPr/>
      </w:r>
    </w:p>
    <w:tbl>
      <w:tblPr>
        <w:tblW w:w="9936"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9936"/>
      </w:tblGrid>
      <w:tr>
        <w:trPr>
          <w:cantSplit/>
        </w:trPr>
        <w:tc>
          <w:tcPr>
            <w:tcW w:w="9936" w:type="dxa"/>
            <w:tcBorders>
              <w:top w:val="single" w:sz="4" w:space="0" w:color="D4DEE5"/>
              <w:start w:val="single" w:sz="4" w:space="0" w:color="D4DEE5"/>
              <w:bottom w:val="single" w:sz="4" w:space="0" w:color="D4DEE5"/>
              <w:end w:val="single" w:sz="4" w:space="0" w:color="D4DEE5"/>
            </w:tcBorders>
            <w:shd w:fill="E8F2F7" w:val="clear"/>
          </w:tcPr>
          <w:p>
            <w:pPr>
              <w:pStyle w:val="Normal"/>
              <w:spacing w:before="0" w:after="80"/>
              <w:rPr/>
            </w:pPr>
            <w:r>
              <w:rPr>
                <w:b/>
                <w:color w:val="007880"/>
                <w:sz w:val="21"/>
              </w:rPr>
              <w:t>Closing statement</w:t>
            </w:r>
          </w:p>
          <w:p>
            <w:pPr>
              <w:pStyle w:val="Normal"/>
              <w:spacing w:lineRule="auto" w:line="254" w:before="0" w:after="0"/>
              <w:rPr/>
            </w:pPr>
            <w:r>
              <w:rPr>
                <w:color w:val="2B3641"/>
                <w:sz w:val="18"/>
              </w:rPr>
              <w:t>A response plan is effective only when roles are reachable, evidence can be collected, containment authority is clear, recovery has been tested and communication is trusted. The department should rehearse this plan and close identified gaps before relying on it during a live incident.</w:t>
            </w:r>
          </w:p>
        </w:tc>
      </w:tr>
    </w:tbl>
    <w:p>
      <w:pPr>
        <w:pStyle w:val="Normal"/>
        <w:spacing w:before="0" w:after="0"/>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037" w:right="1037" w:gutter="0" w:header="432" w:top="979" w:footer="504"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E7882"/>
        <w:sz w:val="16"/>
      </w:rPr>
      <w:t xml:space="preserve">Page </w:t>
    </w: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6E7882"/>
        <w:sz w:val="16"/>
      </w:rPr>
      <w:t xml:space="preserve">Page </w:t>
    </w:r>
    <w:r>
      <w:rPr/>
      <w:fldChar w:fldCharType="begin"/>
    </w:r>
    <w:r>
      <w:rPr/>
      <w:instrText xml:space="preserve"> PAGE </w:instrText>
    </w:r>
    <w:r>
      <w:rPr/>
      <w:fldChar w:fldCharType="separate"/>
    </w:r>
    <w:r>
      <w:rPr/>
      <w:t>24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120"/>
      <w:jc w:val="end"/>
      <w:rPr/>
    </w:pPr>
    <w:r>
      <w:rPr>
        <w:color w:val="5B6977"/>
        <w:sz w:val="15"/>
      </w:rPr>
      <w:t>E-GOVERNANCE CYBERSECURITY INTERNSHIP  |  WEEK 4 INCIDENT RESPONSE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before="0" w:after="120"/>
      <w:jc w:val="end"/>
      <w:rPr/>
    </w:pPr>
    <w:r>
      <w:rPr>
        <w:color w:val="5B6977"/>
        <w:sz w:val="15"/>
      </w:rPr>
      <w:t>E-GOVERNANCE CYBERSECURITY INTERNSHIP  |  WEEK 4 INCIDENT RESPONSE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Aptos" w:hAnsi="Aptos" w:eastAsia="Aptos" w:cs=""/>
      <w:color w:val="2B3641"/>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color w:val="142D46"/>
      <w:sz w:val="38"/>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00788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142D46"/>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42D46"/>
      <w:spacing w:val="5"/>
      <w:kern w:val="2"/>
      <w:sz w:val="6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007880"/>
      <w:spacing w:val="15"/>
      <w:sz w:val="30"/>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pPr>
      <w:widowControl/>
      <w:bidi w:val="0"/>
      <w:spacing w:lineRule="auto" w:line="276" w:before="0" w:after="160"/>
      <w:jc w:val="center"/>
    </w:pPr>
    <w:rPr>
      <w:rFonts w:ascii="Aptos" w:hAnsi="Aptos" w:eastAsia="ＭＳ 明朝" w:cs=""/>
      <w:i/>
      <w:color w:val="5B6977"/>
      <w:kern w:val="0"/>
      <w:sz w:val="16"/>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csrc.nist.gov/pubs/sp/800/61/r3/final" TargetMode="External"/><Relationship Id="rId6" Type="http://schemas.openxmlformats.org/officeDocument/2006/relationships/hyperlink" Target="https://www.nist.gov/cyberframework" TargetMode="External"/><Relationship Id="rId7" Type="http://schemas.openxmlformats.org/officeDocument/2006/relationships/hyperlink" Target="https://www.cert-in.org.in/PDF/CERT-In_Directions_70B_28.04.2022.pdf" TargetMode="External"/><Relationship Id="rId8" Type="http://schemas.openxmlformats.org/officeDocument/2006/relationships/hyperlink" Target="https://www.cert-in.org.in/PDF/FAQs_on_CyberSecurityDirections_May2022.pdf" TargetMode="External"/><Relationship Id="rId9" Type="http://schemas.openxmlformats.org/officeDocument/2006/relationships/hyperlink" Target="https://guidelines.india.gov.in/guidelines/" TargetMode="External"/><Relationship Id="rId10" Type="http://schemas.openxmlformats.org/officeDocument/2006/relationships/hyperlink" Target="https://www.meity.gov.in/static/uploads/2024/02/Digital-Personal-Data-Protection-Act-2023.pdf" TargetMode="External"/><Relationship Id="rId11" Type="http://schemas.openxmlformats.org/officeDocument/2006/relationships/hyperlink" Target="https://www.meity.gov.in/static/uploads/2025/11/53450e6e5dc0bfa85ebd78686cadad39.pdf" TargetMode="External"/><Relationship Id="rId12" Type="http://schemas.openxmlformats.org/officeDocument/2006/relationships/hyperlink" Target="https://csrc.nist.gov/pubs/sp/800/86/final" TargetMode="External"/><Relationship Id="rId13" Type="http://schemas.openxmlformats.org/officeDocument/2006/relationships/hyperlink" Target="https://www.cisa.gov/stopransomware/ransomware-guide"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LibreOffice/26.8.0.3$Linux_X86_64 LibreOffice_project/680$Build-3</Application>
  <AppVersion>15.0000</AppVersion>
  <Pages>24</Pages>
  <Words>8065</Words>
  <Characters>51055</Characters>
  <CharactersWithSpaces>58191</CharactersWithSpaces>
  <Paragraphs>835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Ritesh Kumawat</dc:creator>
  <dc:description>Training report for hypothetical scenario; no production environment assessed.</dc:description>
  <cp:keywords>Cybersecurity Incident Response E-Governance CERT-In NIST Ransomware</cp:keywords>
  <dc:language>en-IN</dc:language>
  <cp:lastModifiedBy/>
  <dcterms:modified xsi:type="dcterms:W3CDTF">2026-10-24T23:16:42Z</dcterms:modified>
  <cp:revision>2</cp:revision>
  <dc:subject>Incident response plan for hypothetical Indian e-governance platform</dc:subject>
  <dc:title>Week 4 Incident Response Plan Development for Digital Platforms - E-Governance</dc:title>
</cp:coreProperties>
</file>

<file path=docProps/custom.xml><?xml version="1.0" encoding="utf-8"?>
<Properties xmlns="http://schemas.openxmlformats.org/officeDocument/2006/custom-properties" xmlns:vt="http://schemas.openxmlformats.org/officeDocument/2006/docPropsVTypes"/>
</file>