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40" w:after="80"/>
        <w:jc w:val="center"/>
        <w:rPr/>
      </w:pPr>
      <w:r>
        <w:rPr>
          <w:b/>
          <w:color w:val="2C7A7B"/>
          <w:sz w:val="26"/>
        </w:rPr>
        <w:t>WEEK 5 TASK</w:t>
      </w:r>
    </w:p>
    <w:p>
      <w:pPr>
        <w:pStyle w:val="Title"/>
        <w:spacing w:before="160" w:after="100"/>
        <w:contextualSpacing/>
        <w:jc w:val="center"/>
        <w:rPr/>
      </w:pPr>
      <w:r>
        <w:rPr/>
        <w:t>Cybersecurity Policies</w:t>
        <w:br/>
        <w:t>for Digital Services</w:t>
      </w:r>
    </w:p>
    <w:p>
      <w:pPr>
        <w:pStyle w:val="Normal"/>
        <w:spacing w:before="160" w:after="80"/>
        <w:jc w:val="center"/>
        <w:rPr/>
      </w:pPr>
      <w:r>
        <w:rPr>
          <w:b/>
          <w:color w:val="245A7A"/>
          <w:sz w:val="34"/>
        </w:rPr>
        <w:t>Policy Framework and Self-Audit Report</w:t>
      </w:r>
    </w:p>
    <w:p>
      <w:pPr>
        <w:pStyle w:val="Normal"/>
        <w:spacing w:before="320" w:after="80"/>
        <w:jc w:val="center"/>
        <w:rPr/>
      </w:pPr>
      <w:r>
        <w:rPr>
          <w:color w:val="2C7A7B"/>
          <w:sz w:val="22"/>
        </w:rPr>
        <w:t>━━━━━━━━━━━━━━━━━━━━━━━━━━━━━━━━━━━━</w:t>
      </w:r>
    </w:p>
    <w:p>
      <w:pPr>
        <w:pStyle w:val="Normal"/>
        <w:spacing w:before="400" w:after="80"/>
        <w:jc w:val="center"/>
        <w:rPr/>
      </w:pPr>
      <w:r>
        <w:rPr>
          <w:color w:val="566573"/>
          <w:sz w:val="20"/>
        </w:rPr>
        <w:t>Prepared by</w:t>
      </w:r>
    </w:p>
    <w:p>
      <w:pPr>
        <w:pStyle w:val="Normal"/>
        <w:jc w:val="center"/>
        <w:rPr/>
      </w:pPr>
      <w:r>
        <w:rPr>
          <w:b/>
          <w:color w:val="16324F"/>
          <w:sz w:val="32"/>
        </w:rPr>
        <w:t>Ritesh Kumawat</w:t>
      </w:r>
    </w:p>
    <w:p>
      <w:pPr>
        <w:pStyle w:val="Normal"/>
        <w:jc w:val="center"/>
        <w:rPr/>
      </w:pPr>
      <w:r>
        <w:rPr>
          <w:sz w:val="20"/>
        </w:rPr>
        <w:t>E-Governance Cybersecurity Internship</w:t>
      </w:r>
    </w:p>
    <w:p>
      <w:pPr>
        <w:pStyle w:val="Normal"/>
        <w:spacing w:before="480" w:after="80"/>
        <w:jc w:val="center"/>
        <w:rPr/>
      </w:pPr>
      <w:r>
        <w:rPr>
          <w:color w:val="566573"/>
          <w:sz w:val="18"/>
        </w:rPr>
        <w:t>Version 1.0  |  2</w:t>
      </w:r>
      <w:r>
        <w:rPr>
          <w:color w:val="566573"/>
          <w:sz w:val="18"/>
        </w:rPr>
        <w:t>8</w:t>
      </w:r>
      <w:r>
        <w:rPr>
          <w:color w:val="566573"/>
          <w:sz w:val="18"/>
        </w:rPr>
        <w:t xml:space="preserve"> October 2026  |  Draft for academic evaluation</w:t>
      </w:r>
    </w:p>
    <w:tbl>
      <w:tblPr>
        <w:tblW w:w="9994" w:type="dxa"/>
        <w:jc w:val="center"/>
        <w:tblInd w:w="0" w:type="dxa"/>
        <w:tblLayout w:type="fixed"/>
        <w:tblCellMar>
          <w:top w:w="130" w:type="dxa"/>
          <w:start w:w="160" w:type="dxa"/>
          <w:bottom w:w="130" w:type="dxa"/>
          <w:end w:w="160" w:type="dxa"/>
        </w:tblCellMar>
        <w:tblLook w:noHBand="0" w:noVBand="1" w:firstColumn="1" w:lastRow="0" w:lastColumn="0" w:firstRow="1" w:val="04a0"/>
      </w:tblPr>
      <w:tblGrid>
        <w:gridCol w:w="9994"/>
      </w:tblGrid>
      <w:tr>
        <w:trPr>
          <w:cantSplit/>
        </w:trPr>
        <w:tc>
          <w:tcPr>
            <w:tcW w:w="9994" w:type="dxa"/>
            <w:tcBorders/>
            <w:shd w:fill="FFF4D6" w:val="clear"/>
          </w:tcPr>
          <w:p>
            <w:pPr>
              <w:pStyle w:val="Normal"/>
              <w:spacing w:before="0" w:after="40"/>
              <w:rPr/>
            </w:pPr>
            <w:r>
              <w:rPr>
                <w:b/>
                <w:color w:val="16324F"/>
              </w:rPr>
              <w:t xml:space="preserve">Important scope note  </w:t>
            </w:r>
            <w:r>
              <w:rPr/>
              <w:t>This is a proposed policy pack for a hypothetical e-governance platform. It is not an officially approved government policy, legal opinion, or evidence of operational compliance. A real organisation must adapt it to its data, architecture, contracts, applicable law, and approval process.</w:t>
            </w:r>
          </w:p>
        </w:tc>
      </w:tr>
    </w:tbl>
    <w:p>
      <w:pPr>
        <w:pStyle w:val="Normal"/>
        <w:spacing w:before="0" w:after="20"/>
        <w:rPr/>
      </w:pPr>
      <w:r>
        <w:rPr/>
      </w:r>
    </w:p>
    <w:p>
      <w:pPr>
        <w:pStyle w:val="Normal"/>
        <w:rPr/>
      </w:pPr>
      <w:r>
        <w:rPr/>
      </w:r>
      <w:r>
        <w:br w:type="page"/>
      </w:r>
    </w:p>
    <w:p>
      <w:pPr>
        <w:pStyle w:val="Heading1"/>
        <w:spacing w:before="0" w:after="100"/>
        <w:rPr/>
      </w:pPr>
      <w:r>
        <w:rPr/>
        <w:t>Document Control and Approval</w:t>
      </w:r>
    </w:p>
    <w:tbl>
      <w:tblPr>
        <w:tblStyle w:val="TableGrid"/>
        <w:tblW w:w="11085"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4997"/>
        <w:gridCol w:w="6088"/>
      </w:tblGrid>
      <w:tr>
        <w:trPr>
          <w:tblHeader w:val="true"/>
          <w:cantSplit/>
        </w:trPr>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7"/>
                <w:szCs w:val="22"/>
                <w:lang w:val="en-US" w:eastAsia="en-US" w:bidi="ar-SA"/>
              </w:rPr>
              <w:t>Field</w:t>
            </w:r>
          </w:p>
        </w:tc>
        <w:tc>
          <w:tcPr>
            <w:tcW w:w="608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Document title</w:t>
            </w:r>
          </w:p>
        </w:tc>
        <w:tc>
          <w:tcPr>
            <w:tcW w:w="608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Cybersecurity Policies for Digital Services — Policy Framework and Self-Audit</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Version / date</w:t>
            </w:r>
          </w:p>
        </w:tc>
        <w:tc>
          <w:tcPr>
            <w:tcW w:w="608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1.0 / 2</w:t>
            </w:r>
            <w:r>
              <w:rPr>
                <w:rFonts w:eastAsia="ＭＳ 明朝" w:cs=""/>
                <w:kern w:val="0"/>
                <w:sz w:val="17"/>
                <w:szCs w:val="22"/>
                <w:lang w:val="en-US" w:eastAsia="en-US" w:bidi="ar-SA"/>
              </w:rPr>
              <w:t>8</w:t>
            </w:r>
            <w:r>
              <w:rPr>
                <w:rFonts w:eastAsia="ＭＳ 明朝" w:cs=""/>
                <w:kern w:val="0"/>
                <w:sz w:val="17"/>
                <w:szCs w:val="22"/>
                <w:lang w:val="en-US" w:eastAsia="en-US" w:bidi="ar-SA"/>
              </w:rPr>
              <w:t xml:space="preserve"> October 2026</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Prepared by</w:t>
            </w:r>
          </w:p>
        </w:tc>
        <w:tc>
          <w:tcPr>
            <w:tcW w:w="608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Ritesh Kumawat</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Platform model</w:t>
            </w:r>
          </w:p>
        </w:tc>
        <w:tc>
          <w:tcPr>
            <w:tcW w:w="608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Hypothetical Indian e-governance citizen service with web/mobile channels, APIs, identity services, records, staff console and vendor integrations</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Document owner</w:t>
            </w:r>
          </w:p>
        </w:tc>
        <w:tc>
          <w:tcPr>
            <w:tcW w:w="608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Proposed Information Security Officer (ISO/CISO)</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Approvers required</w:t>
            </w:r>
          </w:p>
        </w:tc>
        <w:tc>
          <w:tcPr>
            <w:tcW w:w="608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Service Owner, Department Head, Information Security Officer, Privacy/Legal Lead, IT Operations Lead, Procurement/HR as applicable</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Classification</w:t>
            </w:r>
          </w:p>
        </w:tc>
        <w:tc>
          <w:tcPr>
            <w:tcW w:w="608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Internal working document; do not include real citizen data or secrets</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Review cadence</w:t>
            </w:r>
          </w:p>
        </w:tc>
        <w:tc>
          <w:tcPr>
            <w:tcW w:w="608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At least annually; sooner after major incidents, legal changes, architecture changes or audit findings</w:t>
            </w:r>
          </w:p>
        </w:tc>
      </w:tr>
    </w:tbl>
    <w:p>
      <w:pPr>
        <w:pStyle w:val="Normal"/>
        <w:spacing w:before="0" w:after="20"/>
        <w:rPr/>
      </w:pPr>
      <w:r>
        <w:rPr/>
      </w:r>
    </w:p>
    <w:p>
      <w:pPr>
        <w:pStyle w:val="Heading2"/>
        <w:rPr/>
      </w:pPr>
      <w:r>
        <w:rPr/>
        <w:t>Approval status</w:t>
      </w:r>
    </w:p>
    <w:tbl>
      <w:tblPr>
        <w:tblStyle w:val="TableGrid"/>
        <w:tblW w:w="9992"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2498"/>
        <w:gridCol w:w="2498"/>
        <w:gridCol w:w="2498"/>
        <w:gridCol w:w="2498"/>
      </w:tblGrid>
      <w:tr>
        <w:trPr>
          <w:tblHeader w:val="true"/>
          <w:cantSplit/>
        </w:trPr>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Role</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Name / delegate</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Decision</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Date</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Service Owner</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To be assigned</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Pending</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Information Security Officer</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To be assigned</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Pending</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Privacy / Legal Lead</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To be assigned</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Pending</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IT Operations Lead</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To be assigned</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Pending</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20"/>
        <w:rPr/>
      </w:pPr>
      <w:r>
        <w:rPr/>
      </w:r>
    </w:p>
    <w:p>
      <w:pPr>
        <w:pStyle w:val="Heading1"/>
        <w:rPr/>
      </w:pPr>
      <w:r>
        <w:rPr/>
        <w:t>Executive Summary</w:t>
      </w:r>
    </w:p>
    <w:p>
      <w:pPr>
        <w:pStyle w:val="Normal"/>
        <w:rPr/>
      </w:pPr>
      <w:r>
        <w:rPr/>
        <w:t>This document creates a coherent cybersecurity governance framework for a hypothetical e-governance platform. It contains fourteen standalone policy statements, a practical exception and evidence model, and a self-audit of the policy pack. Its purpose is to protect citizen information, keep critical digital services available, reduce avoidable security weaknesses, and make responsibilities measurable.</w:t>
      </w:r>
    </w:p>
    <w:p>
      <w:pPr>
        <w:pStyle w:val="Normal"/>
        <w:rPr/>
      </w:pPr>
      <w:r>
        <w:rPr/>
        <w:t>The policies cover governance and risk, data protection and records, identity and access, acceptable use and endpoints, network and infrastructure security, secure development and change, vulnerability management, logging and monitoring, incident response, backup and continuity, supplier and cloud security, personnel awareness, physical security and media handling, and compliance assurance. Each policy names an owner, mandatory requirements, evidence expectations, review cadence and exception rules.</w:t>
      </w:r>
    </w:p>
    <w:p>
      <w:pPr>
        <w:pStyle w:val="Normal"/>
        <w:rPr/>
      </w:pPr>
      <w:r>
        <w:rPr/>
        <w:t>The self-audit is deliberately critical. It evaluates document design, consistency and testability, not whether a real platform currently complies. The draft is strongest where it defines owners, control expectations and evidence. The key remaining work is to approve the policies, map them to an actual asset/data inventory, confirm legal applicability and deadlines, assign service-specific RTO/RPO, check vendor contracts, and prove control operation through testing and sampled evidence.</w:t>
      </w:r>
    </w:p>
    <w:tbl>
      <w:tblPr>
        <w:tblW w:w="9994" w:type="dxa"/>
        <w:jc w:val="center"/>
        <w:tblInd w:w="0" w:type="dxa"/>
        <w:tblLayout w:type="fixed"/>
        <w:tblCellMar>
          <w:top w:w="130" w:type="dxa"/>
          <w:start w:w="160" w:type="dxa"/>
          <w:bottom w:w="130" w:type="dxa"/>
          <w:end w:w="160" w:type="dxa"/>
        </w:tblCellMar>
        <w:tblLook w:noHBand="0" w:noVBand="1" w:firstColumn="1" w:lastRow="0" w:lastColumn="0" w:firstRow="1" w:val="04a0"/>
      </w:tblPr>
      <w:tblGrid>
        <w:gridCol w:w="9994"/>
      </w:tblGrid>
      <w:tr>
        <w:trPr>
          <w:cantSplit/>
        </w:trPr>
        <w:tc>
          <w:tcPr>
            <w:tcW w:w="9994" w:type="dxa"/>
            <w:tcBorders/>
            <w:shd w:fill="EAF2F8" w:val="clear"/>
          </w:tcPr>
          <w:p>
            <w:pPr>
              <w:pStyle w:val="Normal"/>
              <w:spacing w:before="0" w:after="40"/>
              <w:rPr/>
            </w:pPr>
            <w:r>
              <w:rPr>
                <w:b/>
                <w:color w:val="16324F"/>
              </w:rPr>
              <w:t xml:space="preserve">Recommended decision  </w:t>
            </w:r>
            <w:r>
              <w:rPr/>
              <w:t>Approve this as a baseline policy pack for tailoring. Do not treat it as live until named owners, legal review, service-specific schedules, exception authority and implementation evidence are in place.</w:t>
            </w:r>
          </w:p>
        </w:tc>
      </w:tr>
    </w:tbl>
    <w:p>
      <w:pPr>
        <w:pStyle w:val="Normal"/>
        <w:spacing w:before="0" w:after="20"/>
        <w:rPr/>
      </w:pPr>
      <w:r>
        <w:rPr/>
      </w:r>
    </w:p>
    <w:p>
      <w:pPr>
        <w:pStyle w:val="Heading1"/>
        <w:rPr/>
      </w:pPr>
      <w:r>
        <w:rPr/>
        <w:t>Contents</w:t>
      </w:r>
    </w:p>
    <w:p>
      <w:pPr>
        <w:pStyle w:val="ListBullet"/>
        <w:numPr>
          <w:ilvl w:val="0"/>
          <w:numId w:val="1"/>
        </w:numPr>
        <w:spacing w:before="0" w:after="40"/>
        <w:contextualSpacing/>
        <w:rPr/>
      </w:pPr>
      <w:r>
        <w:rPr/>
        <w:t>1. Platform, Scope and Governance Model</w:t>
      </w:r>
    </w:p>
    <w:p>
      <w:pPr>
        <w:pStyle w:val="ListBullet"/>
        <w:numPr>
          <w:ilvl w:val="0"/>
          <w:numId w:val="1"/>
        </w:numPr>
        <w:spacing w:before="0" w:after="40"/>
        <w:contextualSpacing/>
        <w:rPr/>
      </w:pPr>
      <w:r>
        <w:rPr/>
        <w:t>2. Legal and Framework Alignment</w:t>
      </w:r>
    </w:p>
    <w:p>
      <w:pPr>
        <w:pStyle w:val="ListBullet"/>
        <w:numPr>
          <w:ilvl w:val="0"/>
          <w:numId w:val="1"/>
        </w:numPr>
        <w:spacing w:before="0" w:after="40"/>
        <w:contextualSpacing/>
        <w:rPr/>
      </w:pPr>
      <w:r>
        <w:rPr/>
        <w:t>3. Policy Pack: 14 Policies</w:t>
      </w:r>
    </w:p>
    <w:p>
      <w:pPr>
        <w:pStyle w:val="ListBullet"/>
        <w:numPr>
          <w:ilvl w:val="0"/>
          <w:numId w:val="1"/>
        </w:numPr>
        <w:spacing w:before="0" w:after="40"/>
        <w:contextualSpacing/>
        <w:rPr/>
      </w:pPr>
      <w:r>
        <w:rPr/>
        <w:t>4. Self-Audit Methodology and Results</w:t>
      </w:r>
    </w:p>
    <w:p>
      <w:pPr>
        <w:pStyle w:val="ListBullet"/>
        <w:numPr>
          <w:ilvl w:val="0"/>
          <w:numId w:val="1"/>
        </w:numPr>
        <w:spacing w:before="0" w:after="40"/>
        <w:contextualSpacing/>
        <w:rPr/>
      </w:pPr>
      <w:r>
        <w:rPr/>
        <w:t>5. Findings, Gap Register and Improvement Plan</w:t>
      </w:r>
    </w:p>
    <w:p>
      <w:pPr>
        <w:pStyle w:val="ListBullet"/>
        <w:numPr>
          <w:ilvl w:val="0"/>
          <w:numId w:val="1"/>
        </w:numPr>
        <w:spacing w:before="0" w:after="40"/>
        <w:contextualSpacing/>
        <w:rPr/>
      </w:pPr>
      <w:r>
        <w:rPr/>
        <w:t>6. Implementation Roadmap and Measures</w:t>
      </w:r>
    </w:p>
    <w:p>
      <w:pPr>
        <w:pStyle w:val="ListBullet"/>
        <w:numPr>
          <w:ilvl w:val="0"/>
          <w:numId w:val="1"/>
        </w:numPr>
        <w:spacing w:before="0" w:after="40"/>
        <w:contextualSpacing/>
        <w:rPr/>
      </w:pPr>
      <w:r>
        <w:rPr/>
        <w:t>7. Operational Templates</w:t>
      </w:r>
    </w:p>
    <w:p>
      <w:pPr>
        <w:pStyle w:val="ListBullet"/>
        <w:numPr>
          <w:ilvl w:val="0"/>
          <w:numId w:val="1"/>
        </w:numPr>
        <w:spacing w:before="0" w:after="40"/>
        <w:contextualSpacing/>
        <w:rPr/>
      </w:pPr>
      <w:r>
        <w:rPr/>
        <w:t>8. References</w:t>
      </w:r>
    </w:p>
    <w:p>
      <w:pPr>
        <w:pStyle w:val="Heading1"/>
        <w:rPr/>
      </w:pPr>
      <w:r>
        <w:rPr/>
        <w:t>1. Platform, Scope and Governance Model</w:t>
      </w:r>
    </w:p>
    <w:p>
      <w:pPr>
        <w:pStyle w:val="Heading2"/>
        <w:rPr/>
      </w:pPr>
      <w:r>
        <w:rPr/>
        <w:t>1.1 Hypothetical platform in scope</w:t>
      </w:r>
    </w:p>
    <w:p>
      <w:pPr>
        <w:pStyle w:val="Normal"/>
        <w:rPr/>
      </w:pPr>
      <w:r>
        <w:rPr/>
        <w:t>The baseline assumes a citizen-facing government service that supports account registration and login, application submissions, document upload, status tracking, staff case processing, notices and interfaces with identity, payment or document services. The environment may use a government data centre or approved cloud environment and may be operated by internal teams and contracted service providers.</w:t>
      </w:r>
    </w:p>
    <w:tbl>
      <w:tblPr>
        <w:tblStyle w:val="TableGrid"/>
        <w:tblW w:w="9993"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Layer</w:t>
            </w:r>
          </w:p>
        </w:tc>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Example assets</w:t>
            </w:r>
          </w:p>
        </w:tc>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Security concerns addressed</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Citizen channels</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Website, mobile app, forms, notifications</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Secure design, accessibility, authentication, anti-abuse, privacy notice</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Edge and network</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DNS, TLS, WAF/reverse proxy, firewalls, VPN, remote admin</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Exposure reduction, segmentation, DDoS, secure protocols, network rules</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Application/API</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Web services, API gateway, middleware, business rules</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Authorisation, input validation, secrets, dependency and change control</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Identity/admin</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SSO, MFA, privileged accounts, staff portal</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Least privilege, identity lifecycle, logging and elevated access</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Data services</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Database, file/document store, backups, analytics</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Classification, encryption, retention, integrity and restore readiness</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Operations/supply chain</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Endpoints, CI/CD, monitoring, cloud, vendors, help desk</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Patch/vulnerability management, telemetry, supplier controls and response</w:t>
            </w:r>
          </w:p>
        </w:tc>
      </w:tr>
    </w:tbl>
    <w:p>
      <w:pPr>
        <w:pStyle w:val="Normal"/>
        <w:spacing w:before="0" w:after="20"/>
        <w:rPr/>
      </w:pPr>
      <w:r>
        <w:rPr/>
      </w:r>
    </w:p>
    <w:p>
      <w:pPr>
        <w:pStyle w:val="Heading2"/>
        <w:rPr/>
      </w:pPr>
      <w:r>
        <w:rPr/>
        <w:t>1.2 Policy hierarchy</w:t>
      </w:r>
    </w:p>
    <w:p>
      <w:pPr>
        <w:pStyle w:val="Normal"/>
        <w:rPr/>
      </w:pPr>
      <w:r>
        <w:rPr/>
        <w:t>The hierarchy below is intended to prevent conflicting documents. A policy states the mandatory rule; a standard sets minimum technical settings; a procedure gives repeatable steps; a record shows what actually happened.</w:t>
      </w:r>
    </w:p>
    <w:tbl>
      <w:tblPr>
        <w:tblStyle w:val="TableGrid"/>
        <w:tblW w:w="9993"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7"/>
                <w:szCs w:val="22"/>
                <w:lang w:val="en-US" w:eastAsia="en-US" w:bidi="ar-SA"/>
              </w:rPr>
              <w:t>Layer</w:t>
            </w:r>
          </w:p>
        </w:tc>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7"/>
                <w:szCs w:val="22"/>
                <w:lang w:val="en-US" w:eastAsia="en-US" w:bidi="ar-SA"/>
              </w:rPr>
              <w:t>Example</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Policy</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Mandatory requirement and accountable owner</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Privileged access must use MFA and be reviewed</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Standard</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Minimum measurable configuration</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MFA method, password/session settings, approved ciphers</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Procedure / playbook</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How to perform the work</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Joiner-mover-leaver workflow, incident triage steps</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Evidence / record</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Proof of implementation</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Access review, scan report, change ticket, restore-test record</w:t>
            </w:r>
          </w:p>
        </w:tc>
      </w:tr>
    </w:tbl>
    <w:p>
      <w:pPr>
        <w:pStyle w:val="Normal"/>
        <w:spacing w:before="0" w:after="20"/>
        <w:rPr/>
      </w:pPr>
      <w:r>
        <w:rPr/>
      </w:r>
    </w:p>
    <w:p>
      <w:pPr>
        <w:pStyle w:val="Heading2"/>
        <w:rPr/>
      </w:pPr>
      <w:r>
        <w:rPr/>
        <w:t>1.3 Governance and accountability</w:t>
      </w:r>
    </w:p>
    <w:tbl>
      <w:tblPr>
        <w:tblStyle w:val="TableGrid"/>
        <w:tblW w:w="9994"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4997"/>
        <w:gridCol w:w="4997"/>
      </w:tblGrid>
      <w:tr>
        <w:trPr>
          <w:tblHeader w:val="true"/>
          <w:cantSplit/>
        </w:trPr>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Role</w:t>
            </w:r>
          </w:p>
        </w:tc>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Accountability</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Department / Service Owner</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Accepts business risk, funds controls, approves service availability targets and residual risk within delegated authority.</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Information Security Officer (ISO/CISO)</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Maintains policy set, security standards, risk register, incident coordination and security performance reporting.</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Privacy / Legal Lead</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Interprets applicable privacy and sector requirements, advises on data subject communications, contracts and statutory reporting.</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IT Operations Lead</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Implements infrastructure controls, patching, backups, secure configuration, asset inventory and monitoring.</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Application / Product Owner</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Owns secure development, release gates, application vulnerabilities and API design.</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Data Owner / Records Owner</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Approves classification, access purpose, retention period, sharing and deletion for each dataset.</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Procurement / Vendor Manager</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Performs supplier due diligence, inserts security clauses and tracks third-party remediation.</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All personnel and contractors</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Follow policy, protect credentials, complete training and report suspected incidents promptly.</w:t>
            </w:r>
          </w:p>
        </w:tc>
      </w:tr>
    </w:tbl>
    <w:p>
      <w:pPr>
        <w:pStyle w:val="Normal"/>
        <w:spacing w:before="0" w:after="20"/>
        <w:rPr/>
      </w:pPr>
      <w:r>
        <w:rPr/>
      </w:r>
    </w:p>
    <w:p>
      <w:pPr>
        <w:pStyle w:val="Heading2"/>
        <w:rPr/>
      </w:pPr>
      <w:r>
        <w:rPr/>
        <w:t>1.4 Policy lifecycle</w:t>
      </w:r>
    </w:p>
    <w:p>
      <w:pPr>
        <w:pStyle w:val="Normal"/>
        <w:rPr/>
      </w:pPr>
      <w:r>
        <w:rPr/>
        <w:drawing>
          <wp:inline distT="0" distB="0" distL="0" distR="0">
            <wp:extent cx="6309360" cy="2741930"/>
            <wp:effectExtent l="0" t="0" r="0" b="0"/>
            <wp:docPr id="1" name="Picture 1" descr="Policy lifecycle diagram showing define scope and requirements, approve owners, implement controls, verify through audit and metrics, and improve from findings in a continuous governance cycle." title="Polic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olicy lifecycle diagram showing define scope and requirements, approve owners, implement controls, verify through audit and metrics, and improve from findings in a continuous governance cycle." title="Policy lifecycle"/>
                    <pic:cNvPicPr>
                      <a:picLocks noChangeAspect="1" noChangeArrowheads="1"/>
                    </pic:cNvPicPr>
                  </pic:nvPicPr>
                  <pic:blipFill>
                    <a:blip r:embed="rId2"/>
                    <a:stretch>
                      <a:fillRect/>
                    </a:stretch>
                  </pic:blipFill>
                  <pic:spPr bwMode="auto">
                    <a:xfrm>
                      <a:off x="0" y="0"/>
                      <a:ext cx="6309360" cy="2741930"/>
                    </a:xfrm>
                    <a:prstGeom prst="rect">
                      <a:avLst/>
                    </a:prstGeom>
                    <a:noFill/>
                  </pic:spPr>
                </pic:pic>
              </a:graphicData>
            </a:graphic>
          </wp:inline>
        </w:drawing>
      </w:r>
    </w:p>
    <w:p>
      <w:pPr>
        <w:pStyle w:val="SmallNote"/>
        <w:rPr/>
      </w:pPr>
      <w:r>
        <w:rPr/>
        <w:t>No policy is complete merely because it has been written. The owner must identify the control, establish implementation evidence, measure results, record exceptions and improve the policy when an audit or incident shows a weakness.</w:t>
      </w:r>
    </w:p>
    <w:p>
      <w:pPr>
        <w:pStyle w:val="Heading1"/>
        <w:rPr/>
      </w:pPr>
      <w:r>
        <w:rPr/>
        <w:t>2. Legal and Framework Alignment</w:t>
      </w:r>
    </w:p>
    <w:p>
      <w:pPr>
        <w:pStyle w:val="Normal"/>
        <w:rPr/>
      </w:pPr>
      <w:r>
        <w:rPr/>
        <w:t>The framework uses recognised sources as design references. The organisation must determine which laws, directions, procurement requirements and service-specific rules apply to its particular entity and data. This document is a working policy model, not legal advice.</w:t>
      </w:r>
    </w:p>
    <w:tbl>
      <w:tblPr>
        <w:tblStyle w:val="TableGrid"/>
        <w:tblW w:w="9993"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Source</w:t>
            </w:r>
          </w:p>
        </w:tc>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How the policy pack uses it</w:t>
            </w:r>
          </w:p>
        </w:tc>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Important caution</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GIGW 3.0 [R1]</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Baseline for government web/app quality, security, lifecycle management and accessibility.</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Confirm current conformity expectations and certification obligations for the specific platform.</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CERT-In Directions under IT Act s.70B [R2, R3]</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Incident handling, designated contact readiness, logs, time synchronisation and incident reporting workflow.</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The six-hour reporting duty and log requirements must be assessed against the current directions/FAQ and the entity’s scope; do not substitute internal targets for statutory rules.</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Digital Personal Data Protection Act 2023 and DPDP Rules 2025 [R4, R5]</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Privacy governance, safeguards, breach workflow, retention and rights-handling design.</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Commencement is phased. At 26 Oct 2026, some provisions are scheduled later; legal counsel must check section/rule-specific effective dates and the December 2025 corrigendum.</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Information Technology Act 2000 [R6]</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Core Indian legal context for electronic records, cyber incidents and CERT-In authority.</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Application depends on facts, entity type and other applicable laws.</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NIST CSF 2.0 [R7]</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Govern, Identify, Protect, Detect, Respond and Recover used to organise controls and measurement.</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Framework is guidance; it does not itself prove compliance with Indian law.</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ISO/IEC 27001:2022 [R8]</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Risk-based information security management, ownership, evidence and continual improvement.</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Use the standard and relevant contractual terms if formally adopting/certifying an ISMS.</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OWASP Top 10:2025 [R9]</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Application security coverage including access control, misconfiguration, supply chain, crypto, injection and logging.</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Awareness list, not a complete application security test plan.</w:t>
            </w:r>
          </w:p>
        </w:tc>
      </w:tr>
    </w:tbl>
    <w:p>
      <w:pPr>
        <w:pStyle w:val="Normal"/>
        <w:spacing w:before="0" w:after="20"/>
        <w:rPr/>
      </w:pPr>
      <w:r>
        <w:rPr/>
      </w:r>
    </w:p>
    <w:tbl>
      <w:tblPr>
        <w:tblW w:w="9994" w:type="dxa"/>
        <w:jc w:val="center"/>
        <w:tblInd w:w="0" w:type="dxa"/>
        <w:tblLayout w:type="fixed"/>
        <w:tblCellMar>
          <w:top w:w="130" w:type="dxa"/>
          <w:start w:w="160" w:type="dxa"/>
          <w:bottom w:w="130" w:type="dxa"/>
          <w:end w:w="160" w:type="dxa"/>
        </w:tblCellMar>
        <w:tblLook w:noHBand="0" w:noVBand="1" w:firstColumn="1" w:lastRow="0" w:lastColumn="0" w:firstRow="1" w:val="04a0"/>
      </w:tblPr>
      <w:tblGrid>
        <w:gridCol w:w="9994"/>
      </w:tblGrid>
      <w:tr>
        <w:trPr>
          <w:cantSplit/>
        </w:trPr>
        <w:tc>
          <w:tcPr>
            <w:tcW w:w="9994" w:type="dxa"/>
            <w:tcBorders/>
            <w:shd w:fill="FFF4D6" w:val="clear"/>
          </w:tcPr>
          <w:p>
            <w:pPr>
              <w:pStyle w:val="Normal"/>
              <w:spacing w:before="0" w:after="40"/>
              <w:rPr/>
            </w:pPr>
            <w:r>
              <w:rPr>
                <w:b/>
                <w:color w:val="16324F"/>
              </w:rPr>
              <w:t xml:space="preserve">Legal currency note  </w:t>
            </w:r>
            <w:r>
              <w:rPr/>
              <w:t>The DPDP Act and Rules have a phased commencement schedule. The 13 November 2025 Gazette notification establishes different commencement dates, including provisions scheduled one year and eighteen months after publication. Do not represent every substantive obligation as already in force on 26 October 2026. Before approval, verify the official Act, Rules, corrigendum, enforcement timeline and applicability with legal/privacy counsel. [R4, R5]</w:t>
            </w:r>
          </w:p>
        </w:tc>
      </w:tr>
    </w:tbl>
    <w:p>
      <w:pPr>
        <w:pStyle w:val="Normal"/>
        <w:spacing w:before="0" w:after="20"/>
        <w:rPr/>
      </w:pPr>
      <w:r>
        <w:rPr/>
      </w:r>
    </w:p>
    <w:p>
      <w:pPr>
        <w:pStyle w:val="Heading1"/>
        <w:rPr/>
      </w:pPr>
      <w:r>
        <w:rPr/>
        <w:t>3. Policy Pack: Individual Policies</w:t>
      </w:r>
    </w:p>
    <w:p>
      <w:pPr>
        <w:pStyle w:val="Normal"/>
        <w:rPr/>
      </w:pPr>
      <w:r>
        <w:rPr/>
        <w:t>All policies below are proposed requirements. “Must” indicates a mandatory rule once approved; exceptions must follow Policy 14 and must not override statutory duties or binding government directions.</w:t>
      </w:r>
    </w:p>
    <w:p>
      <w:pPr>
        <w:pStyle w:val="Heading2"/>
        <w:rPr/>
      </w:pPr>
      <w:r>
        <w:rPr/>
        <w:t>P-01 | Information Security Governance and Risk Management</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Department Head / Service Owner</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Annual and after material change</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All service components, data, personnel and providers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Set accountability for protecting service assets and managing cyber risk in line with service objectives.</w:t>
      </w:r>
    </w:p>
    <w:p>
      <w:pPr>
        <w:pStyle w:val="Normal"/>
        <w:spacing w:before="0" w:after="40"/>
        <w:rPr/>
      </w:pPr>
      <w:r>
        <w:rPr>
          <w:b/>
          <w:color w:val="2C7A7B"/>
        </w:rPr>
        <w:t>Mandatory requirements</w:t>
      </w:r>
    </w:p>
    <w:p>
      <w:pPr>
        <w:pStyle w:val="ListBullet"/>
        <w:numPr>
          <w:ilvl w:val="0"/>
          <w:numId w:val="1"/>
        </w:numPr>
        <w:spacing w:before="0" w:after="40"/>
        <w:contextualSpacing/>
        <w:rPr/>
      </w:pPr>
      <w:r>
        <w:rPr/>
        <w:t>The Service Owner must appoint an Information Security Officer and assign an accountable owner to every critical system and dataset.</w:t>
      </w:r>
    </w:p>
    <w:p>
      <w:pPr>
        <w:pStyle w:val="ListBullet"/>
        <w:numPr>
          <w:ilvl w:val="0"/>
          <w:numId w:val="1"/>
        </w:numPr>
        <w:spacing w:before="0" w:after="40"/>
        <w:contextualSpacing/>
        <w:rPr/>
      </w:pPr>
      <w:r>
        <w:rPr/>
        <w:t>Maintain an approved asset inventory, data-flow map, risk register and control-owner register. Review high risks at least quarterly.</w:t>
      </w:r>
    </w:p>
    <w:p>
      <w:pPr>
        <w:pStyle w:val="ListBullet"/>
        <w:numPr>
          <w:ilvl w:val="0"/>
          <w:numId w:val="1"/>
        </w:numPr>
        <w:spacing w:before="0" w:after="40"/>
        <w:contextualSpacing/>
        <w:rPr/>
      </w:pPr>
      <w:r>
        <w:rPr/>
        <w:t>Security and privacy risks must be assessed before major procurement, architecture change, new integration or launch of a new service.</w:t>
      </w:r>
    </w:p>
    <w:p>
      <w:pPr>
        <w:pStyle w:val="ListBullet"/>
        <w:numPr>
          <w:ilvl w:val="0"/>
          <w:numId w:val="1"/>
        </w:numPr>
        <w:spacing w:before="0" w:after="40"/>
        <w:contextualSpacing/>
        <w:rPr/>
      </w:pPr>
      <w:r>
        <w:rPr/>
        <w:t>The Service Owner must formally accept residual risks only within delegated authority and with a named expiry/review date.</w:t>
      </w:r>
    </w:p>
    <w:p>
      <w:pPr>
        <w:pStyle w:val="ListBullet"/>
        <w:numPr>
          <w:ilvl w:val="0"/>
          <w:numId w:val="1"/>
        </w:numPr>
        <w:spacing w:before="0" w:after="40"/>
        <w:contextualSpacing/>
        <w:rPr/>
      </w:pPr>
      <w:r>
        <w:rPr/>
        <w:t>Security requirements must be included in project plans, budgets, service-level objectives and supplier contracts.</w:t>
      </w:r>
    </w:p>
    <w:p>
      <w:pPr>
        <w:pStyle w:val="Normal"/>
        <w:spacing w:before="0" w:after="40"/>
        <w:rPr/>
      </w:pPr>
      <w:r>
        <w:rPr>
          <w:b/>
        </w:rPr>
        <w:t xml:space="preserve">Required evidence / assurance. </w:t>
      </w:r>
      <w:r>
        <w:rPr/>
        <w:t>Approved policy record, risk register, asset inventory, quarterly risk minutes, security sign-off and documented risk acceptance.</w:t>
      </w:r>
    </w:p>
    <w:p>
      <w:pPr>
        <w:pStyle w:val="Normal"/>
        <w:spacing w:before="0" w:after="120"/>
        <w:rPr/>
      </w:pPr>
      <w:r>
        <w:rPr>
          <w:b/>
        </w:rPr>
        <w:t xml:space="preserve">Exceptions. </w:t>
      </w:r>
      <w:r>
        <w:rPr/>
        <w:t>Only the Service Owner or authorised delegate may approve time-limited exceptions; legal or mandatory requirements cannot be waived.</w:t>
      </w:r>
    </w:p>
    <w:p>
      <w:pPr>
        <w:pStyle w:val="Heading2"/>
        <w:rPr/>
      </w:pPr>
      <w:r>
        <w:rPr/>
        <w:t>P-02 | Data Classification, Privacy and Records Management</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Privacy Lead with Data Owners</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Annual; whenever law, purpose or data changes</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Citizen records, staff information, documents, logs, backups and analytics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Limit data collection and exposure and make handling, retention and deletion consistent and auditable.</w:t>
      </w:r>
    </w:p>
    <w:p>
      <w:pPr>
        <w:pStyle w:val="Normal"/>
        <w:spacing w:before="0" w:after="40"/>
        <w:rPr/>
      </w:pPr>
      <w:r>
        <w:rPr>
          <w:b/>
          <w:color w:val="2C7A7B"/>
        </w:rPr>
        <w:t>Mandatory requirements</w:t>
      </w:r>
    </w:p>
    <w:p>
      <w:pPr>
        <w:pStyle w:val="ListBullet"/>
        <w:numPr>
          <w:ilvl w:val="0"/>
          <w:numId w:val="1"/>
        </w:numPr>
        <w:spacing w:before="0" w:after="40"/>
        <w:contextualSpacing/>
        <w:rPr/>
      </w:pPr>
      <w:r>
        <w:rPr/>
        <w:t>Every dataset must have an owner, purpose, classification, authorised users, approved recipients and retention/disposal rule.</w:t>
      </w:r>
    </w:p>
    <w:p>
      <w:pPr>
        <w:pStyle w:val="ListBullet"/>
        <w:numPr>
          <w:ilvl w:val="0"/>
          <w:numId w:val="1"/>
        </w:numPr>
        <w:spacing w:before="0" w:after="40"/>
        <w:contextualSpacing/>
        <w:rPr/>
      </w:pPr>
      <w:r>
        <w:rPr/>
        <w:t>Use four labels: Public, Internal, Confidential and Restricted. Restricted includes high-impact personal data, identity documents, authentication secrets and sensitive case files.</w:t>
      </w:r>
    </w:p>
    <w:p>
      <w:pPr>
        <w:pStyle w:val="ListBullet"/>
        <w:numPr>
          <w:ilvl w:val="0"/>
          <w:numId w:val="1"/>
        </w:numPr>
        <w:spacing w:before="0" w:after="40"/>
        <w:contextualSpacing/>
        <w:rPr/>
      </w:pPr>
      <w:r>
        <w:rPr/>
        <w:t>Collect only data necessary for a documented service purpose. Do not reuse data for a new purpose or share it externally without documented authority and review.</w:t>
      </w:r>
    </w:p>
    <w:p>
      <w:pPr>
        <w:pStyle w:val="ListBullet"/>
        <w:numPr>
          <w:ilvl w:val="0"/>
          <w:numId w:val="1"/>
        </w:numPr>
        <w:spacing w:before="0" w:after="40"/>
        <w:contextualSpacing/>
        <w:rPr/>
      </w:pPr>
      <w:r>
        <w:rPr/>
        <w:t>Encrypt Confidential and Restricted data in transit and at rest using approved mechanisms; manage keys separately and restrict key administrators.</w:t>
      </w:r>
    </w:p>
    <w:p>
      <w:pPr>
        <w:pStyle w:val="ListBullet"/>
        <w:numPr>
          <w:ilvl w:val="0"/>
          <w:numId w:val="1"/>
        </w:numPr>
        <w:spacing w:before="0" w:after="40"/>
        <w:contextualSpacing/>
        <w:rPr/>
      </w:pPr>
      <w:r>
        <w:rPr/>
        <w:t>Production citizen data must not be copied into development/test environments unless specifically authorised, minimised or irreversibly masked.</w:t>
      </w:r>
    </w:p>
    <w:p>
      <w:pPr>
        <w:pStyle w:val="ListBullet"/>
        <w:numPr>
          <w:ilvl w:val="0"/>
          <w:numId w:val="1"/>
        </w:numPr>
        <w:spacing w:before="0" w:after="40"/>
        <w:contextualSpacing/>
        <w:rPr/>
      </w:pPr>
      <w:r>
        <w:rPr/>
        <w:t>Keep a schedule for retention, legal hold, archival and verified deletion. Backups must age out according to approved retention rules.</w:t>
      </w:r>
    </w:p>
    <w:p>
      <w:pPr>
        <w:pStyle w:val="ListBullet"/>
        <w:numPr>
          <w:ilvl w:val="0"/>
          <w:numId w:val="1"/>
        </w:numPr>
        <w:spacing w:before="0" w:after="40"/>
        <w:contextualSpacing/>
        <w:rPr/>
      </w:pPr>
      <w:r>
        <w:rPr/>
        <w:t>Privacy notices, grievance and rights workflows, and personal-data breach handling must be reviewed against currently effective legal requirements.</w:t>
      </w:r>
    </w:p>
    <w:p>
      <w:pPr>
        <w:pStyle w:val="Normal"/>
        <w:spacing w:before="0" w:after="40"/>
        <w:rPr/>
      </w:pPr>
      <w:r>
        <w:rPr>
          <w:b/>
        </w:rPr>
        <w:t xml:space="preserve">Required evidence / assurance. </w:t>
      </w:r>
      <w:r>
        <w:rPr/>
        <w:t>Data inventory, classification labels, privacy notices, sharing approvals, retention schedule, deletion certificates and access logs.</w:t>
      </w:r>
    </w:p>
    <w:p>
      <w:pPr>
        <w:pStyle w:val="Normal"/>
        <w:spacing w:before="0" w:after="120"/>
        <w:rPr/>
      </w:pPr>
      <w:r>
        <w:rPr>
          <w:b/>
        </w:rPr>
        <w:t xml:space="preserve">Exceptions. </w:t>
      </w:r>
      <w:r>
        <w:rPr/>
        <w:t>No exception can authorise unlawful processing or retention. Any emergency access or data disclosure must be documented, restricted and reviewed.</w:t>
      </w:r>
    </w:p>
    <w:p>
      <w:pPr>
        <w:pStyle w:val="Heading2"/>
        <w:rPr/>
      </w:pPr>
      <w:r>
        <w:rPr/>
        <w:t>P-03 | Identity and Access Management</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IAM Lead / System Owners</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Quarterly; privileged access monthly</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Citizen accounts, staff accounts, service accounts, administrators and vendors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Ensure that access to systems and records is authenticated, approved, least-privileged and traceable.</w:t>
      </w:r>
    </w:p>
    <w:p>
      <w:pPr>
        <w:pStyle w:val="Normal"/>
        <w:spacing w:before="0" w:after="40"/>
        <w:rPr/>
      </w:pPr>
      <w:r>
        <w:rPr>
          <w:b/>
          <w:color w:val="2C7A7B"/>
        </w:rPr>
        <w:t>Mandatory requirements</w:t>
      </w:r>
    </w:p>
    <w:p>
      <w:pPr>
        <w:pStyle w:val="ListBullet"/>
        <w:numPr>
          <w:ilvl w:val="0"/>
          <w:numId w:val="1"/>
        </w:numPr>
        <w:spacing w:before="0" w:after="40"/>
        <w:contextualSpacing/>
        <w:rPr/>
      </w:pPr>
      <w:r>
        <w:rPr/>
        <w:t>Use unique identities; shared user accounts are prohibited unless technically unavoidable and explicitly controlled with attribution.</w:t>
      </w:r>
    </w:p>
    <w:p>
      <w:pPr>
        <w:pStyle w:val="ListBullet"/>
        <w:numPr>
          <w:ilvl w:val="0"/>
          <w:numId w:val="1"/>
        </w:numPr>
        <w:spacing w:before="0" w:after="40"/>
        <w:contextualSpacing/>
        <w:rPr/>
      </w:pPr>
      <w:r>
        <w:rPr/>
        <w:t>MFA must be required for administrators, remote access and high-risk staff functions; phishing-resistant MFA should be preferred for privileged roles where feasible.</w:t>
      </w:r>
    </w:p>
    <w:p>
      <w:pPr>
        <w:pStyle w:val="ListBullet"/>
        <w:numPr>
          <w:ilvl w:val="0"/>
          <w:numId w:val="1"/>
        </w:numPr>
        <w:spacing w:before="0" w:after="40"/>
        <w:contextualSpacing/>
        <w:rPr/>
      </w:pPr>
      <w:r>
        <w:rPr/>
        <w:t>Grant access through approved roles and least privilege. Access must have a business purpose, owner and approval record.</w:t>
      </w:r>
    </w:p>
    <w:p>
      <w:pPr>
        <w:pStyle w:val="ListBullet"/>
        <w:numPr>
          <w:ilvl w:val="0"/>
          <w:numId w:val="1"/>
        </w:numPr>
        <w:spacing w:before="0" w:after="40"/>
        <w:contextualSpacing/>
        <w:rPr/>
      </w:pPr>
      <w:r>
        <w:rPr/>
        <w:t>Joiner/mover/leaver actions must be linked to HR or contract status. Disable access promptly on termination and remove changed-role privileges.</w:t>
      </w:r>
    </w:p>
    <w:p>
      <w:pPr>
        <w:pStyle w:val="ListBullet"/>
        <w:numPr>
          <w:ilvl w:val="0"/>
          <w:numId w:val="1"/>
        </w:numPr>
        <w:spacing w:before="0" w:after="40"/>
        <w:contextualSpacing/>
        <w:rPr/>
      </w:pPr>
      <w:r>
        <w:rPr/>
        <w:t>Privileged access must use separate admin identities, a controlled administrative path and monitored elevation; use just-in-time access where feasible.</w:t>
      </w:r>
    </w:p>
    <w:p>
      <w:pPr>
        <w:pStyle w:val="ListBullet"/>
        <w:numPr>
          <w:ilvl w:val="0"/>
          <w:numId w:val="1"/>
        </w:numPr>
        <w:spacing w:before="0" w:after="40"/>
        <w:contextualSpacing/>
        <w:rPr/>
      </w:pPr>
      <w:r>
        <w:rPr/>
        <w:t>Review privileged access monthly and other sensitive/high-risk access at least quarterly; remove orphaned and dormant accounts.</w:t>
      </w:r>
    </w:p>
    <w:p>
      <w:pPr>
        <w:pStyle w:val="ListBullet"/>
        <w:numPr>
          <w:ilvl w:val="0"/>
          <w:numId w:val="1"/>
        </w:numPr>
        <w:spacing w:before="0" w:after="40"/>
        <w:contextualSpacing/>
        <w:rPr/>
      </w:pPr>
      <w:r>
        <w:rPr/>
        <w:t>Service accounts must be inventoried, non-interactive where possible, protected from interactive login and rotated when exposed or at defined intervals.</w:t>
      </w:r>
    </w:p>
    <w:p>
      <w:pPr>
        <w:pStyle w:val="Normal"/>
        <w:spacing w:before="0" w:after="40"/>
        <w:rPr/>
      </w:pPr>
      <w:r>
        <w:rPr>
          <w:b/>
        </w:rPr>
        <w:t xml:space="preserve">Required evidence / assurance. </w:t>
      </w:r>
      <w:r>
        <w:rPr/>
        <w:t>Access requests, MFA coverage, account inventory, monthly/quarterly review records, termination samples and privileged activity logs.</w:t>
      </w:r>
    </w:p>
    <w:p>
      <w:pPr>
        <w:pStyle w:val="Normal"/>
        <w:spacing w:before="0" w:after="120"/>
        <w:rPr/>
      </w:pPr>
      <w:r>
        <w:rPr>
          <w:b/>
        </w:rPr>
        <w:t xml:space="preserve">Exceptions. </w:t>
      </w:r>
      <w:r>
        <w:rPr/>
        <w:t>Temporary access must be ticketed, time-limited and automatically expire where possible; system owner and security approval are required.</w:t>
      </w:r>
    </w:p>
    <w:p>
      <w:pPr>
        <w:pStyle w:val="Heading2"/>
        <w:rPr/>
      </w:pPr>
      <w:r>
        <w:rPr/>
        <w:t>P-04 | Acceptable Use, Endpoints and Remote Work</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IT Operations and HR</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Annual and on major technology change</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Employees, contractors, managed endpoints, mobile devices and remote sessions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Reduce compromise risk from user devices, credentials, removable media and remote connections.</w:t>
      </w:r>
    </w:p>
    <w:p>
      <w:pPr>
        <w:pStyle w:val="Normal"/>
        <w:spacing w:before="0" w:after="40"/>
        <w:rPr/>
      </w:pPr>
      <w:r>
        <w:rPr>
          <w:b/>
          <w:color w:val="2C7A7B"/>
        </w:rPr>
        <w:t>Mandatory requirements</w:t>
      </w:r>
    </w:p>
    <w:p>
      <w:pPr>
        <w:pStyle w:val="ListBullet"/>
        <w:numPr>
          <w:ilvl w:val="0"/>
          <w:numId w:val="1"/>
        </w:numPr>
        <w:spacing w:before="0" w:after="40"/>
        <w:contextualSpacing/>
        <w:rPr/>
      </w:pPr>
      <w:r>
        <w:rPr/>
        <w:t>Use only approved accounts, devices, applications and storage locations for official information; credential sharing is prohibited.</w:t>
      </w:r>
    </w:p>
    <w:p>
      <w:pPr>
        <w:pStyle w:val="ListBullet"/>
        <w:numPr>
          <w:ilvl w:val="0"/>
          <w:numId w:val="1"/>
        </w:numPr>
        <w:spacing w:before="0" w:after="40"/>
        <w:contextualSpacing/>
        <w:rPr/>
      </w:pPr>
      <w:r>
        <w:rPr/>
        <w:t>Endpoints accessing Restricted data must be centrally managed, encrypted, screen-locked and protected by supported endpoint detection/antimalware controls.</w:t>
      </w:r>
    </w:p>
    <w:p>
      <w:pPr>
        <w:pStyle w:val="ListBullet"/>
        <w:numPr>
          <w:ilvl w:val="0"/>
          <w:numId w:val="1"/>
        </w:numPr>
        <w:spacing w:before="0" w:after="40"/>
        <w:contextualSpacing/>
        <w:rPr/>
      </w:pPr>
      <w:r>
        <w:rPr/>
        <w:t>Security updates must follow the vulnerability policy. Unsupported operating systems and unapproved remote-access tools are prohibited for production access.</w:t>
      </w:r>
    </w:p>
    <w:p>
      <w:pPr>
        <w:pStyle w:val="ListBullet"/>
        <w:numPr>
          <w:ilvl w:val="0"/>
          <w:numId w:val="1"/>
        </w:numPr>
        <w:spacing w:before="0" w:after="40"/>
        <w:contextualSpacing/>
        <w:rPr/>
      </w:pPr>
      <w:r>
        <w:rPr/>
        <w:t>Remote access must use approved, MFA-protected gateways and managed devices; admin access must be separated from routine browsing/email.</w:t>
      </w:r>
    </w:p>
    <w:p>
      <w:pPr>
        <w:pStyle w:val="ListBullet"/>
        <w:numPr>
          <w:ilvl w:val="0"/>
          <w:numId w:val="1"/>
        </w:numPr>
        <w:spacing w:before="0" w:after="40"/>
        <w:contextualSpacing/>
        <w:rPr/>
      </w:pPr>
      <w:r>
        <w:rPr/>
        <w:t>Removable media must be disabled by default or encrypted and approved for a defined purpose; lost devices must be reported immediately.</w:t>
      </w:r>
    </w:p>
    <w:p>
      <w:pPr>
        <w:pStyle w:val="ListBullet"/>
        <w:numPr>
          <w:ilvl w:val="0"/>
          <w:numId w:val="1"/>
        </w:numPr>
        <w:spacing w:before="0" w:after="40"/>
        <w:contextualSpacing/>
        <w:rPr/>
      </w:pPr>
      <w:r>
        <w:rPr/>
        <w:t>Users must report suspicious messages, unexpected MFA prompts, lost devices and suspected data disclosure through the approved service desk/security channel.</w:t>
      </w:r>
    </w:p>
    <w:p>
      <w:pPr>
        <w:pStyle w:val="Normal"/>
        <w:spacing w:before="0" w:after="40"/>
        <w:rPr/>
      </w:pPr>
      <w:r>
        <w:rPr>
          <w:b/>
        </w:rPr>
        <w:t xml:space="preserve">Required evidence / assurance. </w:t>
      </w:r>
      <w:r>
        <w:rPr/>
        <w:t>Endpoint inventory, encryption/EDR coverage, configuration reports, remote-access logs, training records and incident tickets.</w:t>
      </w:r>
    </w:p>
    <w:p>
      <w:pPr>
        <w:pStyle w:val="Normal"/>
        <w:spacing w:before="0" w:after="120"/>
        <w:rPr/>
      </w:pPr>
      <w:r>
        <w:rPr>
          <w:b/>
        </w:rPr>
        <w:t xml:space="preserve">Exceptions. </w:t>
      </w:r>
      <w:r>
        <w:rPr/>
        <w:t>BYOD or emergency remote access needs security, HR and data-owner approval plus documented limits; personal devices must not retain Restricted data.</w:t>
      </w:r>
    </w:p>
    <w:p>
      <w:pPr>
        <w:pStyle w:val="Heading2"/>
        <w:rPr/>
      </w:pPr>
      <w:r>
        <w:rPr/>
        <w:t>P-05 | Network, Infrastructure and Secure Configuration</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Network / Infrastructure Lead</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Quarterly and after architectural change</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Perimeter, cloud/network components, servers, databases, management planes and DNS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Minimise exposed services and prevent an incident in one component from spreading across the platform.</w:t>
      </w:r>
    </w:p>
    <w:p>
      <w:pPr>
        <w:pStyle w:val="Normal"/>
        <w:spacing w:before="0" w:after="40"/>
        <w:rPr/>
      </w:pPr>
      <w:r>
        <w:rPr>
          <w:b/>
          <w:color w:val="2C7A7B"/>
        </w:rPr>
        <w:t>Mandatory requirements</w:t>
      </w:r>
    </w:p>
    <w:p>
      <w:pPr>
        <w:pStyle w:val="ListBullet"/>
        <w:numPr>
          <w:ilvl w:val="0"/>
          <w:numId w:val="1"/>
        </w:numPr>
        <w:spacing w:before="0" w:after="40"/>
        <w:contextualSpacing/>
        <w:rPr/>
      </w:pPr>
      <w:r>
        <w:rPr/>
        <w:t>Maintain current network and data-flow diagrams. Separate public, application, data, management, backup and security-monitoring zones.</w:t>
      </w:r>
    </w:p>
    <w:p>
      <w:pPr>
        <w:pStyle w:val="ListBullet"/>
        <w:numPr>
          <w:ilvl w:val="0"/>
          <w:numId w:val="1"/>
        </w:numPr>
        <w:spacing w:before="0" w:after="40"/>
        <w:contextualSpacing/>
        <w:rPr/>
      </w:pPr>
      <w:r>
        <w:rPr/>
        <w:t>Use deny-by-default firewall/security-group rules; allow only documented ports, directions and source/destination pairs.</w:t>
      </w:r>
    </w:p>
    <w:p>
      <w:pPr>
        <w:pStyle w:val="ListBullet"/>
        <w:numPr>
          <w:ilvl w:val="0"/>
          <w:numId w:val="1"/>
        </w:numPr>
        <w:spacing w:before="0" w:after="40"/>
        <w:contextualSpacing/>
        <w:rPr/>
      </w:pPr>
      <w:r>
        <w:rPr/>
        <w:t>Databases, backups and administrative interfaces must not be directly exposed to the public internet.</w:t>
      </w:r>
    </w:p>
    <w:p>
      <w:pPr>
        <w:pStyle w:val="ListBullet"/>
        <w:numPr>
          <w:ilvl w:val="0"/>
          <w:numId w:val="1"/>
        </w:numPr>
        <w:spacing w:before="0" w:after="40"/>
        <w:contextualSpacing/>
        <w:rPr/>
      </w:pPr>
      <w:r>
        <w:rPr/>
        <w:t>Use supported secure protocols and centrally managed TLS certificates; disable obsolete protocols and weak cryptographic options.</w:t>
      </w:r>
    </w:p>
    <w:p>
      <w:pPr>
        <w:pStyle w:val="ListBullet"/>
        <w:numPr>
          <w:ilvl w:val="0"/>
          <w:numId w:val="1"/>
        </w:numPr>
        <w:spacing w:before="0" w:after="40"/>
        <w:contextualSpacing/>
        <w:rPr/>
      </w:pPr>
      <w:r>
        <w:rPr/>
        <w:t>Harden systems to approved baselines, remove unused services, protect management interfaces and restrict cloud control-plane privileges.</w:t>
      </w:r>
    </w:p>
    <w:p>
      <w:pPr>
        <w:pStyle w:val="ListBullet"/>
        <w:numPr>
          <w:ilvl w:val="0"/>
          <w:numId w:val="1"/>
        </w:numPr>
        <w:spacing w:before="0" w:after="40"/>
        <w:contextualSpacing/>
        <w:rPr/>
      </w:pPr>
      <w:r>
        <w:rPr/>
        <w:t>Changes to DNS, certificates, firewall rules and internet-facing routing require a reviewed change record and rollback plan.</w:t>
      </w:r>
    </w:p>
    <w:p>
      <w:pPr>
        <w:pStyle w:val="ListBullet"/>
        <w:numPr>
          <w:ilvl w:val="0"/>
          <w:numId w:val="1"/>
        </w:numPr>
        <w:spacing w:before="0" w:after="40"/>
        <w:contextualSpacing/>
        <w:rPr/>
      </w:pPr>
      <w:r>
        <w:rPr/>
        <w:t>Network controls must be tested periodically and after material changes, including review of stale rules and public exposures.</w:t>
      </w:r>
    </w:p>
    <w:p>
      <w:pPr>
        <w:pStyle w:val="Normal"/>
        <w:spacing w:before="0" w:after="40"/>
        <w:rPr/>
      </w:pPr>
      <w:r>
        <w:rPr>
          <w:b/>
        </w:rPr>
        <w:t xml:space="preserve">Required evidence / assurance. </w:t>
      </w:r>
      <w:r>
        <w:rPr/>
        <w:t>Network diagrams, firewall-rule reviews, baseline compliance reports, certificate inventory, configuration backups and change tickets.</w:t>
      </w:r>
    </w:p>
    <w:p>
      <w:pPr>
        <w:pStyle w:val="Normal"/>
        <w:spacing w:before="0" w:after="120"/>
        <w:rPr/>
      </w:pPr>
      <w:r>
        <w:rPr>
          <w:b/>
        </w:rPr>
        <w:t xml:space="preserve">Exceptions. </w:t>
      </w:r>
      <w:r>
        <w:rPr/>
        <w:t>Emergency rule changes must be time-limited, recorded during the event and retrospectively reviewed within one business day.</w:t>
      </w:r>
    </w:p>
    <w:p>
      <w:pPr>
        <w:pStyle w:val="Heading2"/>
        <w:rPr/>
      </w:pPr>
      <w:r>
        <w:rPr/>
        <w:t>P-06 | Secure Development, Application and API Lifecycle</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Application Owner / DevSecOps Lead</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Every release; annual policy review</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Source code, pipelines, web/mobile applications, APIs, libraries and configuration</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Build security into design, coding, testing, deployment and maintenance of digital services.</w:t>
      </w:r>
    </w:p>
    <w:p>
      <w:pPr>
        <w:pStyle w:val="Normal"/>
        <w:spacing w:before="0" w:after="40"/>
        <w:rPr/>
      </w:pPr>
      <w:r>
        <w:rPr>
          <w:b/>
          <w:color w:val="2C7A7B"/>
        </w:rPr>
        <w:t>Mandatory requirements</w:t>
      </w:r>
    </w:p>
    <w:p>
      <w:pPr>
        <w:pStyle w:val="ListBullet"/>
        <w:numPr>
          <w:ilvl w:val="0"/>
          <w:numId w:val="1"/>
        </w:numPr>
        <w:spacing w:before="0" w:after="40"/>
        <w:contextualSpacing/>
        <w:rPr/>
      </w:pPr>
      <w:r>
        <w:rPr/>
        <w:t>Threat-model high-risk features and data flows before implementation and when major architecture changes occur.</w:t>
      </w:r>
    </w:p>
    <w:p>
      <w:pPr>
        <w:pStyle w:val="ListBullet"/>
        <w:numPr>
          <w:ilvl w:val="0"/>
          <w:numId w:val="1"/>
        </w:numPr>
        <w:spacing w:before="0" w:after="40"/>
        <w:contextualSpacing/>
        <w:rPr/>
      </w:pPr>
      <w:r>
        <w:rPr/>
        <w:t>Use peer review and automated checks for secrets, dependency risks, static analysis and infrastructure-as-code where suitable.</w:t>
      </w:r>
    </w:p>
    <w:p>
      <w:pPr>
        <w:pStyle w:val="ListBullet"/>
        <w:numPr>
          <w:ilvl w:val="0"/>
          <w:numId w:val="1"/>
        </w:numPr>
        <w:spacing w:before="0" w:after="40"/>
        <w:contextualSpacing/>
        <w:rPr/>
      </w:pPr>
      <w:r>
        <w:rPr/>
        <w:t>Validate inputs server-side, enforce object-level authorisation, use parameterised database access and apply safe error handling.</w:t>
      </w:r>
    </w:p>
    <w:p>
      <w:pPr>
        <w:pStyle w:val="ListBullet"/>
        <w:numPr>
          <w:ilvl w:val="0"/>
          <w:numId w:val="1"/>
        </w:numPr>
        <w:spacing w:before="0" w:after="40"/>
        <w:contextualSpacing/>
        <w:rPr/>
      </w:pPr>
      <w:r>
        <w:rPr/>
        <w:t>APIs must use authenticated and authorised access, strict schema/input validation, rate limits where appropriate, and protection against excessive data exposure.</w:t>
      </w:r>
    </w:p>
    <w:p>
      <w:pPr>
        <w:pStyle w:val="ListBullet"/>
        <w:numPr>
          <w:ilvl w:val="0"/>
          <w:numId w:val="1"/>
        </w:numPr>
        <w:spacing w:before="0" w:after="40"/>
        <w:contextualSpacing/>
        <w:rPr/>
      </w:pPr>
      <w:r>
        <w:rPr/>
        <w:t>Builds must use approved dependencies and protected repositories; restrict pipeline credentials and produce a dependency inventory/SBOM where feasible.</w:t>
      </w:r>
    </w:p>
    <w:p>
      <w:pPr>
        <w:pStyle w:val="ListBullet"/>
        <w:numPr>
          <w:ilvl w:val="0"/>
          <w:numId w:val="1"/>
        </w:numPr>
        <w:spacing w:before="0" w:after="40"/>
        <w:contextualSpacing/>
        <w:rPr/>
      </w:pPr>
      <w:r>
        <w:rPr/>
        <w:t>Production releases require test evidence, vulnerability triage, approval and tested rollback. Critical exploitable findings block release unless a formally approved risk treatment permits otherwise.</w:t>
      </w:r>
    </w:p>
    <w:p>
      <w:pPr>
        <w:pStyle w:val="ListBullet"/>
        <w:numPr>
          <w:ilvl w:val="0"/>
          <w:numId w:val="1"/>
        </w:numPr>
        <w:spacing w:before="0" w:after="40"/>
        <w:contextualSpacing/>
        <w:rPr/>
      </w:pPr>
      <w:r>
        <w:rPr/>
        <w:t>Production secrets must not be stored in source code or logs; rotate exposed secrets and protect signing keys and release artefacts.</w:t>
      </w:r>
    </w:p>
    <w:p>
      <w:pPr>
        <w:pStyle w:val="Normal"/>
        <w:spacing w:before="0" w:after="40"/>
        <w:rPr/>
      </w:pPr>
      <w:r>
        <w:rPr>
          <w:b/>
        </w:rPr>
        <w:t xml:space="preserve">Required evidence / assurance. </w:t>
      </w:r>
      <w:r>
        <w:rPr/>
        <w:t>Threat models, pull-request approvals, SAST/DAST/dependency scan results, SBOM or dependency inventory, test reports and release/rollback records.</w:t>
      </w:r>
    </w:p>
    <w:p>
      <w:pPr>
        <w:pStyle w:val="Normal"/>
        <w:spacing w:before="0" w:after="120"/>
        <w:rPr/>
      </w:pPr>
      <w:r>
        <w:rPr>
          <w:b/>
        </w:rPr>
        <w:t xml:space="preserve">Exceptions. </w:t>
      </w:r>
      <w:r>
        <w:rPr/>
        <w:t>Any release exception requires the application owner and security officer to document scope, compensating controls, expiry and remediation date.</w:t>
      </w:r>
    </w:p>
    <w:p>
      <w:pPr>
        <w:pStyle w:val="Heading2"/>
        <w:rPr/>
      </w:pPr>
      <w:r>
        <w:rPr/>
        <w:t>P-07 | Vulnerability, Patch and Configuration Management</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Vulnerability Manager / System Owners</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Monthly metrics; annual policy review</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Servers, endpoints, containers, network devices, web apps, libraries and cloud resources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Discover, prioritise and remediate weaknesses based on exposure, exploitability and service impact.</w:t>
      </w:r>
    </w:p>
    <w:p>
      <w:pPr>
        <w:pStyle w:val="Normal"/>
        <w:spacing w:before="0" w:after="40"/>
        <w:rPr/>
      </w:pPr>
      <w:r>
        <w:rPr>
          <w:b/>
          <w:color w:val="2C7A7B"/>
        </w:rPr>
        <w:t>Mandatory requirements</w:t>
      </w:r>
    </w:p>
    <w:p>
      <w:pPr>
        <w:pStyle w:val="ListBullet"/>
        <w:numPr>
          <w:ilvl w:val="0"/>
          <w:numId w:val="1"/>
        </w:numPr>
        <w:spacing w:before="0" w:after="40"/>
        <w:contextualSpacing/>
        <w:rPr/>
      </w:pPr>
      <w:r>
        <w:rPr/>
        <w:t>Maintain a complete asset inventory including owner, service criticality, internet exposure, software version and support status.</w:t>
      </w:r>
    </w:p>
    <w:p>
      <w:pPr>
        <w:pStyle w:val="ListBullet"/>
        <w:numPr>
          <w:ilvl w:val="0"/>
          <w:numId w:val="1"/>
        </w:numPr>
        <w:spacing w:before="0" w:after="40"/>
        <w:contextualSpacing/>
        <w:rPr/>
      </w:pPr>
      <w:r>
        <w:rPr/>
        <w:t>Perform authenticated infrastructure vulnerability scans at least monthly for critical systems and after material changes; assess web applications and APIs on a risk-based schedule.</w:t>
      </w:r>
    </w:p>
    <w:p>
      <w:pPr>
        <w:pStyle w:val="ListBullet"/>
        <w:numPr>
          <w:ilvl w:val="0"/>
          <w:numId w:val="1"/>
        </w:numPr>
        <w:spacing w:before="0" w:after="40"/>
        <w:contextualSpacing/>
        <w:rPr/>
      </w:pPr>
      <w:r>
        <w:rPr/>
        <w:t>Prioritise using severity, exploitation evidence, internet exposure, business criticality, data sensitivity and available mitigations, not CVSS alone.</w:t>
      </w:r>
    </w:p>
    <w:p>
      <w:pPr>
        <w:pStyle w:val="ListBullet"/>
        <w:numPr>
          <w:ilvl w:val="0"/>
          <w:numId w:val="1"/>
        </w:numPr>
        <w:spacing w:before="0" w:after="40"/>
        <w:contextualSpacing/>
        <w:rPr/>
      </w:pPr>
      <w:r>
        <w:rPr/>
        <w:t>Internal target: actively exploited/critical issues on internet-facing or critical assets are triaged immediately, mitigated within 24 hours where feasible, and patched or subject to a documented workaround within 7 calendar days.</w:t>
      </w:r>
    </w:p>
    <w:p>
      <w:pPr>
        <w:pStyle w:val="ListBullet"/>
        <w:numPr>
          <w:ilvl w:val="0"/>
          <w:numId w:val="1"/>
        </w:numPr>
        <w:spacing w:before="0" w:after="40"/>
        <w:contextualSpacing/>
        <w:rPr/>
      </w:pPr>
      <w:r>
        <w:rPr/>
        <w:t>Internal targets for other High, Medium and Low findings are 15, 30 and 90 calendar days respectively, unless a documented risk assessment sets a stricter or justified alternate date.</w:t>
      </w:r>
    </w:p>
    <w:p>
      <w:pPr>
        <w:pStyle w:val="ListBullet"/>
        <w:numPr>
          <w:ilvl w:val="0"/>
          <w:numId w:val="1"/>
        </w:numPr>
        <w:spacing w:before="0" w:after="40"/>
        <w:contextualSpacing/>
        <w:rPr/>
      </w:pPr>
      <w:r>
        <w:rPr/>
        <w:t>Unsupported software must be removed, upgraded or isolated with an approved replacement plan.</w:t>
      </w:r>
    </w:p>
    <w:p>
      <w:pPr>
        <w:pStyle w:val="ListBullet"/>
        <w:numPr>
          <w:ilvl w:val="0"/>
          <w:numId w:val="1"/>
        </w:numPr>
        <w:spacing w:before="0" w:after="40"/>
        <w:contextualSpacing/>
        <w:rPr/>
      </w:pPr>
      <w:r>
        <w:rPr/>
        <w:t>Retest fixes and close findings only with evidence; overdue High/Critical findings must be escalated to the Service Owner.</w:t>
      </w:r>
    </w:p>
    <w:p>
      <w:pPr>
        <w:pStyle w:val="Normal"/>
        <w:spacing w:before="0" w:after="40"/>
        <w:rPr/>
      </w:pPr>
      <w:r>
        <w:rPr>
          <w:b/>
        </w:rPr>
        <w:t xml:space="preserve">Required evidence / assurance. </w:t>
      </w:r>
      <w:r>
        <w:rPr/>
        <w:t>Scanner reports, prioritisation record, patch/change tickets, exception register, retest evidence and overdue-risk dashboard.</w:t>
      </w:r>
    </w:p>
    <w:p>
      <w:pPr>
        <w:pStyle w:val="Normal"/>
        <w:spacing w:before="0" w:after="120"/>
        <w:rPr/>
      </w:pPr>
      <w:r>
        <w:rPr>
          <w:b/>
        </w:rPr>
        <w:t xml:space="preserve">Exceptions. </w:t>
      </w:r>
      <w:r>
        <w:rPr/>
        <w:t>A failed patch may be deferred only when the owner records impact analysis, compensating controls, a dated fix plan and approval.</w:t>
      </w:r>
    </w:p>
    <w:p>
      <w:pPr>
        <w:pStyle w:val="Heading2"/>
        <w:rPr/>
      </w:pPr>
      <w:r>
        <w:rPr/>
        <w:t>P-08 | Security Logging, Monitoring and Time Synchronisation</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SOC/Security Monitoring Lead</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Quarterly coverage review</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Identity, endpoint, network, application, database, cloud, admin and backup systems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Ensure security-relevant events can be detected, correlated, investigated and preserved.</w:t>
      </w:r>
    </w:p>
    <w:p>
      <w:pPr>
        <w:pStyle w:val="Normal"/>
        <w:spacing w:before="0" w:after="40"/>
        <w:rPr/>
      </w:pPr>
      <w:r>
        <w:rPr>
          <w:b/>
          <w:color w:val="2C7A7B"/>
        </w:rPr>
        <w:t>Mandatory requirements</w:t>
      </w:r>
    </w:p>
    <w:p>
      <w:pPr>
        <w:pStyle w:val="ListBullet"/>
        <w:numPr>
          <w:ilvl w:val="0"/>
          <w:numId w:val="1"/>
        </w:numPr>
        <w:spacing w:before="0" w:after="40"/>
        <w:contextualSpacing/>
        <w:rPr/>
      </w:pPr>
      <w:r>
        <w:rPr/>
        <w:t>Enable security logs for authentication, privileged activity, permission changes, key administrative actions, application security events and relevant network activity.</w:t>
      </w:r>
    </w:p>
    <w:p>
      <w:pPr>
        <w:pStyle w:val="ListBullet"/>
        <w:numPr>
          <w:ilvl w:val="0"/>
          <w:numId w:val="1"/>
        </w:numPr>
        <w:spacing w:before="0" w:after="40"/>
        <w:contextualSpacing/>
        <w:rPr/>
      </w:pPr>
      <w:r>
        <w:rPr/>
        <w:t>Synchronise system clocks to approved time sources; document time zone and timestamp format to support correlation.</w:t>
      </w:r>
    </w:p>
    <w:p>
      <w:pPr>
        <w:pStyle w:val="ListBullet"/>
        <w:numPr>
          <w:ilvl w:val="0"/>
          <w:numId w:val="1"/>
        </w:numPr>
        <w:spacing w:before="0" w:after="40"/>
        <w:contextualSpacing/>
        <w:rPr/>
      </w:pPr>
      <w:r>
        <w:rPr/>
        <w:t>Forward priority logs to a centrally managed platform with access control, integrity protection, alerting and documented retention.</w:t>
      </w:r>
    </w:p>
    <w:p>
      <w:pPr>
        <w:pStyle w:val="ListBullet"/>
        <w:numPr>
          <w:ilvl w:val="0"/>
          <w:numId w:val="1"/>
        </w:numPr>
        <w:spacing w:before="0" w:after="40"/>
        <w:contextualSpacing/>
        <w:rPr/>
      </w:pPr>
      <w:r>
        <w:rPr/>
        <w:t>Monitor for suspicious sign-ins, repeated failures, privilege escalation, data export, malware indicators, configuration drift and service degradation.</w:t>
      </w:r>
    </w:p>
    <w:p>
      <w:pPr>
        <w:pStyle w:val="ListBullet"/>
        <w:numPr>
          <w:ilvl w:val="0"/>
          <w:numId w:val="1"/>
        </w:numPr>
        <w:spacing w:before="0" w:after="40"/>
        <w:contextualSpacing/>
        <w:rPr/>
      </w:pPr>
      <w:r>
        <w:rPr/>
        <w:t>Do not place passwords, access tokens, full payment data or unnecessary sensitive personal data in logs. Restrict log access and redact where possible.</w:t>
      </w:r>
    </w:p>
    <w:p>
      <w:pPr>
        <w:pStyle w:val="ListBullet"/>
        <w:numPr>
          <w:ilvl w:val="0"/>
          <w:numId w:val="1"/>
        </w:numPr>
        <w:spacing w:before="0" w:after="40"/>
        <w:contextualSpacing/>
        <w:rPr/>
      </w:pPr>
      <w:r>
        <w:rPr/>
        <w:t>Where applicable, meet CERT-In directions for secure log retention, including the rolling 180-day requirement in Indian jurisdiction, and verify the exact scope against current official directions/FAQ.</w:t>
      </w:r>
    </w:p>
    <w:p>
      <w:pPr>
        <w:pStyle w:val="ListBullet"/>
        <w:numPr>
          <w:ilvl w:val="0"/>
          <w:numId w:val="1"/>
        </w:numPr>
        <w:spacing w:before="0" w:after="40"/>
        <w:contextualSpacing/>
        <w:rPr/>
      </w:pPr>
      <w:r>
        <w:rPr/>
        <w:t>Alert rules and log-source coverage must be tested quarterly; investigate missing telemetry as a security control failure.</w:t>
      </w:r>
    </w:p>
    <w:p>
      <w:pPr>
        <w:pStyle w:val="Normal"/>
        <w:spacing w:before="0" w:after="40"/>
        <w:rPr/>
      </w:pPr>
      <w:r>
        <w:rPr>
          <w:b/>
        </w:rPr>
        <w:t xml:space="preserve">Required evidence / assurance. </w:t>
      </w:r>
      <w:r>
        <w:rPr/>
        <w:t>Log-source register, time-sync status, retention configuration, SIEM/SOC alerts, quarterly detection tests and access reviews.</w:t>
      </w:r>
    </w:p>
    <w:p>
      <w:pPr>
        <w:pStyle w:val="Normal"/>
        <w:spacing w:before="0" w:after="120"/>
        <w:rPr/>
      </w:pPr>
      <w:r>
        <w:rPr>
          <w:b/>
        </w:rPr>
        <w:t xml:space="preserve">Exceptions. </w:t>
      </w:r>
      <w:r>
        <w:rPr/>
        <w:t>Changes to logging or retention require security approval and must preserve mandatory records; emergency changes require retrospective review.</w:t>
      </w:r>
    </w:p>
    <w:p>
      <w:pPr>
        <w:pStyle w:val="Heading2"/>
        <w:rPr/>
      </w:pPr>
      <w:r>
        <w:rPr/>
        <w:t>P-09 | Incident Response and External Reporting</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Incident Commander / Security Officer</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Annual; after incident or exercise</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Suspected or confirmed events affecting confidentiality, integrity, availability, privacy or trust</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Provide a coordinated, evidence-led response that limits citizen harm and restores service safely.</w:t>
      </w:r>
    </w:p>
    <w:p>
      <w:pPr>
        <w:pStyle w:val="Normal"/>
        <w:spacing w:before="0" w:after="40"/>
        <w:rPr/>
      </w:pPr>
      <w:r>
        <w:rPr>
          <w:b/>
          <w:color w:val="2C7A7B"/>
        </w:rPr>
        <w:t>Mandatory requirements</w:t>
      </w:r>
    </w:p>
    <w:p>
      <w:pPr>
        <w:pStyle w:val="ListBullet"/>
        <w:numPr>
          <w:ilvl w:val="0"/>
          <w:numId w:val="1"/>
        </w:numPr>
        <w:spacing w:before="0" w:after="40"/>
        <w:contextualSpacing/>
        <w:rPr/>
      </w:pPr>
      <w:r>
        <w:rPr/>
        <w:t>All personnel must report suspected incidents immediately via the security hotline/ticket channel; if unavailable, use the approved out-of-band contact.</w:t>
      </w:r>
    </w:p>
    <w:p>
      <w:pPr>
        <w:pStyle w:val="ListBullet"/>
        <w:numPr>
          <w:ilvl w:val="0"/>
          <w:numId w:val="1"/>
        </w:numPr>
        <w:spacing w:before="0" w:after="40"/>
        <w:contextualSpacing/>
        <w:rPr/>
      </w:pPr>
      <w:r>
        <w:rPr/>
        <w:t>The Security Officer must triage, assign severity, appoint an Incident Commander for significant incidents and maintain a timestamped decision log.</w:t>
      </w:r>
    </w:p>
    <w:p>
      <w:pPr>
        <w:pStyle w:val="ListBullet"/>
        <w:numPr>
          <w:ilvl w:val="0"/>
          <w:numId w:val="1"/>
        </w:numPr>
        <w:spacing w:before="0" w:after="40"/>
        <w:contextualSpacing/>
        <w:rPr/>
      </w:pPr>
      <w:r>
        <w:rPr/>
        <w:t>Containment may include account/session revocation, network isolation, disabling a risky feature or switching to read-only mode; preserve evidence where safe.</w:t>
      </w:r>
    </w:p>
    <w:p>
      <w:pPr>
        <w:pStyle w:val="ListBullet"/>
        <w:numPr>
          <w:ilvl w:val="0"/>
          <w:numId w:val="1"/>
        </w:numPr>
        <w:spacing w:before="0" w:after="40"/>
        <w:contextualSpacing/>
        <w:rPr/>
      </w:pPr>
      <w:r>
        <w:rPr/>
        <w:t>Maintain chain-of-custody records for collected evidence. Do not wipe, reimage or discard affected media before evidence needs are assessed.</w:t>
      </w:r>
    </w:p>
    <w:p>
      <w:pPr>
        <w:pStyle w:val="ListBullet"/>
        <w:numPr>
          <w:ilvl w:val="0"/>
          <w:numId w:val="1"/>
        </w:numPr>
        <w:spacing w:before="0" w:after="40"/>
        <w:contextualSpacing/>
        <w:rPr/>
      </w:pPr>
      <w:r>
        <w:rPr/>
        <w:t>Eradication and recovery require a known-clean build or verified image, removal of persistence, credential/secret rotation, integrity checks and staged restoration.</w:t>
      </w:r>
    </w:p>
    <w:p>
      <w:pPr>
        <w:pStyle w:val="ListBullet"/>
        <w:numPr>
          <w:ilvl w:val="0"/>
          <w:numId w:val="1"/>
        </w:numPr>
        <w:spacing w:before="0" w:after="40"/>
        <w:contextualSpacing/>
        <w:rPr/>
      </w:pPr>
      <w:r>
        <w:rPr/>
        <w:t>The legal/privacy lead must assess external and individual notifications with the incident lead. The applicable CERT-In six-hour reporting clock must be tracked from noticing/being brought to notice for reportable incidents; submit available information and update as required by official guidance.</w:t>
      </w:r>
    </w:p>
    <w:p>
      <w:pPr>
        <w:pStyle w:val="ListBullet"/>
        <w:numPr>
          <w:ilvl w:val="0"/>
          <w:numId w:val="1"/>
        </w:numPr>
        <w:spacing w:before="0" w:after="40"/>
        <w:contextualSpacing/>
        <w:rPr/>
      </w:pPr>
      <w:r>
        <w:rPr/>
        <w:t>Personal-data breach notification obligations must be handled according to DPDP provisions/rules that are in force and other applicable sectoral requirements; counsel must confirm the exact current duty and timing.</w:t>
      </w:r>
    </w:p>
    <w:p>
      <w:pPr>
        <w:pStyle w:val="ListBullet"/>
        <w:numPr>
          <w:ilvl w:val="0"/>
          <w:numId w:val="1"/>
        </w:numPr>
        <w:spacing w:before="0" w:after="40"/>
        <w:contextualSpacing/>
        <w:rPr/>
      </w:pPr>
      <w:r>
        <w:rPr/>
        <w:t>Conduct a blameless post-incident review, assign remediation owners and verify closure of corrective actions.</w:t>
      </w:r>
    </w:p>
    <w:p>
      <w:pPr>
        <w:pStyle w:val="Normal"/>
        <w:spacing w:before="0" w:after="40"/>
        <w:rPr/>
      </w:pPr>
      <w:r>
        <w:rPr>
          <w:b/>
        </w:rPr>
        <w:t xml:space="preserve">Required evidence / assurance. </w:t>
      </w:r>
      <w:r>
        <w:rPr/>
        <w:t>Incident register, severity assessment, timeline, evidence log, notifications, recovery validation, post-incident review and corrective action tracker.</w:t>
      </w:r>
    </w:p>
    <w:p>
      <w:pPr>
        <w:pStyle w:val="Normal"/>
        <w:spacing w:before="0" w:after="120"/>
        <w:rPr/>
      </w:pPr>
      <w:r>
        <w:rPr>
          <w:b/>
        </w:rPr>
        <w:t xml:space="preserve">Exceptions. </w:t>
      </w:r>
      <w:r>
        <w:rPr/>
        <w:t>Legal/statutory reporting deadlines cannot be waived by internal approval or supplier contract. Public statements are issued only by the designated communications lead.</w:t>
      </w:r>
    </w:p>
    <w:p>
      <w:pPr>
        <w:pStyle w:val="Heading2"/>
        <w:rPr/>
      </w:pPr>
      <w:r>
        <w:rPr/>
        <w:t>P-10 | Backup, Recovery and Service Continuity</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IT Operations / Business Continuity Lead</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Quarterly test review; annual plan review</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Application, configuration, identity, data, document storage, logs and critical dependencies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Recover trustworthy service and records within approved impact-based objectives.</w:t>
      </w:r>
    </w:p>
    <w:p>
      <w:pPr>
        <w:pStyle w:val="Normal"/>
        <w:spacing w:before="0" w:after="40"/>
        <w:rPr/>
      </w:pPr>
      <w:r>
        <w:rPr>
          <w:b/>
          <w:color w:val="2C7A7B"/>
        </w:rPr>
        <w:t>Mandatory requirements</w:t>
      </w:r>
    </w:p>
    <w:p>
      <w:pPr>
        <w:pStyle w:val="ListBullet"/>
        <w:numPr>
          <w:ilvl w:val="0"/>
          <w:numId w:val="1"/>
        </w:numPr>
        <w:spacing w:before="0" w:after="40"/>
        <w:contextualSpacing/>
        <w:rPr/>
      </w:pPr>
      <w:r>
        <w:rPr/>
        <w:t>Perform a business impact analysis and define approved Recovery Time Objectives (RTOs) and Recovery Point Objectives (RPOs) for each service tier.</w:t>
      </w:r>
    </w:p>
    <w:p>
      <w:pPr>
        <w:pStyle w:val="ListBullet"/>
        <w:numPr>
          <w:ilvl w:val="0"/>
          <w:numId w:val="1"/>
        </w:numPr>
        <w:spacing w:before="0" w:after="40"/>
        <w:contextualSpacing/>
        <w:rPr/>
      </w:pPr>
      <w:r>
        <w:rPr/>
        <w:t>Keep protected backup copies isolated from ordinary administrative credentials; use immutable/offline protection for critical data where feasible.</w:t>
      </w:r>
    </w:p>
    <w:p>
      <w:pPr>
        <w:pStyle w:val="ListBullet"/>
        <w:numPr>
          <w:ilvl w:val="0"/>
          <w:numId w:val="1"/>
        </w:numPr>
        <w:spacing w:before="0" w:after="40"/>
        <w:contextualSpacing/>
        <w:rPr/>
      </w:pPr>
      <w:r>
        <w:rPr/>
        <w:t>Back up data and configurations on a schedule tied to service criticality; monitor failures and protect encryption keys and recovery credentials.</w:t>
      </w:r>
    </w:p>
    <w:p>
      <w:pPr>
        <w:pStyle w:val="ListBullet"/>
        <w:numPr>
          <w:ilvl w:val="0"/>
          <w:numId w:val="1"/>
        </w:numPr>
        <w:spacing w:before="0" w:after="40"/>
        <w:contextualSpacing/>
        <w:rPr/>
      </w:pPr>
      <w:r>
        <w:rPr/>
        <w:t>Test restoration at least quarterly for critical service components and conduct an end-to-end disaster recovery exercise at least annually.</w:t>
      </w:r>
    </w:p>
    <w:p>
      <w:pPr>
        <w:pStyle w:val="ListBullet"/>
        <w:numPr>
          <w:ilvl w:val="0"/>
          <w:numId w:val="1"/>
        </w:numPr>
        <w:spacing w:before="0" w:after="40"/>
        <w:contextualSpacing/>
        <w:rPr/>
      </w:pPr>
      <w:r>
        <w:rPr/>
        <w:t>Recovery must use trusted images, verified data integrity, patched systems, rotated credentials and controlled connectivity before public service is restored.</w:t>
      </w:r>
    </w:p>
    <w:p>
      <w:pPr>
        <w:pStyle w:val="ListBullet"/>
        <w:numPr>
          <w:ilvl w:val="0"/>
          <w:numId w:val="1"/>
        </w:numPr>
        <w:spacing w:before="0" w:after="40"/>
        <w:contextualSpacing/>
        <w:rPr/>
      </w:pPr>
      <w:r>
        <w:rPr/>
        <w:t>Maintain a citizen-service continuity option such as status page, assisted service channel or read-only mode where practical.</w:t>
      </w:r>
    </w:p>
    <w:p>
      <w:pPr>
        <w:pStyle w:val="ListBullet"/>
        <w:numPr>
          <w:ilvl w:val="0"/>
          <w:numId w:val="1"/>
        </w:numPr>
        <w:spacing w:before="0" w:after="40"/>
        <w:contextualSpacing/>
        <w:rPr/>
      </w:pPr>
      <w:r>
        <w:rPr/>
        <w:t>Record recovery decisions, data-loss window, service-owner acceptance and any temporary controls remaining after restoration.</w:t>
      </w:r>
    </w:p>
    <w:p>
      <w:pPr>
        <w:pStyle w:val="Normal"/>
        <w:spacing w:before="0" w:after="40"/>
        <w:rPr/>
      </w:pPr>
      <w:r>
        <w:rPr>
          <w:b/>
        </w:rPr>
        <w:t xml:space="preserve">Required evidence / assurance. </w:t>
      </w:r>
      <w:r>
        <w:rPr/>
        <w:t>Backup job reports, immutability settings, restore tests, BIA/RTO/RPO approval, DR exercise report and continuity communications.</w:t>
      </w:r>
    </w:p>
    <w:p>
      <w:pPr>
        <w:pStyle w:val="Normal"/>
        <w:spacing w:before="0" w:after="120"/>
        <w:rPr/>
      </w:pPr>
      <w:r>
        <w:rPr>
          <w:b/>
        </w:rPr>
        <w:t xml:space="preserve">Exceptions. </w:t>
      </w:r>
      <w:r>
        <w:rPr/>
        <w:t>Any RTO/RPO exception must be approved by the Service Owner with documented public impact and a dated improvement action.</w:t>
      </w:r>
    </w:p>
    <w:p>
      <w:pPr>
        <w:pStyle w:val="Heading2"/>
        <w:rPr/>
      </w:pPr>
      <w:r>
        <w:rPr/>
        <w:t>P-11 | Supplier, Cloud and Third-Party Security</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Procurement / Vendor Manager with Security</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Before onboarding; annual and at renewal</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Cloud, MSPs, SaaS, payment/identity integrations, software vendors and outsourced support</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Manage security and privacy risks introduced by vendors, hosting providers, APIs and support access.</w:t>
      </w:r>
    </w:p>
    <w:p>
      <w:pPr>
        <w:pStyle w:val="Normal"/>
        <w:spacing w:before="0" w:after="40"/>
        <w:rPr/>
      </w:pPr>
      <w:r>
        <w:rPr>
          <w:b/>
          <w:color w:val="2C7A7B"/>
        </w:rPr>
        <w:t>Mandatory requirements</w:t>
      </w:r>
    </w:p>
    <w:p>
      <w:pPr>
        <w:pStyle w:val="ListBullet"/>
        <w:numPr>
          <w:ilvl w:val="0"/>
          <w:numId w:val="1"/>
        </w:numPr>
        <w:spacing w:before="0" w:after="40"/>
        <w:contextualSpacing/>
        <w:rPr/>
      </w:pPr>
      <w:r>
        <w:rPr/>
        <w:t>Classify suppliers by service criticality, data access, connectivity and ability to disrupt public services before purchase or renewal.</w:t>
      </w:r>
    </w:p>
    <w:p>
      <w:pPr>
        <w:pStyle w:val="ListBullet"/>
        <w:numPr>
          <w:ilvl w:val="0"/>
          <w:numId w:val="1"/>
        </w:numPr>
        <w:spacing w:before="0" w:after="40"/>
        <w:contextualSpacing/>
        <w:rPr/>
      </w:pPr>
      <w:r>
        <w:rPr/>
        <w:t>Perform proportionate due diligence on security controls, incident history, subcontractors, resilience, data location and independent assurance.</w:t>
      </w:r>
    </w:p>
    <w:p>
      <w:pPr>
        <w:pStyle w:val="ListBullet"/>
        <w:numPr>
          <w:ilvl w:val="0"/>
          <w:numId w:val="1"/>
        </w:numPr>
        <w:spacing w:before="0" w:after="40"/>
        <w:contextualSpacing/>
        <w:rPr/>
      </w:pPr>
      <w:r>
        <w:rPr/>
        <w:t>Contracts must define data use, confidentiality, access restrictions, breach escalation, cooperation, evidence support, audit rights, vulnerability remediation, continuity and exit assistance.</w:t>
      </w:r>
    </w:p>
    <w:p>
      <w:pPr>
        <w:pStyle w:val="ListBullet"/>
        <w:numPr>
          <w:ilvl w:val="0"/>
          <w:numId w:val="1"/>
        </w:numPr>
        <w:spacing w:before="0" w:after="40"/>
        <w:contextualSpacing/>
        <w:rPr/>
      </w:pPr>
      <w:r>
        <w:rPr/>
        <w:t>Vendor access must be named, MFA-protected, time-limited, monitored and approved by a service owner; disable it promptly after the task or contract ends.</w:t>
      </w:r>
    </w:p>
    <w:p>
      <w:pPr>
        <w:pStyle w:val="ListBullet"/>
        <w:numPr>
          <w:ilvl w:val="0"/>
          <w:numId w:val="1"/>
        </w:numPr>
        <w:spacing w:before="0" w:after="40"/>
        <w:contextualSpacing/>
        <w:rPr/>
      </w:pPr>
      <w:r>
        <w:rPr/>
        <w:t>Third-party incidents affecting the service must be escalated immediately to the Service Owner and Security Officer, even before full scope is known.</w:t>
      </w:r>
    </w:p>
    <w:p>
      <w:pPr>
        <w:pStyle w:val="ListBullet"/>
        <w:numPr>
          <w:ilvl w:val="0"/>
          <w:numId w:val="1"/>
        </w:numPr>
        <w:spacing w:before="0" w:after="40"/>
        <w:contextualSpacing/>
        <w:rPr/>
      </w:pPr>
      <w:r>
        <w:rPr/>
        <w:t>Review material changes in service architecture, hosting location, subcontracting or data processing before approving them.</w:t>
      </w:r>
    </w:p>
    <w:p>
      <w:pPr>
        <w:pStyle w:val="ListBullet"/>
        <w:numPr>
          <w:ilvl w:val="0"/>
          <w:numId w:val="1"/>
        </w:numPr>
        <w:spacing w:before="0" w:after="40"/>
        <w:contextualSpacing/>
        <w:rPr/>
      </w:pPr>
      <w:r>
        <w:rPr/>
        <w:t>Maintain exit and data-return/deletion plans for critical suppliers and avoid untested dependence on a single provider where service impact is unacceptable.</w:t>
      </w:r>
    </w:p>
    <w:p>
      <w:pPr>
        <w:pStyle w:val="Normal"/>
        <w:spacing w:before="0" w:after="40"/>
        <w:rPr/>
      </w:pPr>
      <w:r>
        <w:rPr>
          <w:b/>
        </w:rPr>
        <w:t xml:space="preserve">Required evidence / assurance. </w:t>
      </w:r>
      <w:r>
        <w:rPr/>
        <w:t>Supplier risk assessments, contracts/security schedules, access logs, assurance reports, review records and exit/continuity plan.</w:t>
      </w:r>
    </w:p>
    <w:p>
      <w:pPr>
        <w:pStyle w:val="Normal"/>
        <w:spacing w:before="0" w:after="120"/>
        <w:rPr/>
      </w:pPr>
      <w:r>
        <w:rPr>
          <w:b/>
        </w:rPr>
        <w:t xml:space="preserve">Exceptions. </w:t>
      </w:r>
      <w:r>
        <w:rPr/>
        <w:t>Exceptions require documented risk acceptance and compensating controls. A contract cannot remove an organisation’s own statutory responsibilities.</w:t>
      </w:r>
    </w:p>
    <w:p>
      <w:pPr>
        <w:pStyle w:val="Heading2"/>
        <w:rPr/>
      </w:pPr>
      <w:r>
        <w:rPr/>
        <w:t>P-12 | Personnel Security, Training and Awareness</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HR and Security Awareness Lead</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Annual; onboarding and role changes</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Employees, contractors, temporary staff and privileged users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Reduce risk from mistakes, social engineering, misuse and unclear responsibilities.</w:t>
      </w:r>
    </w:p>
    <w:p>
      <w:pPr>
        <w:pStyle w:val="Normal"/>
        <w:spacing w:before="0" w:after="40"/>
        <w:rPr/>
      </w:pPr>
      <w:r>
        <w:rPr>
          <w:b/>
          <w:color w:val="2C7A7B"/>
        </w:rPr>
        <w:t>Mandatory requirements</w:t>
      </w:r>
    </w:p>
    <w:p>
      <w:pPr>
        <w:pStyle w:val="ListBullet"/>
        <w:numPr>
          <w:ilvl w:val="0"/>
          <w:numId w:val="1"/>
        </w:numPr>
        <w:spacing w:before="0" w:after="40"/>
        <w:contextualSpacing/>
        <w:rPr/>
      </w:pPr>
      <w:r>
        <w:rPr/>
        <w:t>Complete role-appropriate security and privacy induction before granting routine access; refresh at least annually.</w:t>
      </w:r>
    </w:p>
    <w:p>
      <w:pPr>
        <w:pStyle w:val="ListBullet"/>
        <w:numPr>
          <w:ilvl w:val="0"/>
          <w:numId w:val="1"/>
        </w:numPr>
        <w:spacing w:before="0" w:after="40"/>
        <w:contextualSpacing/>
        <w:rPr/>
      </w:pPr>
      <w:r>
        <w:rPr/>
        <w:t>Provide additional training for administrators, developers, case workers, procurement and incident responders based on their risk exposure.</w:t>
      </w:r>
    </w:p>
    <w:p>
      <w:pPr>
        <w:pStyle w:val="ListBullet"/>
        <w:numPr>
          <w:ilvl w:val="0"/>
          <w:numId w:val="1"/>
        </w:numPr>
        <w:spacing w:before="0" w:after="40"/>
        <w:contextualSpacing/>
        <w:rPr/>
      </w:pPr>
      <w:r>
        <w:rPr/>
        <w:t>Users must complete required training and acknowledge the applicable policies; overdue training is reported to managers.</w:t>
      </w:r>
    </w:p>
    <w:p>
      <w:pPr>
        <w:pStyle w:val="ListBullet"/>
        <w:numPr>
          <w:ilvl w:val="0"/>
          <w:numId w:val="1"/>
        </w:numPr>
        <w:spacing w:before="0" w:after="40"/>
        <w:contextualSpacing/>
        <w:rPr/>
      </w:pPr>
      <w:r>
        <w:rPr/>
        <w:t>Run periodic phishing/social-engineering exercises in a proportionate and non-punitive learning model; target remediation after failures.</w:t>
      </w:r>
    </w:p>
    <w:p>
      <w:pPr>
        <w:pStyle w:val="ListBullet"/>
        <w:numPr>
          <w:ilvl w:val="0"/>
          <w:numId w:val="1"/>
        </w:numPr>
        <w:spacing w:before="0" w:after="40"/>
        <w:contextualSpacing/>
        <w:rPr/>
      </w:pPr>
      <w:r>
        <w:rPr/>
        <w:t>Screen personnel where lawful and proportionate; confidentiality commitments and access removal must be part of onboarding/offboarding.</w:t>
      </w:r>
    </w:p>
    <w:p>
      <w:pPr>
        <w:pStyle w:val="ListBullet"/>
        <w:numPr>
          <w:ilvl w:val="0"/>
          <w:numId w:val="1"/>
        </w:numPr>
        <w:spacing w:before="0" w:after="40"/>
        <w:contextualSpacing/>
        <w:rPr/>
      </w:pPr>
      <w:r>
        <w:rPr/>
        <w:t>Maintain a clear and confidential route to report suspicious activity, policy concerns or lost devices without fear of retaliation for good-faith reporting.</w:t>
      </w:r>
    </w:p>
    <w:p>
      <w:pPr>
        <w:pStyle w:val="Normal"/>
        <w:spacing w:before="0" w:after="40"/>
        <w:rPr/>
      </w:pPr>
      <w:r>
        <w:rPr>
          <w:b/>
        </w:rPr>
        <w:t xml:space="preserve">Required evidence / assurance. </w:t>
      </w:r>
      <w:r>
        <w:rPr/>
        <w:t>Training completion, policy acknowledgements, role-based curricula, simulation findings and remediation records.</w:t>
      </w:r>
    </w:p>
    <w:p>
      <w:pPr>
        <w:pStyle w:val="Normal"/>
        <w:spacing w:before="0" w:after="120"/>
        <w:rPr/>
      </w:pPr>
      <w:r>
        <w:rPr>
          <w:b/>
        </w:rPr>
        <w:t xml:space="preserve">Exceptions. </w:t>
      </w:r>
      <w:r>
        <w:rPr/>
        <w:t>Alternative training must meet the same learning outcomes and be approved by HR and Security; exceptions must be time-limited.</w:t>
      </w:r>
    </w:p>
    <w:p>
      <w:pPr>
        <w:pStyle w:val="Heading2"/>
        <w:rPr/>
      </w:pPr>
      <w:r>
        <w:rPr/>
        <w:t>P-13 | Physical Security and Media Handling</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Facilities / Data Centre Manager</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Annual; after facility change</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Office areas, server rooms, backup sites, paper records, portable media and equipment disposal</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Protect facilities, printed records, equipment and removable media from loss, theft or unauthorised viewing.</w:t>
      </w:r>
    </w:p>
    <w:p>
      <w:pPr>
        <w:pStyle w:val="Normal"/>
        <w:spacing w:before="0" w:after="40"/>
        <w:rPr/>
      </w:pPr>
      <w:r>
        <w:rPr>
          <w:b/>
          <w:color w:val="2C7A7B"/>
        </w:rPr>
        <w:t>Mandatory requirements</w:t>
      </w:r>
    </w:p>
    <w:p>
      <w:pPr>
        <w:pStyle w:val="ListBullet"/>
        <w:numPr>
          <w:ilvl w:val="0"/>
          <w:numId w:val="1"/>
        </w:numPr>
        <w:spacing w:before="0" w:after="40"/>
        <w:contextualSpacing/>
        <w:rPr/>
      </w:pPr>
      <w:r>
        <w:rPr/>
        <w:t>Restrict server rooms and sensitive record areas to authorised personnel using access logs and visitor escort rules.</w:t>
      </w:r>
    </w:p>
    <w:p>
      <w:pPr>
        <w:pStyle w:val="ListBullet"/>
        <w:numPr>
          <w:ilvl w:val="0"/>
          <w:numId w:val="1"/>
        </w:numPr>
        <w:spacing w:before="0" w:after="40"/>
        <w:contextualSpacing/>
        <w:rPr/>
      </w:pPr>
      <w:r>
        <w:rPr/>
        <w:t>Protect screens and printed materials from public viewing; secure Restricted paper records when unattended.</w:t>
      </w:r>
    </w:p>
    <w:p>
      <w:pPr>
        <w:pStyle w:val="ListBullet"/>
        <w:numPr>
          <w:ilvl w:val="0"/>
          <w:numId w:val="1"/>
        </w:numPr>
        <w:spacing w:before="0" w:after="40"/>
        <w:contextualSpacing/>
        <w:rPr/>
      </w:pPr>
      <w:r>
        <w:rPr/>
        <w:t>Record movement of equipment and removable media containing official information; encrypt approved portable media.</w:t>
      </w:r>
    </w:p>
    <w:p>
      <w:pPr>
        <w:pStyle w:val="ListBullet"/>
        <w:numPr>
          <w:ilvl w:val="0"/>
          <w:numId w:val="1"/>
        </w:numPr>
        <w:spacing w:before="0" w:after="40"/>
        <w:contextualSpacing/>
        <w:rPr/>
      </w:pPr>
      <w:r>
        <w:rPr/>
        <w:t>Report lost devices, suspected physical access, tampering or misplaced records immediately as potential security incidents.</w:t>
      </w:r>
    </w:p>
    <w:p>
      <w:pPr>
        <w:pStyle w:val="ListBullet"/>
        <w:numPr>
          <w:ilvl w:val="0"/>
          <w:numId w:val="1"/>
        </w:numPr>
        <w:spacing w:before="0" w:after="40"/>
        <w:contextualSpacing/>
        <w:rPr/>
      </w:pPr>
      <w:r>
        <w:rPr/>
        <w:t>Sanitise or destroy storage media using an approved method before reuse, return or disposal; retain a disposal record.</w:t>
      </w:r>
    </w:p>
    <w:p>
      <w:pPr>
        <w:pStyle w:val="ListBullet"/>
        <w:numPr>
          <w:ilvl w:val="0"/>
          <w:numId w:val="1"/>
        </w:numPr>
        <w:spacing w:before="0" w:after="40"/>
        <w:contextualSpacing/>
        <w:rPr/>
      </w:pPr>
      <w:r>
        <w:rPr/>
        <w:t>Environmental and facility controls for critical infrastructure must be assessed for power, fire, flood and physical access risks.</w:t>
      </w:r>
    </w:p>
    <w:p>
      <w:pPr>
        <w:pStyle w:val="Normal"/>
        <w:spacing w:before="0" w:after="40"/>
        <w:rPr/>
      </w:pPr>
      <w:r>
        <w:rPr>
          <w:b/>
        </w:rPr>
        <w:t xml:space="preserve">Required evidence / assurance. </w:t>
      </w:r>
      <w:r>
        <w:rPr/>
        <w:t>Facility access lists, visitor logs, media register, disposal certificates, equipment inventory and physical incident records.</w:t>
      </w:r>
    </w:p>
    <w:p>
      <w:pPr>
        <w:pStyle w:val="Normal"/>
        <w:spacing w:before="0" w:after="120"/>
        <w:rPr/>
      </w:pPr>
      <w:r>
        <w:rPr>
          <w:b/>
        </w:rPr>
        <w:t xml:space="preserve">Exceptions. </w:t>
      </w:r>
      <w:r>
        <w:rPr/>
        <w:t>Urgent access exceptions require an escort or equivalent compensating control and must be reviewed by the facility owner.</w:t>
      </w:r>
    </w:p>
    <w:p>
      <w:pPr>
        <w:pStyle w:val="Heading2"/>
        <w:rPr/>
      </w:pPr>
      <w:r>
        <w:rPr/>
        <w:t>P-14 | Compliance Monitoring, Exceptions and Internal Audit</w:t>
      </w:r>
    </w:p>
    <w:tbl>
      <w:tblPr>
        <w:tblW w:w="9992" w:type="dxa"/>
        <w:jc w:val="start"/>
        <w:tblInd w:w="80" w:type="dxa"/>
        <w:tblLayout w:type="fixed"/>
        <w:tblCellMar>
          <w:top w:w="60" w:type="dxa"/>
          <w:start w:w="80" w:type="dxa"/>
          <w:bottom w:w="60" w:type="dxa"/>
          <w:end w:w="80" w:type="dxa"/>
        </w:tblCellMar>
        <w:tblLook w:noHBand="0" w:noVBand="1" w:firstColumn="1" w:lastRow="0" w:lastColumn="0" w:firstRow="1" w:val="04a0"/>
      </w:tblPr>
      <w:tblGrid>
        <w:gridCol w:w="2498"/>
        <w:gridCol w:w="2498"/>
        <w:gridCol w:w="2498"/>
        <w:gridCol w:w="2498"/>
      </w:tblGrid>
      <w:tr>
        <w:trPr>
          <w:cantSplit/>
        </w:trPr>
        <w:tc>
          <w:tcPr>
            <w:tcW w:w="2498" w:type="dxa"/>
            <w:tcBorders/>
            <w:shd w:fill="DCEAF3" w:val="clear"/>
          </w:tcPr>
          <w:p>
            <w:pPr>
              <w:pStyle w:val="Normal"/>
              <w:spacing w:before="0" w:after="0"/>
              <w:rPr/>
            </w:pPr>
            <w:r>
              <w:rPr>
                <w:b/>
                <w:color w:val="16324F"/>
                <w:sz w:val="15"/>
              </w:rPr>
              <w:t>Policy owner</w:t>
            </w:r>
          </w:p>
        </w:tc>
        <w:tc>
          <w:tcPr>
            <w:tcW w:w="2498" w:type="dxa"/>
            <w:tcBorders/>
          </w:tcPr>
          <w:p>
            <w:pPr>
              <w:pStyle w:val="Normal"/>
              <w:spacing w:before="0" w:after="0"/>
              <w:rPr/>
            </w:pPr>
            <w:r>
              <w:rPr>
                <w:sz w:val="15"/>
              </w:rPr>
              <w:t>Information Security Officer / Internal Audit</w:t>
            </w:r>
          </w:p>
        </w:tc>
        <w:tc>
          <w:tcPr>
            <w:tcW w:w="2498" w:type="dxa"/>
            <w:tcBorders/>
            <w:shd w:fill="DCEAF3" w:val="clear"/>
          </w:tcPr>
          <w:p>
            <w:pPr>
              <w:pStyle w:val="Normal"/>
              <w:spacing w:before="0" w:after="0"/>
              <w:rPr/>
            </w:pPr>
            <w:r>
              <w:rPr>
                <w:b/>
                <w:color w:val="16324F"/>
                <w:sz w:val="15"/>
              </w:rPr>
              <w:t>Review cycle</w:t>
            </w:r>
          </w:p>
        </w:tc>
        <w:tc>
          <w:tcPr>
            <w:tcW w:w="2498" w:type="dxa"/>
            <w:tcBorders/>
          </w:tcPr>
          <w:p>
            <w:pPr>
              <w:pStyle w:val="Normal"/>
              <w:spacing w:before="0" w:after="0"/>
              <w:rPr/>
            </w:pPr>
            <w:r>
              <w:rPr>
                <w:sz w:val="15"/>
              </w:rPr>
              <w:t>Quarterly metrics; annual policy review</w:t>
            </w:r>
          </w:p>
        </w:tc>
      </w:tr>
      <w:tr>
        <w:trPr>
          <w:cantSplit/>
        </w:trPr>
        <w:tc>
          <w:tcPr>
            <w:tcW w:w="2498" w:type="dxa"/>
            <w:tcBorders/>
            <w:shd w:fill="DCEAF3" w:val="clear"/>
          </w:tcPr>
          <w:p>
            <w:pPr>
              <w:pStyle w:val="Normal"/>
              <w:spacing w:before="0" w:after="0"/>
              <w:rPr/>
            </w:pPr>
            <w:r>
              <w:rPr>
                <w:b/>
                <w:color w:val="16324F"/>
                <w:sz w:val="15"/>
              </w:rPr>
              <w:t>Applies to</w:t>
            </w:r>
          </w:p>
        </w:tc>
        <w:tc>
          <w:tcPr>
            <w:tcW w:w="2498" w:type="dxa"/>
            <w:tcBorders/>
          </w:tcPr>
          <w:p>
            <w:pPr>
              <w:pStyle w:val="Normal"/>
              <w:spacing w:before="0" w:after="0"/>
              <w:rPr/>
            </w:pPr>
            <w:r>
              <w:rPr>
                <w:sz w:val="15"/>
              </w:rPr>
              <w:t>All policies, systems, service teams and relevant third parties</w:t>
            </w:r>
          </w:p>
        </w:tc>
        <w:tc>
          <w:tcPr>
            <w:tcW w:w="2498" w:type="dxa"/>
            <w:tcBorders/>
            <w:shd w:fill="DCEAF3" w:val="clear"/>
          </w:tcPr>
          <w:p>
            <w:pPr>
              <w:pStyle w:val="Normal"/>
              <w:spacing w:before="0" w:after="0"/>
              <w:rPr/>
            </w:pPr>
            <w:r>
              <w:rPr>
                <w:b/>
                <w:color w:val="16324F"/>
                <w:sz w:val="15"/>
              </w:rPr>
              <w:t>Status</w:t>
            </w:r>
          </w:p>
        </w:tc>
        <w:tc>
          <w:tcPr>
            <w:tcW w:w="2498" w:type="dxa"/>
            <w:tcBorders/>
          </w:tcPr>
          <w:p>
            <w:pPr>
              <w:pStyle w:val="Normal"/>
              <w:spacing w:before="0" w:after="0"/>
              <w:rPr/>
            </w:pPr>
            <w:r>
              <w:rPr>
                <w:sz w:val="15"/>
              </w:rPr>
              <w:t>Proposed / pending approval</w:t>
            </w:r>
          </w:p>
        </w:tc>
      </w:tr>
    </w:tbl>
    <w:p>
      <w:pPr>
        <w:pStyle w:val="Normal"/>
        <w:spacing w:before="0" w:after="20"/>
        <w:rPr/>
      </w:pPr>
      <w:r>
        <w:rPr/>
      </w:r>
    </w:p>
    <w:p>
      <w:pPr>
        <w:pStyle w:val="Normal"/>
        <w:spacing w:before="0" w:after="60"/>
        <w:rPr/>
      </w:pPr>
      <w:r>
        <w:rPr>
          <w:b/>
        </w:rPr>
        <w:t xml:space="preserve">Purpose. </w:t>
      </w:r>
      <w:r>
        <w:rPr/>
        <w:t>Verify that policies operate in practice and that gaps are owned, time-bound and closed.</w:t>
      </w:r>
    </w:p>
    <w:p>
      <w:pPr>
        <w:pStyle w:val="Normal"/>
        <w:spacing w:before="0" w:after="40"/>
        <w:rPr/>
      </w:pPr>
      <w:r>
        <w:rPr>
          <w:b/>
          <w:color w:val="2C7A7B"/>
        </w:rPr>
        <w:t>Mandatory requirements</w:t>
      </w:r>
    </w:p>
    <w:p>
      <w:pPr>
        <w:pStyle w:val="ListBullet"/>
        <w:numPr>
          <w:ilvl w:val="0"/>
          <w:numId w:val="1"/>
        </w:numPr>
        <w:spacing w:before="0" w:after="40"/>
        <w:contextualSpacing/>
        <w:rPr/>
      </w:pPr>
      <w:r>
        <w:rPr/>
        <w:t>Maintain a control register mapping each policy requirement to an owner, implementation evidence, test frequency and reporting metric.</w:t>
      </w:r>
    </w:p>
    <w:p>
      <w:pPr>
        <w:pStyle w:val="ListBullet"/>
        <w:numPr>
          <w:ilvl w:val="0"/>
          <w:numId w:val="1"/>
        </w:numPr>
        <w:spacing w:before="0" w:after="40"/>
        <w:contextualSpacing/>
        <w:rPr/>
      </w:pPr>
      <w:r>
        <w:rPr/>
        <w:t>Perform quarterly control self-checks for high-risk controls and an independent review at least annually, proportionate to service criticality and applicable requirements.</w:t>
      </w:r>
    </w:p>
    <w:p>
      <w:pPr>
        <w:pStyle w:val="ListBullet"/>
        <w:numPr>
          <w:ilvl w:val="0"/>
          <w:numId w:val="1"/>
        </w:numPr>
        <w:spacing w:before="0" w:after="40"/>
        <w:contextualSpacing/>
        <w:rPr/>
      </w:pPr>
      <w:r>
        <w:rPr/>
        <w:t>Audit findings must include severity, evidence, accountable owner, target date, compensating control and retest/closure criteria.</w:t>
      </w:r>
    </w:p>
    <w:p>
      <w:pPr>
        <w:pStyle w:val="ListBullet"/>
        <w:numPr>
          <w:ilvl w:val="0"/>
          <w:numId w:val="1"/>
        </w:numPr>
        <w:spacing w:before="0" w:after="40"/>
        <w:contextualSpacing/>
        <w:rPr/>
      </w:pPr>
      <w:r>
        <w:rPr/>
        <w:t>Exceptions must include business rationale, affected assets/data, risk statement, compensating controls, approver, expiry date and remediation owner.</w:t>
      </w:r>
    </w:p>
    <w:p>
      <w:pPr>
        <w:pStyle w:val="ListBullet"/>
        <w:numPr>
          <w:ilvl w:val="0"/>
          <w:numId w:val="1"/>
        </w:numPr>
        <w:spacing w:before="0" w:after="40"/>
        <w:contextualSpacing/>
        <w:rPr/>
      </w:pPr>
      <w:r>
        <w:rPr/>
        <w:t>Exceptions should normally expire within 90 days unless the risk committee approves a different documented period; expired exceptions are escalated.</w:t>
      </w:r>
    </w:p>
    <w:p>
      <w:pPr>
        <w:pStyle w:val="ListBullet"/>
        <w:numPr>
          <w:ilvl w:val="0"/>
          <w:numId w:val="1"/>
        </w:numPr>
        <w:spacing w:before="0" w:after="40"/>
        <w:contextualSpacing/>
        <w:rPr/>
      </w:pPr>
      <w:r>
        <w:rPr/>
        <w:t>Report key measures to the Service Owner at least quarterly, including overdue critical vulnerabilities, MFA coverage, backup restore success, logging coverage, incidents and audit actions.</w:t>
      </w:r>
    </w:p>
    <w:p>
      <w:pPr>
        <w:pStyle w:val="ListBullet"/>
        <w:numPr>
          <w:ilvl w:val="0"/>
          <w:numId w:val="1"/>
        </w:numPr>
        <w:spacing w:before="0" w:after="40"/>
        <w:contextualSpacing/>
        <w:rPr/>
      </w:pPr>
      <w:r>
        <w:rPr/>
        <w:t>Review this policy pack at least annually and after material legal change, significant incident, major architecture change or repeated control failure.</w:t>
      </w:r>
    </w:p>
    <w:p>
      <w:pPr>
        <w:pStyle w:val="Normal"/>
        <w:spacing w:before="0" w:after="40"/>
        <w:rPr/>
      </w:pPr>
      <w:r>
        <w:rPr>
          <w:b/>
        </w:rPr>
        <w:t xml:space="preserve">Required evidence / assurance. </w:t>
      </w:r>
      <w:r>
        <w:rPr/>
        <w:t>Control register, test results, audit plans, evidence references, exception log, KPI dashboard, management minutes and closure validation.</w:t>
      </w:r>
    </w:p>
    <w:p>
      <w:pPr>
        <w:pStyle w:val="Normal"/>
        <w:spacing w:before="0" w:after="120"/>
        <w:rPr/>
      </w:pPr>
      <w:r>
        <w:rPr>
          <w:b/>
        </w:rPr>
        <w:t xml:space="preserve">Exceptions. </w:t>
      </w:r>
      <w:r>
        <w:rPr/>
        <w:t>The person who owns a control must not be the sole independent approver of their own exception or closure evidence for a material finding.</w:t>
      </w:r>
    </w:p>
    <w:p>
      <w:pPr>
        <w:pStyle w:val="Normal"/>
        <w:rPr/>
      </w:pPr>
      <w:r>
        <w:rPr/>
      </w:r>
      <w:r>
        <w:br w:type="page"/>
      </w:r>
    </w:p>
    <w:p>
      <w:pPr>
        <w:pStyle w:val="Heading1"/>
        <w:spacing w:before="0" w:after="100"/>
        <w:rPr/>
      </w:pPr>
      <w:r>
        <w:rPr/>
        <w:t>4. Self-Audit Methodology and Results</w:t>
      </w:r>
    </w:p>
    <w:p>
      <w:pPr>
        <w:pStyle w:val="Heading2"/>
        <w:rPr/>
      </w:pPr>
      <w:r>
        <w:rPr/>
        <w:t>4.1 Purpose and limitations</w:t>
      </w:r>
    </w:p>
    <w:p>
      <w:pPr>
        <w:pStyle w:val="Normal"/>
        <w:rPr/>
      </w:pPr>
      <w:r>
        <w:rPr/>
        <w:t>The self-audit checks whether the drafted policies are coherent, understandable, assigned to owners, enforceable and capable of being tested. It is a document-design review against stated requirements and selected public frameworks. It is not a penetration test, certification audit, legal opinion, interview-based review or verification that technical controls exist. No production assets or confidential records were accessed.</w:t>
      </w:r>
    </w:p>
    <w:p>
      <w:pPr>
        <w:pStyle w:val="Heading2"/>
        <w:rPr/>
      </w:pPr>
      <w:r>
        <w:rPr/>
        <w:t>4.2 Method</w:t>
      </w:r>
    </w:p>
    <w:p>
      <w:pPr>
        <w:pStyle w:val="ListNumber"/>
        <w:numPr>
          <w:ilvl w:val="0"/>
          <w:numId w:val="4"/>
        </w:numPr>
        <w:spacing w:before="0" w:after="40"/>
        <w:contextualSpacing/>
        <w:rPr/>
      </w:pPr>
      <w:r>
        <w:rPr/>
        <w:t>Define audit criteria from the task brief, NIST CSF 2.0, ISO/IEC 27001:2022 principles, GIGW 3.0, applicable CERT-In guidance and relevant privacy requirements.</w:t>
      </w:r>
    </w:p>
    <w:p>
      <w:pPr>
        <w:pStyle w:val="ListNumber"/>
        <w:numPr>
          <w:ilvl w:val="0"/>
          <w:numId w:val="4"/>
        </w:numPr>
        <w:spacing w:before="0" w:after="40"/>
        <w:contextualSpacing/>
        <w:rPr/>
      </w:pPr>
      <w:r>
        <w:rPr/>
        <w:t>Read the policy pack for scope, ownership, mandatory statements, exception control, review cadence, evidence and measurable implementation expectations.</w:t>
      </w:r>
    </w:p>
    <w:p>
      <w:pPr>
        <w:pStyle w:val="ListNumber"/>
        <w:numPr>
          <w:ilvl w:val="0"/>
          <w:numId w:val="4"/>
        </w:numPr>
        <w:spacing w:before="0" w:after="40"/>
        <w:contextualSpacing/>
        <w:rPr/>
      </w:pPr>
      <w:r>
        <w:rPr/>
        <w:t>Check for overlap and conflict between policies, particularly data retention, logging, incident reporting, supplier responsibilities and exception approvals.</w:t>
      </w:r>
    </w:p>
    <w:p>
      <w:pPr>
        <w:pStyle w:val="ListNumber"/>
        <w:numPr>
          <w:ilvl w:val="0"/>
          <w:numId w:val="4"/>
        </w:numPr>
        <w:spacing w:before="0" w:after="40"/>
        <w:contextualSpacing/>
        <w:rPr/>
      </w:pPr>
      <w:r>
        <w:rPr/>
        <w:t>Score each domain on a 0–3 document-design scale and record gaps that require service-specific validation.</w:t>
      </w:r>
    </w:p>
    <w:p>
      <w:pPr>
        <w:pStyle w:val="ListNumber"/>
        <w:numPr>
          <w:ilvl w:val="0"/>
          <w:numId w:val="4"/>
        </w:numPr>
        <w:spacing w:before="0" w:after="40"/>
        <w:contextualSpacing/>
        <w:rPr/>
      </w:pPr>
      <w:r>
        <w:rPr/>
        <w:t>Create corrective actions with target dates, owners and evidence expectations. Re-score only after the improvements and supporting evidence are reviewed.</w:t>
      </w:r>
    </w:p>
    <w:p>
      <w:pPr>
        <w:pStyle w:val="Heading2"/>
        <w:rPr/>
      </w:pPr>
      <w:r>
        <w:rPr/>
        <w:t>4.3 Scoring scale</w:t>
      </w:r>
    </w:p>
    <w:tbl>
      <w:tblPr>
        <w:tblStyle w:val="TableGrid"/>
        <w:tblW w:w="9993"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3331"/>
        <w:gridCol w:w="3331"/>
        <w:gridCol w:w="3331"/>
      </w:tblGrid>
      <w:tr>
        <w:trPr>
          <w:tblHeader w:val="true"/>
          <w:cantSplit/>
        </w:trPr>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Score</w:t>
            </w:r>
          </w:p>
        </w:tc>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Meaning</w:t>
            </w:r>
          </w:p>
        </w:tc>
        <w:tc>
          <w:tcPr>
            <w:tcW w:w="3331"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Interpretation</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0 — Absent</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Requirement missing or contradictory</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High design gap; create policy requirement.</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1 — Initial</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Topic mentioned but vague or not assigned</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Clarify rule, scope, owner and decision path.</w:t>
            </w:r>
          </w:p>
        </w:tc>
      </w:tr>
      <w:tr>
        <w:trPr>
          <w:cantSplit/>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2 — Defined</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Rule, owner and basic evidence are described</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Improve measurable targets, mapping or validation.</w:t>
            </w:r>
          </w:p>
        </w:tc>
      </w:tr>
      <w:tr>
        <w:trPr>
          <w:cantSplit/>
        </w:trPr>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3 — Testable</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Rule is enforceable, measurable and evidence-led</w:t>
            </w:r>
          </w:p>
        </w:tc>
        <w:tc>
          <w:tcPr>
            <w:tcW w:w="3331"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Suitable at design level; operational testing is still required.</w:t>
            </w:r>
          </w:p>
        </w:tc>
      </w:tr>
    </w:tbl>
    <w:p>
      <w:pPr>
        <w:pStyle w:val="Normal"/>
        <w:spacing w:before="0" w:after="20"/>
        <w:rPr/>
      </w:pPr>
      <w:r>
        <w:rPr/>
      </w:r>
    </w:p>
    <w:p>
      <w:pPr>
        <w:pStyle w:val="Heading2"/>
        <w:rPr/>
      </w:pPr>
      <w:r>
        <w:rPr/>
        <w:t>4.4 Summary score</w:t>
      </w:r>
    </w:p>
    <w:p>
      <w:pPr>
        <w:pStyle w:val="Normal"/>
        <w:rPr/>
      </w:pPr>
      <w:r>
        <w:rPr/>
        <w:drawing>
          <wp:inline distT="0" distB="0" distL="0" distR="0">
            <wp:extent cx="6126480" cy="3043555"/>
            <wp:effectExtent l="0" t="0" r="0" b="0"/>
            <wp:docPr id="2" name="Picture 2" descr="Horizontal bar chart of illustrative policy-design readiness scores across eight audit domains; these scores assess document design only, not live operational compliance." title="Self-audit design readiness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orizontal bar chart of illustrative policy-design readiness scores across eight audit domains; these scores assess document design only, not live operational compliance." title="Self-audit design readiness scores"/>
                    <pic:cNvPicPr>
                      <a:picLocks noChangeAspect="1" noChangeArrowheads="1"/>
                    </pic:cNvPicPr>
                  </pic:nvPicPr>
                  <pic:blipFill>
                    <a:blip r:embed="rId3"/>
                    <a:stretch>
                      <a:fillRect/>
                    </a:stretch>
                  </pic:blipFill>
                  <pic:spPr bwMode="auto">
                    <a:xfrm>
                      <a:off x="0" y="0"/>
                      <a:ext cx="6126480" cy="3043555"/>
                    </a:xfrm>
                    <a:prstGeom prst="rect">
                      <a:avLst/>
                    </a:prstGeom>
                    <a:noFill/>
                  </pic:spPr>
                </pic:pic>
              </a:graphicData>
            </a:graphic>
          </wp:inline>
        </w:drawing>
      </w:r>
    </w:p>
    <w:p>
      <w:pPr>
        <w:pStyle w:val="SmallNote"/>
        <w:rPr/>
      </w:pPr>
      <w:r>
        <w:rPr/>
        <w:t>Illustrative self-audit result: 17.5 / 24 points = 73% document-design readiness across eight domains (rounded to the nearest whole percent). This score does not measure actual compliance or operating effectiveness. The evidence-based score for a live platform cannot be determined until owners provide system inventories, access reviews, scan reports, logs, incident records, restore tests, supplier evidence and approvals.</w:t>
      </w:r>
    </w:p>
    <w:tbl>
      <w:tblPr>
        <w:tblStyle w:val="TableGrid"/>
        <w:tblW w:w="9992"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2498"/>
        <w:gridCol w:w="2498"/>
        <w:gridCol w:w="2498"/>
        <w:gridCol w:w="2498"/>
      </w:tblGrid>
      <w:tr>
        <w:trPr>
          <w:tblHeader w:val="true"/>
          <w:cantSplit/>
        </w:trPr>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Audit domain</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Score / 3</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Strength observed</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Main weakness / evidence needed</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Governance</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2.5</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Named owner roles, risk register and approval flow</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Actual named delegates, risk appetite and approved steering cadence not yet set</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Data &amp; privacy</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2.0</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Classification, purpose, retention and sharing rules described</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Dataset-level inventory, schedule and legal section/rule mapping needed</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Access control</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2.5</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MFA, least privilege, account lifecycle and reviews specified</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System-specific access review evidence and technical coverage unknown</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Secure engineering</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2.0</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Threat modelling, scanning and release gates defined</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Pipeline integration, severity gates and sign-off evidence not tested</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Monitoring &amp; response</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2.5</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Central logs, detection, incident roles and reporting workflow included</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Coverage, clock synchronisation and response rehearsal not evidenced</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Continuity</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2.0</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Backups, immutable copies and testing cadence described</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Actual BIA, approved RTO/RPO and successful restore evidence absent</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Supplier risk</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2.0</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Due diligence, contract controls and exit needs identified</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Existing supplier contracts and subcontractors not examined</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Audit &amp; exceptions</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2.0</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Control register, expiry and corrective action process defined</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Independent auditor, evidence repository and reporting dashboard not assigned</w:t>
            </w:r>
          </w:p>
        </w:tc>
      </w:tr>
    </w:tbl>
    <w:p>
      <w:pPr>
        <w:pStyle w:val="Normal"/>
        <w:spacing w:before="0" w:after="20"/>
        <w:rPr/>
      </w:pPr>
      <w:r>
        <w:rPr/>
      </w:r>
    </w:p>
    <w:p>
      <w:pPr>
        <w:pStyle w:val="Heading2"/>
        <w:rPr/>
      </w:pPr>
      <w:r>
        <w:rPr/>
        <w:t>4.5 Strengths of the policy pack</w:t>
      </w:r>
    </w:p>
    <w:p>
      <w:pPr>
        <w:pStyle w:val="ListBullet"/>
        <w:numPr>
          <w:ilvl w:val="0"/>
          <w:numId w:val="1"/>
        </w:numPr>
        <w:spacing w:before="0" w:after="40"/>
        <w:contextualSpacing/>
        <w:rPr/>
      </w:pPr>
      <w:r>
        <w:rPr/>
        <w:t>The policy set covers prevention, detection, response, recovery, data handling, people, technology and supplier risk rather than treating security as a firewall-only problem.</w:t>
      </w:r>
    </w:p>
    <w:p>
      <w:pPr>
        <w:pStyle w:val="ListBullet"/>
        <w:numPr>
          <w:ilvl w:val="0"/>
          <w:numId w:val="1"/>
        </w:numPr>
        <w:spacing w:before="0" w:after="40"/>
        <w:contextualSpacing/>
        <w:rPr/>
      </w:pPr>
      <w:r>
        <w:rPr/>
        <w:t>Policies generally assign accountable owners, require documented evidence and define review cycles.</w:t>
      </w:r>
    </w:p>
    <w:p>
      <w:pPr>
        <w:pStyle w:val="ListBullet"/>
        <w:numPr>
          <w:ilvl w:val="0"/>
          <w:numId w:val="1"/>
        </w:numPr>
        <w:spacing w:before="0" w:after="40"/>
        <w:contextualSpacing/>
        <w:rPr/>
      </w:pPr>
      <w:r>
        <w:rPr/>
        <w:t>Exception management is centralised so that risky deviations are visible, time-limited and approved at an appropriate level.</w:t>
      </w:r>
    </w:p>
    <w:p>
      <w:pPr>
        <w:pStyle w:val="ListBullet"/>
        <w:numPr>
          <w:ilvl w:val="0"/>
          <w:numId w:val="1"/>
        </w:numPr>
        <w:spacing w:before="0" w:after="40"/>
        <w:contextualSpacing/>
        <w:rPr/>
      </w:pPr>
      <w:r>
        <w:rPr/>
        <w:t>Legal alignment includes a caution around phased commencement and asks for current applicability review instead of claiming blanket compliance.</w:t>
      </w:r>
    </w:p>
    <w:p>
      <w:pPr>
        <w:pStyle w:val="ListBullet"/>
        <w:numPr>
          <w:ilvl w:val="0"/>
          <w:numId w:val="1"/>
        </w:numPr>
        <w:spacing w:before="0" w:after="40"/>
        <w:contextualSpacing/>
        <w:rPr/>
      </w:pPr>
      <w:r>
        <w:rPr/>
        <w:t>Internal vulnerability remediation targets, review cadences and metrics are proposed so the policies can be converted into operations.</w:t>
      </w:r>
    </w:p>
    <w:p>
      <w:pPr>
        <w:pStyle w:val="Heading2"/>
        <w:rPr/>
      </w:pPr>
      <w:r>
        <w:rPr/>
        <w:t>4.6 Weaknesses and limitations identified</w:t>
      </w:r>
    </w:p>
    <w:p>
      <w:pPr>
        <w:pStyle w:val="ListBullet"/>
        <w:numPr>
          <w:ilvl w:val="0"/>
          <w:numId w:val="1"/>
        </w:numPr>
        <w:spacing w:before="0" w:after="40"/>
        <w:contextualSpacing/>
        <w:rPr/>
      </w:pPr>
      <w:r>
        <w:rPr/>
        <w:t>Policies are not signed or approved; authority and enforcement cannot be assumed until the department formally adopts them.</w:t>
      </w:r>
    </w:p>
    <w:p>
      <w:pPr>
        <w:pStyle w:val="ListBullet"/>
        <w:numPr>
          <w:ilvl w:val="0"/>
          <w:numId w:val="1"/>
        </w:numPr>
        <w:spacing w:before="0" w:after="40"/>
        <w:contextualSpacing/>
        <w:rPr/>
      </w:pPr>
      <w:r>
        <w:rPr/>
        <w:t>No actual system inventory, network diagram, data flow, privacy assessment or service criticality classification has been provided.</w:t>
      </w:r>
    </w:p>
    <w:p>
      <w:pPr>
        <w:pStyle w:val="ListBullet"/>
        <w:numPr>
          <w:ilvl w:val="0"/>
          <w:numId w:val="1"/>
        </w:numPr>
        <w:spacing w:before="0" w:after="40"/>
        <w:contextualSpacing/>
        <w:rPr/>
      </w:pPr>
      <w:r>
        <w:rPr/>
        <w:t>RTO/RPO, retention periods, incident severity thresholds and several time-based controls require tailoring to real service tiers and applicable law.</w:t>
      </w:r>
    </w:p>
    <w:p>
      <w:pPr>
        <w:pStyle w:val="ListBullet"/>
        <w:numPr>
          <w:ilvl w:val="0"/>
          <w:numId w:val="1"/>
        </w:numPr>
        <w:spacing w:before="0" w:after="40"/>
        <w:contextualSpacing/>
        <w:rPr/>
      </w:pPr>
      <w:r>
        <w:rPr/>
        <w:t>The legal inventory is a starting point, not an exhaustive legal register; sectoral directions, state rules, contract clauses and procurement mandates may also apply.</w:t>
      </w:r>
    </w:p>
    <w:p>
      <w:pPr>
        <w:pStyle w:val="ListBullet"/>
        <w:numPr>
          <w:ilvl w:val="0"/>
          <w:numId w:val="1"/>
        </w:numPr>
        <w:spacing w:before="0" w:after="40"/>
        <w:contextualSpacing/>
        <w:rPr/>
      </w:pPr>
      <w:r>
        <w:rPr/>
        <w:t>No implementation evidence was examined; a well-written policy can still fail if logging is disabled, accounts are over-privileged or backups cannot be restored.</w:t>
      </w:r>
    </w:p>
    <w:p>
      <w:pPr>
        <w:pStyle w:val="ListBullet"/>
        <w:numPr>
          <w:ilvl w:val="0"/>
          <w:numId w:val="1"/>
        </w:numPr>
        <w:spacing w:before="0" w:after="40"/>
        <w:contextualSpacing/>
        <w:rPr/>
      </w:pPr>
      <w:r>
        <w:rPr/>
        <w:t>Accessibility and inclusive citizen communications need service-level acceptance tests in addition to general references to GIGW 3.0.</w:t>
      </w:r>
    </w:p>
    <w:p>
      <w:pPr>
        <w:pStyle w:val="Heading1"/>
        <w:rPr/>
      </w:pPr>
      <w:r>
        <w:rPr/>
        <w:t>5. Findings, Gap Register and Improvement Plan</w:t>
      </w:r>
    </w:p>
    <w:p>
      <w:pPr>
        <w:pStyle w:val="Normal"/>
        <w:rPr/>
      </w:pPr>
      <w:r>
        <w:rPr/>
        <w:t>The table below converts the self-audit into traceable work. Priority refers to the order for a hypothetical service; dates start from formal approval (Day 0), not from this report date.</w:t>
      </w:r>
    </w:p>
    <w:tbl>
      <w:tblPr>
        <w:tblStyle w:val="TableGrid"/>
        <w:tblW w:w="9996"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1666"/>
        <w:gridCol w:w="1665"/>
        <w:gridCol w:w="1667"/>
        <w:gridCol w:w="1666"/>
        <w:gridCol w:w="1665"/>
        <w:gridCol w:w="1667"/>
      </w:tblGrid>
      <w:tr>
        <w:trPr>
          <w:tblHeader w:val="true"/>
          <w:cantSplit/>
        </w:trPr>
        <w:tc>
          <w:tcPr>
            <w:tcW w:w="1666"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3"/>
                <w:szCs w:val="22"/>
                <w:lang w:val="en-US" w:eastAsia="en-US" w:bidi="ar-SA"/>
              </w:rPr>
              <w:t>ID / priority</w:t>
            </w:r>
          </w:p>
        </w:tc>
        <w:tc>
          <w:tcPr>
            <w:tcW w:w="1665"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3"/>
                <w:szCs w:val="22"/>
                <w:lang w:val="en-US" w:eastAsia="en-US" w:bidi="ar-SA"/>
              </w:rPr>
              <w:t>Finding / risk</w:t>
            </w:r>
          </w:p>
        </w:tc>
        <w:tc>
          <w:tcPr>
            <w:tcW w:w="166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3"/>
                <w:szCs w:val="22"/>
                <w:lang w:val="en-US" w:eastAsia="en-US" w:bidi="ar-SA"/>
              </w:rPr>
              <w:t>Required improvement</w:t>
            </w:r>
          </w:p>
        </w:tc>
        <w:tc>
          <w:tcPr>
            <w:tcW w:w="1666"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3"/>
                <w:szCs w:val="22"/>
                <w:lang w:val="en-US" w:eastAsia="en-US" w:bidi="ar-SA"/>
              </w:rPr>
              <w:t>Owner</w:t>
            </w:r>
          </w:p>
        </w:tc>
        <w:tc>
          <w:tcPr>
            <w:tcW w:w="1665"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3"/>
                <w:szCs w:val="22"/>
                <w:lang w:val="en-US" w:eastAsia="en-US" w:bidi="ar-SA"/>
              </w:rPr>
              <w:t>Target</w:t>
            </w:r>
          </w:p>
        </w:tc>
        <w:tc>
          <w:tcPr>
            <w:tcW w:w="166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3"/>
                <w:szCs w:val="22"/>
                <w:lang w:val="en-US" w:eastAsia="en-US" w:bidi="ar-SA"/>
              </w:rPr>
              <w:t>Closure evidence</w:t>
            </w:r>
          </w:p>
        </w:tc>
      </w:tr>
      <w:tr>
        <w:trPr>
          <w:cantSplit/>
        </w:trPr>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G-01 / Critical</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Policies are draft; approval and authority are absent.</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Approve policy charter, name delegates, establish risk acceptance thresholds and distribution/acknowledgement.</w:t>
            </w:r>
          </w:p>
        </w:tc>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Service Owner + Security Officer</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0–30 days</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Signed approval, RACI, policy repository/version record</w:t>
            </w:r>
          </w:p>
        </w:tc>
      </w:tr>
      <w:tr>
        <w:trPr>
          <w:cantSplit/>
        </w:trPr>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G-02 / Critical</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Asset and data inventory do not exist in evidence reviewed.</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Inventory public endpoints, APIs, datasets, systems, owners, providers and data flows.</w:t>
            </w:r>
          </w:p>
        </w:tc>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IT Ops + Data Owners</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0–45 days</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Reconciled inventory and data-flow map with owner sign-off</w:t>
            </w:r>
          </w:p>
        </w:tc>
      </w:tr>
      <w:tr>
        <w:trPr>
          <w:cantSplit/>
        </w:trPr>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G-03 / High</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Privacy and retention rules are generic.</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Create dataset-specific purposes, access, sharing, retention, deletion and legal-hold schedules; check DPDP phased commencement.</w:t>
            </w:r>
          </w:p>
        </w:tc>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Privacy/Legal + Records Owner</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0–60 days</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Approved record schedule and legal applicability tracker</w:t>
            </w:r>
          </w:p>
        </w:tc>
      </w:tr>
      <w:tr>
        <w:trPr>
          <w:cantSplit/>
        </w:trPr>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G-04 / High</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Access-control targets have not been validated against actual identity systems.</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Measure MFA coverage, privileged account use, orphaned accounts and joiner/leaver timeliness; fix gaps.</w:t>
            </w:r>
          </w:p>
        </w:tc>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IAM Lead</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0–60 days</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Identity report, sampled access approvals and access-review sign-off</w:t>
            </w:r>
          </w:p>
        </w:tc>
      </w:tr>
      <w:tr>
        <w:trPr>
          <w:cantSplit/>
        </w:trPr>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G-05 / High</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No evidence of vulnerability process execution.</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Baseline scan all in-scope assets, prioritise exposed/critical findings and verify remediation SLA.</w:t>
            </w:r>
          </w:p>
        </w:tc>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Vulnerability Manager</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0–45 days</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Signed scan scope, ticket links, retest evidence and exception log</w:t>
            </w:r>
          </w:p>
        </w:tc>
      </w:tr>
      <w:tr>
        <w:trPr>
          <w:cantSplit/>
        </w:trPr>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G-06 / High</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Logs and incident reporting readiness are unproven.</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Validate time sync, 180-day applicability, required log coverage, alert routing and CERT-In contact/escalation process.</w:t>
            </w:r>
          </w:p>
        </w:tc>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SOC Lead + Legal</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0–45 days</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Log-source coverage, retention screenshots/config, contact test and tabletop record</w:t>
            </w:r>
          </w:p>
        </w:tc>
      </w:tr>
      <w:tr>
        <w:trPr>
          <w:cantSplit/>
        </w:trPr>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G-07 / High</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Recovery targets have not been agreed or tested.</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Perform BIA, approve RTO/RPO and restore critical data/application from protected backups.</w:t>
            </w:r>
          </w:p>
        </w:tc>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BC/DR Lead</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0–90 days</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Approved BIA, restore-test and remediation reports</w:t>
            </w:r>
          </w:p>
        </w:tc>
      </w:tr>
      <w:tr>
        <w:trPr>
          <w:cantSplit/>
        </w:trPr>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G-08 / Medium</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Supplier clauses and vendor access have not been checked.</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Tier suppliers, review contract security schedules, restrict support access and document exit plans.</w:t>
            </w:r>
          </w:p>
        </w:tc>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Procurement + Security</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30–90 days</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Supplier register, sampled contracts, access logs and exit plan</w:t>
            </w:r>
          </w:p>
        </w:tc>
      </w:tr>
      <w:tr>
        <w:trPr>
          <w:cantSplit/>
        </w:trPr>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G-09 / Medium</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Policy enforcement and training reach are unmeasured.</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Launch acknowledgements, onboarding training and role-based exercises with completion/learning metrics.</w:t>
            </w:r>
          </w:p>
        </w:tc>
        <w:tc>
          <w:tcPr>
            <w:tcW w:w="1666"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HR + Security Awareness</w:t>
            </w:r>
          </w:p>
        </w:tc>
        <w:tc>
          <w:tcPr>
            <w:tcW w:w="1665"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30–90 days</w:t>
            </w:r>
          </w:p>
        </w:tc>
        <w:tc>
          <w:tcPr>
            <w:tcW w:w="166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Training dashboard and overdue follow-up actions</w:t>
            </w:r>
          </w:p>
        </w:tc>
      </w:tr>
      <w:tr>
        <w:trPr>
          <w:cantSplit/>
        </w:trPr>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G-10 / Medium</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Control assurance and exception governance may lack independence.</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Appoint assurance reviewer, create evidence repository, expiry alerts and quarterly management dashboard.</w:t>
            </w:r>
          </w:p>
        </w:tc>
        <w:tc>
          <w:tcPr>
            <w:tcW w:w="1666"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Internal Audit + Security Officer</w:t>
            </w:r>
          </w:p>
        </w:tc>
        <w:tc>
          <w:tcPr>
            <w:tcW w:w="1665"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30–120 days</w:t>
            </w:r>
          </w:p>
        </w:tc>
        <w:tc>
          <w:tcPr>
            <w:tcW w:w="166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3"/>
                <w:szCs w:val="22"/>
                <w:lang w:val="en-US" w:eastAsia="en-US" w:bidi="ar-SA"/>
              </w:rPr>
              <w:t>Audit plan, control register, exception alerts and management minutes</w:t>
            </w:r>
          </w:p>
        </w:tc>
      </w:tr>
    </w:tbl>
    <w:p>
      <w:pPr>
        <w:pStyle w:val="Normal"/>
        <w:spacing w:before="0" w:after="20"/>
        <w:rPr/>
      </w:pPr>
      <w:r>
        <w:rPr/>
      </w:r>
    </w:p>
    <w:p>
      <w:pPr>
        <w:pStyle w:val="Heading2"/>
        <w:rPr/>
      </w:pPr>
      <w:r>
        <w:rPr/>
        <w:t>5.1 Cross-policy consistency checks</w:t>
      </w:r>
    </w:p>
    <w:tbl>
      <w:tblPr>
        <w:tblStyle w:val="TableGrid"/>
        <w:tblW w:w="9994"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4997"/>
        <w:gridCol w:w="4997"/>
      </w:tblGrid>
      <w:tr>
        <w:trPr>
          <w:tblHeader w:val="true"/>
          <w:cantSplit/>
        </w:trPr>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Potential overlap</w:t>
            </w:r>
          </w:p>
        </w:tc>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Resolution rule</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Data retention vs security logs</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Policy 2 defines data minimisation and retention; Policy 8 defines security-log coverage. Legal/Records owner approves a schedule that meets applicable CERT-In or other mandatory retention while limiting unnecessary personal data.</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Incident response vs privacy/legal notification</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Policy 9 incident lead owns response timeline; Privacy/Legal lead determines legal notification recipients and deadlines; each duty is tracked separately in the incident log.</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Vendor incident vs department incident</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Supplier must notify the service contact immediately under contract; the department retains incident command and statutory reporting responsibility unless applicable rules explicitly state otherwise.</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Emergency change vs change control</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Policies 5 and 6 permit emergency action to preserve service, but require a ticket, rollback plan, evidence and retrospective review.</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Risk exception vs legal duty</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Policy 14 allows controlled risk acceptance only for discretionary internal controls; it does not waive a statute, government direction or contractual requirement.</w:t>
            </w:r>
          </w:p>
        </w:tc>
      </w:tr>
    </w:tbl>
    <w:p>
      <w:pPr>
        <w:pStyle w:val="Normal"/>
        <w:spacing w:before="0" w:after="20"/>
        <w:rPr/>
      </w:pPr>
      <w:r>
        <w:rPr/>
      </w:r>
    </w:p>
    <w:p>
      <w:pPr>
        <w:pStyle w:val="Heading1"/>
        <w:rPr/>
      </w:pPr>
      <w:r>
        <w:rPr/>
        <w:t>6. Implementation Roadmap and Measures</w:t>
      </w:r>
    </w:p>
    <w:tbl>
      <w:tblPr>
        <w:tblStyle w:val="TableGrid"/>
        <w:tblW w:w="9992"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2498"/>
        <w:gridCol w:w="2498"/>
        <w:gridCol w:w="2498"/>
        <w:gridCol w:w="2498"/>
      </w:tblGrid>
      <w:tr>
        <w:trPr>
          <w:tblHeader w:val="true"/>
          <w:cantSplit/>
        </w:trPr>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Period after approval</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Priority actions</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Accountable roles</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Success evidence</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Days 0–30: Establish</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Approve policy set; appoint owners; create exception and risk registers; confirm legal register and reporting contacts.</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Service Owner, Security Officer, Privacy/Legal</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Signed policies, RACI, initial risk register and contacts tested</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Days 31–60: Discover and protect</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Complete asset/data inventory; verify MFA and privileged accounts; baseline vulnerabilities; validate log retention/time sync.</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IT Ops, IAM, SOC, Data Owners</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Inventory signed off; MFA coverage; scan reports; log-source matrix</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Days 61–90: Prove core controls</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Close critical exposed findings; perform access reviews; restore backups; run incident tabletop; validate supplier access and clauses.</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System Owners, BC/DR Lead, Procurement</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Retests passed; restore record; exercise report; vendor corrective actions</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Months 4–6: Standardise</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Implement secure SDLC gates, security baselines, central evidence store, role-based training and privacy/retention schedules.</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App Owner, HR, Privacy, Security</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Pipeline evidence, baseline reports, training dashboard, schedules approved</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Months 7–12: Independently assure</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Perform internal/independent audit; test DR and incident playbooks; close repeat findings; review KPIs and revise policies.</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Internal Audit, Service Owner, Security</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Audit report, tracked corrective actions, management review and v1.1 update</w:t>
            </w:r>
          </w:p>
        </w:tc>
      </w:tr>
    </w:tbl>
    <w:p>
      <w:pPr>
        <w:pStyle w:val="Normal"/>
        <w:spacing w:before="0" w:after="20"/>
        <w:rPr/>
      </w:pPr>
      <w:r>
        <w:rPr/>
      </w:r>
    </w:p>
    <w:p>
      <w:pPr>
        <w:pStyle w:val="Heading2"/>
        <w:rPr/>
      </w:pPr>
      <w:r>
        <w:rPr/>
        <w:t>6.1 KPI dashboard proposal</w:t>
      </w:r>
    </w:p>
    <w:tbl>
      <w:tblPr>
        <w:tblStyle w:val="TableGrid"/>
        <w:tblW w:w="9992"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2498"/>
        <w:gridCol w:w="2498"/>
        <w:gridCol w:w="2498"/>
        <w:gridCol w:w="2498"/>
      </w:tblGrid>
      <w:tr>
        <w:trPr>
          <w:tblHeader w:val="true"/>
          <w:cantSplit/>
        </w:trPr>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Metric</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Definition / target proposal</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Frequency</w:t>
            </w:r>
          </w:p>
        </w:tc>
        <w:tc>
          <w:tcPr>
            <w:tcW w:w="2498"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5"/>
                <w:szCs w:val="22"/>
                <w:lang w:val="en-US" w:eastAsia="en-US" w:bidi="ar-SA"/>
              </w:rPr>
              <w:t>Owner</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MFA coverage</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100% of privileged and remote-access accounts; exceptions approved and expiring</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Monthly</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IAM Lead</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Critical vulnerability ageing</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100% triaged promptly; internet-facing critical findings patched or mitigated within approved target or exception</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Weekly / monthly roll-up</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Vulnerability Manager</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Access-review completion</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100% of privileged monthly reviews and sensitive quarterly reviews completed</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Monthly / quarterly</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System Owners</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Logging coverage</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All identified critical sources integrated or have a dated remediation plan</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Monthly</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SOC Lead</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Backup restoration</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All critical services meet approved RTO/RPO during scheduled restore tests</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Quarterly</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BC/DR Lead</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Incident response exercise</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At least one tabletop annually; high-severity actions have owners and due dates</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Annual</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Security Officer</w:t>
            </w:r>
          </w:p>
        </w:tc>
      </w:tr>
      <w:tr>
        <w:trPr>
          <w:cantSplit/>
        </w:trPr>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Training completion</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100% of personnel complete required training; overdue cases escalated</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Monthly</w:t>
            </w:r>
          </w:p>
        </w:tc>
        <w:tc>
          <w:tcPr>
            <w:tcW w:w="2498"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HR + Security</w:t>
            </w:r>
          </w:p>
        </w:tc>
      </w:tr>
      <w:tr>
        <w:trPr>
          <w:cantSplit/>
        </w:trPr>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Audit action closure</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High findings closed by due date or have approved time-bound exceptions</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Monthly</w:t>
            </w:r>
          </w:p>
        </w:tc>
        <w:tc>
          <w:tcPr>
            <w:tcW w:w="2498"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5"/>
                <w:szCs w:val="22"/>
                <w:lang w:val="en-US" w:eastAsia="en-US" w:bidi="ar-SA"/>
              </w:rPr>
              <w:t>Internal Audit / Control Owners</w:t>
            </w:r>
          </w:p>
        </w:tc>
      </w:tr>
    </w:tbl>
    <w:p>
      <w:pPr>
        <w:pStyle w:val="Normal"/>
        <w:spacing w:before="0" w:after="20"/>
        <w:rPr/>
      </w:pPr>
      <w:r>
        <w:rPr/>
      </w:r>
    </w:p>
    <w:tbl>
      <w:tblPr>
        <w:tblW w:w="9994" w:type="dxa"/>
        <w:jc w:val="center"/>
        <w:tblInd w:w="0" w:type="dxa"/>
        <w:tblLayout w:type="fixed"/>
        <w:tblCellMar>
          <w:top w:w="130" w:type="dxa"/>
          <w:start w:w="160" w:type="dxa"/>
          <w:bottom w:w="130" w:type="dxa"/>
          <w:end w:w="160" w:type="dxa"/>
        </w:tblCellMar>
        <w:tblLook w:noHBand="0" w:noVBand="1" w:firstColumn="1" w:lastRow="0" w:lastColumn="0" w:firstRow="1" w:val="04a0"/>
      </w:tblPr>
      <w:tblGrid>
        <w:gridCol w:w="9994"/>
      </w:tblGrid>
      <w:tr>
        <w:trPr>
          <w:cantSplit/>
        </w:trPr>
        <w:tc>
          <w:tcPr>
            <w:tcW w:w="9994" w:type="dxa"/>
            <w:tcBorders/>
            <w:shd w:fill="EAF2F8" w:val="clear"/>
          </w:tcPr>
          <w:p>
            <w:pPr>
              <w:pStyle w:val="Normal"/>
              <w:spacing w:before="0" w:after="40"/>
              <w:rPr/>
            </w:pPr>
            <w:r>
              <w:rPr>
                <w:b/>
                <w:color w:val="16324F"/>
              </w:rPr>
              <w:t xml:space="preserve">Measurement caution  </w:t>
            </w:r>
            <w:r>
              <w:rPr/>
              <w:t>Targets above are proposed internal management targets, not universal statutory thresholds. Adjust them to risk appetite, service criticality and current law; retain the legal deadline separately wherever one applies.</w:t>
            </w:r>
          </w:p>
        </w:tc>
      </w:tr>
    </w:tbl>
    <w:p>
      <w:pPr>
        <w:pStyle w:val="Normal"/>
        <w:spacing w:before="0" w:after="20"/>
        <w:rPr/>
      </w:pPr>
      <w:r>
        <w:rPr/>
      </w:r>
    </w:p>
    <w:p>
      <w:pPr>
        <w:pStyle w:val="Heading1"/>
        <w:rPr/>
      </w:pPr>
      <w:r>
        <w:rPr/>
        <w:t>7. Operational Templates</w:t>
      </w:r>
    </w:p>
    <w:p>
      <w:pPr>
        <w:pStyle w:val="Heading2"/>
        <w:rPr/>
      </w:pPr>
      <w:r>
        <w:rPr/>
        <w:t>7.1 Policy exception request</w:t>
      </w:r>
    </w:p>
    <w:tbl>
      <w:tblPr>
        <w:tblStyle w:val="TableGrid"/>
        <w:tblW w:w="9994"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4997"/>
        <w:gridCol w:w="4997"/>
      </w:tblGrid>
      <w:tr>
        <w:trPr>
          <w:tblHeader w:val="true"/>
          <w:cantSplit/>
        </w:trPr>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Field</w:t>
            </w:r>
          </w:p>
        </w:tc>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Required information</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Exception ID / request date</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Unique number and date raised</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Policy and requirement</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Policy ID, paragraph/control, and exact requirement proposed for deviation</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Reason and scope</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Business need, affected system/data/users, duration and why compliant alternatives are unsuitable</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Risk and impact</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Threat scenario, likelihood/impact, citizen/service implications and residual risk</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Compensating controls</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Specific safeguards, monitoring and who checks that they operate</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Approval and expiry</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System owner, Security Officer and risk approver; expiry date and remediation owner</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Closure</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Evidence that the exception was removed, renewed with rationale or accepted at higher authority</w:t>
            </w:r>
          </w:p>
        </w:tc>
      </w:tr>
    </w:tbl>
    <w:p>
      <w:pPr>
        <w:pStyle w:val="Normal"/>
        <w:spacing w:before="0" w:after="20"/>
        <w:rPr/>
      </w:pPr>
      <w:r>
        <w:rPr/>
      </w:r>
    </w:p>
    <w:p>
      <w:pPr>
        <w:pStyle w:val="Heading2"/>
        <w:rPr/>
      </w:pPr>
      <w:r>
        <w:rPr/>
        <w:t>7.2 Control evidence record</w:t>
      </w:r>
    </w:p>
    <w:tbl>
      <w:tblPr>
        <w:tblStyle w:val="TableGrid"/>
        <w:tblW w:w="9994" w:type="dxa"/>
        <w:jc w:val="center"/>
        <w:tblInd w:w="0" w:type="dxa"/>
        <w:tblLayout w:type="fixed"/>
        <w:tblCellMar>
          <w:top w:w="80" w:type="dxa"/>
          <w:start w:w="95" w:type="dxa"/>
          <w:bottom w:w="80" w:type="dxa"/>
          <w:end w:w="95" w:type="dxa"/>
        </w:tblCellMar>
        <w:tblLook w:noHBand="0" w:noVBand="1" w:firstColumn="1" w:lastRow="0" w:lastColumn="0" w:firstRow="1" w:val="04a0"/>
      </w:tblPr>
      <w:tblGrid>
        <w:gridCol w:w="4997"/>
        <w:gridCol w:w="4997"/>
      </w:tblGrid>
      <w:tr>
        <w:trPr>
          <w:tblHeader w:val="true"/>
          <w:cantSplit/>
        </w:trPr>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Field</w:t>
            </w:r>
          </w:p>
        </w:tc>
        <w:tc>
          <w:tcPr>
            <w:tcW w:w="4997" w:type="dxa"/>
            <w:tcBorders/>
            <w:shd w:fill="16324F"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6"/>
                <w:szCs w:val="22"/>
                <w:lang w:val="en-US" w:eastAsia="en-US" w:bidi="ar-SA"/>
              </w:rPr>
              <w:t>Example / guidance</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Control ID</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P-03 / IAM-02: privileged account MFA</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Control owner and system</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Named role and system covered</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Test frequency</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Monthly, quarterly or after change</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Evidence reference</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Ticket, report, configuration export, log query or sample record; avoid storing secrets in the evidence index</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Test performed / result</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Date, reviewer, sample population, pass/fail and exceptions</w:t>
            </w:r>
          </w:p>
        </w:tc>
      </w:tr>
      <w:tr>
        <w:trPr>
          <w:cantSplit/>
        </w:trPr>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Finding / due date</w:t>
            </w:r>
          </w:p>
        </w:tc>
        <w:tc>
          <w:tcPr>
            <w:tcW w:w="4997" w:type="dxa"/>
            <w:tcBorders/>
            <w:shd w:fill="F3F7FA"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Severity, remediation owner, target date and retest criteria</w:t>
            </w:r>
          </w:p>
        </w:tc>
      </w:tr>
      <w:tr>
        <w:trPr>
          <w:cantSplit/>
        </w:trPr>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Reviewer / approval</w:t>
            </w:r>
          </w:p>
        </w:tc>
        <w:tc>
          <w:tcPr>
            <w:tcW w:w="4997"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6"/>
                <w:szCs w:val="22"/>
                <w:lang w:val="en-US" w:eastAsia="en-US" w:bidi="ar-SA"/>
              </w:rPr>
              <w:t>Control owner and independent reviewer where risk warrants</w:t>
            </w:r>
          </w:p>
        </w:tc>
      </w:tr>
    </w:tbl>
    <w:p>
      <w:pPr>
        <w:pStyle w:val="Normal"/>
        <w:spacing w:before="0" w:after="20"/>
        <w:rPr/>
      </w:pPr>
      <w:r>
        <w:rPr/>
      </w:r>
    </w:p>
    <w:p>
      <w:pPr>
        <w:pStyle w:val="Heading2"/>
        <w:rPr/>
      </w:pPr>
      <w:r>
        <w:rPr/>
        <w:t>7.3 Suggested policy review checklist</w:t>
      </w:r>
    </w:p>
    <w:p>
      <w:pPr>
        <w:pStyle w:val="ListBullet"/>
        <w:numPr>
          <w:ilvl w:val="0"/>
          <w:numId w:val="1"/>
        </w:numPr>
        <w:spacing w:before="0" w:after="40"/>
        <w:contextualSpacing/>
        <w:rPr/>
      </w:pPr>
      <w:r>
        <w:rPr/>
        <w:t>Has the service architecture, data inventory, supplier model or threat landscape changed?</w:t>
      </w:r>
    </w:p>
    <w:p>
      <w:pPr>
        <w:pStyle w:val="ListBullet"/>
        <w:numPr>
          <w:ilvl w:val="0"/>
          <w:numId w:val="1"/>
        </w:numPr>
        <w:spacing w:before="0" w:after="40"/>
        <w:contextualSpacing/>
        <w:rPr/>
      </w:pPr>
      <w:r>
        <w:rPr/>
        <w:t>Have laws, CERT-In directions/FAQs, government guidance or contract obligations changed?</w:t>
      </w:r>
    </w:p>
    <w:p>
      <w:pPr>
        <w:pStyle w:val="ListBullet"/>
        <w:numPr>
          <w:ilvl w:val="0"/>
          <w:numId w:val="1"/>
        </w:numPr>
        <w:spacing w:before="0" w:after="40"/>
        <w:contextualSpacing/>
        <w:rPr/>
      </w:pPr>
      <w:r>
        <w:rPr/>
        <w:t>Are policy owners and escalation contacts still valid?</w:t>
      </w:r>
    </w:p>
    <w:p>
      <w:pPr>
        <w:pStyle w:val="ListBullet"/>
        <w:numPr>
          <w:ilvl w:val="0"/>
          <w:numId w:val="1"/>
        </w:numPr>
        <w:spacing w:before="0" w:after="40"/>
        <w:contextualSpacing/>
        <w:rPr/>
      </w:pPr>
      <w:r>
        <w:rPr/>
        <w:t>Do audit results and incidents show recurring control failures?</w:t>
      </w:r>
    </w:p>
    <w:p>
      <w:pPr>
        <w:pStyle w:val="ListBullet"/>
        <w:numPr>
          <w:ilvl w:val="0"/>
          <w:numId w:val="1"/>
        </w:numPr>
        <w:spacing w:before="0" w:after="40"/>
        <w:contextualSpacing/>
        <w:rPr/>
      </w:pPr>
      <w:r>
        <w:rPr/>
        <w:t>Are deadlines, evidence requirements and exception limits still practical and risk-based?</w:t>
      </w:r>
    </w:p>
    <w:p>
      <w:pPr>
        <w:pStyle w:val="ListBullet"/>
        <w:numPr>
          <w:ilvl w:val="0"/>
          <w:numId w:val="1"/>
        </w:numPr>
        <w:spacing w:before="0" w:after="40"/>
        <w:contextualSpacing/>
        <w:rPr/>
      </w:pPr>
      <w:r>
        <w:rPr/>
        <w:t>Have changes been approved, communicated, versioned and acknowledged by affected personnel?</w:t>
      </w:r>
    </w:p>
    <w:p>
      <w:pPr>
        <w:pStyle w:val="Heading1"/>
        <w:rPr/>
      </w:pPr>
      <w:r>
        <w:rPr/>
        <w:t>8. Conclusion</w:t>
      </w:r>
    </w:p>
    <w:p>
      <w:pPr>
        <w:pStyle w:val="Normal"/>
        <w:rPr/>
      </w:pPr>
      <w:r>
        <w:rPr/>
        <w:t>This policy pack establishes a workable baseline across governance, technical controls, privacy, people, suppliers and assurance. Its principal strength is that it connects written requirements to accountable owners and evidence. Its key limitation is that a hypothetical document cannot establish operational compliance. The next stage is to secure formal approval, validate the legal register and actual architecture, customise data-retention and recovery schedules, implement controls and obtain independent evidence that they work.</w:t>
      </w:r>
    </w:p>
    <w:p>
      <w:pPr>
        <w:pStyle w:val="Normal"/>
        <w:rPr/>
      </w:pPr>
      <w:r>
        <w:rPr/>
        <w:t>The recommended first 90 days should focus on governance, asset/data discovery, identity protection, critical vulnerabilities, logging/reporting readiness, backup restoration and supplier exposure. After these basics are verified, the organisation can mature secure development, training, audit coverage and continuous improvement. This makes the policy pack measurable and more useful to a real e-governance service.</w:t>
      </w:r>
    </w:p>
    <w:p>
      <w:pPr>
        <w:pStyle w:val="Heading1"/>
        <w:rPr/>
      </w:pPr>
      <w:r>
        <w:rPr/>
        <w:t>References and Official Resources</w:t>
      </w:r>
    </w:p>
    <w:p>
      <w:pPr>
        <w:pStyle w:val="Normal"/>
        <w:spacing w:before="0" w:after="80"/>
        <w:rPr/>
      </w:pPr>
      <w:r>
        <w:rPr>
          <w:b/>
          <w:sz w:val="16"/>
        </w:rPr>
        <w:t xml:space="preserve">[R1] Guidelines for Indian Government Websites and Apps (GIGW 3.0), official portal and scope. </w:t>
      </w:r>
      <w:r>
        <w:rPr>
          <w:color w:val="245A7A"/>
          <w:sz w:val="16"/>
        </w:rPr>
        <w:t>https://guidelines.india.gov.in/</w:t>
      </w:r>
    </w:p>
    <w:p>
      <w:pPr>
        <w:pStyle w:val="Normal"/>
        <w:spacing w:before="0" w:after="80"/>
        <w:rPr/>
      </w:pPr>
      <w:r>
        <w:rPr>
          <w:b/>
          <w:sz w:val="16"/>
        </w:rPr>
        <w:t xml:space="preserve">[R2] CERT-In, Directions under Section 70B of the Information Technology Act, 2000 (28 April 2022). </w:t>
      </w:r>
      <w:r>
        <w:rPr>
          <w:color w:val="245A7A"/>
          <w:sz w:val="16"/>
        </w:rPr>
        <w:t>https://www.cert-in.org.in/Directions70B.jsp</w:t>
      </w:r>
    </w:p>
    <w:p>
      <w:pPr>
        <w:pStyle w:val="Normal"/>
        <w:spacing w:before="0" w:after="80"/>
        <w:rPr/>
      </w:pPr>
      <w:r>
        <w:rPr>
          <w:b/>
          <w:sz w:val="16"/>
        </w:rPr>
        <w:t xml:space="preserve">[R3] CERT-In, FAQs on Cyber Security Directions of 28 April 2022 (official PDF). </w:t>
      </w:r>
      <w:r>
        <w:rPr>
          <w:color w:val="245A7A"/>
          <w:sz w:val="16"/>
        </w:rPr>
        <w:t>https://www.cert-in.org.in/PDF/FAQs_on_CyberSecurityDirections_May2022.pdf</w:t>
      </w:r>
    </w:p>
    <w:p>
      <w:pPr>
        <w:pStyle w:val="Normal"/>
        <w:spacing w:before="0" w:after="80"/>
        <w:rPr/>
      </w:pPr>
      <w:r>
        <w:rPr>
          <w:b/>
          <w:sz w:val="16"/>
        </w:rPr>
        <w:t xml:space="preserve">[R4] MeitY, Digital Personal Data Protection Rules, 2025 and enforcement timeline page. </w:t>
      </w:r>
      <w:r>
        <w:rPr>
          <w:color w:val="245A7A"/>
          <w:sz w:val="16"/>
        </w:rPr>
        <w:t>https://www.meity.gov.in/documents/act-and-policies/digital-personal-data-protection-rules-2025-gDOxUjMtQWa</w:t>
      </w:r>
    </w:p>
    <w:p>
      <w:pPr>
        <w:pStyle w:val="Normal"/>
        <w:spacing w:before="0" w:after="80"/>
        <w:rPr/>
      </w:pPr>
      <w:r>
        <w:rPr>
          <w:b/>
          <w:sz w:val="16"/>
        </w:rPr>
        <w:t xml:space="preserve">[R5] Gazette of India, Notification on phased commencement of the DPDP Act, 13 November 2025 (G.S.R. 843(E)). </w:t>
      </w:r>
      <w:r>
        <w:rPr>
          <w:color w:val="245A7A"/>
          <w:sz w:val="16"/>
        </w:rPr>
        <w:t>https://www.meity.gov.in/static/uploads/2025/11/c56ceae6c383460ca69577428d36828b.pdf</w:t>
      </w:r>
    </w:p>
    <w:p>
      <w:pPr>
        <w:pStyle w:val="Normal"/>
        <w:spacing w:before="0" w:after="80"/>
        <w:rPr/>
      </w:pPr>
      <w:r>
        <w:rPr>
          <w:b/>
          <w:sz w:val="16"/>
        </w:rPr>
        <w:t xml:space="preserve">[R6] India Code, Information Technology Act, 2000. </w:t>
      </w:r>
      <w:r>
        <w:rPr>
          <w:color w:val="245A7A"/>
          <w:sz w:val="16"/>
        </w:rPr>
        <w:t>https://www.indiacode.nic.in/indiacode/handle/123456789/1999?locale=en</w:t>
      </w:r>
    </w:p>
    <w:p>
      <w:pPr>
        <w:pStyle w:val="Normal"/>
        <w:spacing w:before="0" w:after="80"/>
        <w:rPr/>
      </w:pPr>
      <w:r>
        <w:rPr>
          <w:b/>
          <w:sz w:val="16"/>
        </w:rPr>
        <w:t xml:space="preserve">[R7] NIST Cybersecurity Framework (CSF) 2.0. </w:t>
      </w:r>
      <w:r>
        <w:rPr>
          <w:color w:val="245A7A"/>
          <w:sz w:val="16"/>
        </w:rPr>
        <w:t>https://www.nist.gov/cyberframework</w:t>
      </w:r>
    </w:p>
    <w:p>
      <w:pPr>
        <w:pStyle w:val="Normal"/>
        <w:spacing w:before="0" w:after="80"/>
        <w:rPr/>
      </w:pPr>
      <w:r>
        <w:rPr>
          <w:b/>
          <w:sz w:val="16"/>
        </w:rPr>
        <w:t xml:space="preserve">[R8] ISO/IEC 27001:2022, Information security management systems — Requirements. </w:t>
      </w:r>
      <w:r>
        <w:rPr>
          <w:color w:val="245A7A"/>
          <w:sz w:val="16"/>
        </w:rPr>
        <w:t>https://committee.iso.org/standard/27001</w:t>
      </w:r>
    </w:p>
    <w:p>
      <w:pPr>
        <w:pStyle w:val="Normal"/>
        <w:spacing w:before="0" w:after="80"/>
        <w:rPr/>
      </w:pPr>
      <w:r>
        <w:rPr>
          <w:b/>
          <w:sz w:val="16"/>
        </w:rPr>
        <w:t xml:space="preserve">[R9] OWASP Top 10:2025 — current web application security risk awareness document. </w:t>
      </w:r>
      <w:r>
        <w:rPr>
          <w:color w:val="245A7A"/>
          <w:sz w:val="16"/>
        </w:rPr>
        <w:t>https://owasp.org/projects/top-ten</w:t>
      </w:r>
    </w:p>
    <w:p>
      <w:pPr>
        <w:pStyle w:val="Normal"/>
        <w:spacing w:before="0" w:after="80"/>
        <w:rPr/>
      </w:pPr>
      <w:r>
        <w:rPr>
          <w:b/>
          <w:sz w:val="16"/>
        </w:rPr>
        <w:t xml:space="preserve">[R10] MeitY, Explanatory Note to Digital Personal Data Protection Rules, 2025. </w:t>
      </w:r>
      <w:r>
        <w:rPr>
          <w:color w:val="245A7A"/>
          <w:sz w:val="16"/>
        </w:rPr>
        <w:t>https://www.meity.gov.in/writereaddata/files/Explanatory-Note-DPDP-Rules-2025.pdf</w:t>
      </w:r>
    </w:p>
    <w:p>
      <w:pPr>
        <w:pStyle w:val="SmallNote"/>
        <w:widowControl/>
        <w:bidi w:val="0"/>
        <w:spacing w:lineRule="auto" w:line="276" w:before="0" w:after="80"/>
        <w:jc w:val="start"/>
        <w:rPr/>
      </w:pPr>
      <w:r>
        <w:rPr/>
        <w:t>Reference review date: 26 October 2026. Confirm that linked official materials and applicable legal commencement provisions remain current before any real-world adoption.</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23" w:right="1123" w:gutter="0" w:header="432" w:top="979" w:footer="432"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66573"/>
        <w:sz w:val="16"/>
      </w:rPr>
      <w:t>Academic assessment document  •  Version 1.0  •  2</w:t>
    </w:r>
    <w:r>
      <w:rPr>
        <w:color w:val="566573"/>
        <w:sz w:val="16"/>
      </w:rPr>
      <w:t>8</w:t>
    </w:r>
    <w:r>
      <w:rPr>
        <w:color w:val="566573"/>
        <w:sz w:val="16"/>
      </w:rPr>
      <w:t xml:space="preserve"> October 2026  |  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66573"/>
        <w:sz w:val="16"/>
      </w:rPr>
      <w:t>Academic assessment document  •  Version 1.0  •  2</w:t>
    </w:r>
    <w:r>
      <w:rPr>
        <w:color w:val="566573"/>
        <w:sz w:val="16"/>
      </w:rPr>
      <w:t>8</w:t>
    </w:r>
    <w:r>
      <w:rPr>
        <w:color w:val="566573"/>
        <w:sz w:val="16"/>
      </w:rPr>
      <w:t xml:space="preserve"> October 2026  |  Page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80"/>
      <w:jc w:val="end"/>
      <w:rPr/>
    </w:pPr>
    <w:r>
      <w:rPr>
        <w:b/>
        <w:color w:val="2C7A7B"/>
        <w:sz w:val="15"/>
      </w:rPr>
      <w:t>E-GOVERNANCE CYBERSECURITY  |  WEEK 5 POLICY PACK &amp; SELF-AUDIT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80"/>
      <w:jc w:val="end"/>
      <w:rPr/>
    </w:pPr>
    <w:r>
      <w:rPr>
        <w:b/>
        <w:color w:val="2C7A7B"/>
        <w:sz w:val="15"/>
      </w:rPr>
      <w:t>E-GOVERNANCE CYBERSECURITY  |  WEEK 5 POLICY PACK &amp; SELF-AUDIT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80"/>
      <w:jc w:val="start"/>
    </w:pPr>
    <w:rPr>
      <w:rFonts w:ascii="Aptos" w:hAnsi="Aptos" w:eastAsia="ＭＳ 明朝" w:cs=""/>
      <w:color w:val="243746"/>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6324F"/>
      <w:sz w:val="40"/>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45A7A"/>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C7A7B"/>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00"/>
      <w:contextualSpacing/>
    </w:pPr>
    <w:rPr>
      <w:rFonts w:ascii="Calibri" w:hAnsi="Calibri" w:eastAsia="ＭＳ ゴシック" w:cs="" w:asciiTheme="majorHAnsi" w:cstheme="majorBidi" w:eastAsiaTheme="majorEastAsia" w:hAnsiTheme="majorHAnsi"/>
      <w:b/>
      <w:color w:val="16324F"/>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80"/>
      <w:ind w:hanging="360" w:start="720"/>
      <w:contextualSpacing/>
    </w:pPr>
    <w:rPr/>
  </w:style>
  <w:style w:type="paragraph" w:styleId="List3">
    <w:name w:val="List 3"/>
    <w:basedOn w:val="Normal"/>
    <w:uiPriority w:val="99"/>
    <w:unhideWhenUsed/>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Note" w:customStyle="1">
    <w:name w:val="Small Note"/>
    <w:pPr>
      <w:widowControl/>
      <w:bidi w:val="0"/>
      <w:spacing w:lineRule="auto" w:line="276" w:before="0" w:after="80"/>
      <w:jc w:val="start"/>
    </w:pPr>
    <w:rPr>
      <w:rFonts w:ascii="Aptos" w:hAnsi="Aptos" w:eastAsia="ＭＳ 明朝" w:cs=""/>
      <w:i/>
      <w:color w:val="566573"/>
      <w:kern w:val="0"/>
      <w:sz w:val="16"/>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LibreOffice/26.8.0.3$Linux_X86_64 LibreOffice_project/680$Build-3</Application>
  <AppVersion>15.0000</AppVersion>
  <Pages>22</Pages>
  <Words>6615</Words>
  <Characters>43538</Characters>
  <CharactersWithSpaces>49331</CharactersWithSpaces>
  <Paragraphs>707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Ritesh Kumawat</dc:creator>
  <dc:description>generated by python-docx</dc:description>
  <cp:keywords>E-Governance Cybersecurity Policy Self-Audit NIST CSF 2.0 CERT-In GIGW 3.0</cp:keywords>
  <dc:language>en-IN</dc:language>
  <cp:lastModifiedBy/>
  <dcterms:modified xsi:type="dcterms:W3CDTF">2026-10-28T10:03:52Z</dcterms:modified>
  <cp:revision>2</cp:revision>
  <dc:subject>Cybersecurity policy pack and self-audit for hypothetical e-governance digital services</dc:subject>
  <dc:title>Week 5 Cybersecurity Policies and Self-Audit for E-Governance</dc:title>
</cp:coreProperties>
</file>

<file path=docProps/custom.xml><?xml version="1.0" encoding="utf-8"?>
<Properties xmlns="http://schemas.openxmlformats.org/officeDocument/2006/custom-properties" xmlns:vt="http://schemas.openxmlformats.org/officeDocument/2006/docPropsVTypes"/>
</file>