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b/>
          <w:color w:val="178F8A"/>
          <w:sz w:val="20"/>
        </w:rPr>
        <w:t>WEEK 2  |  CYBERSECURITY INTERNSHIP REPORT</w:t>
      </w:r>
    </w:p>
    <w:p>
      <w:pPr>
        <w:pStyle w:val="Title"/>
        <w:spacing w:before="240" w:after="120"/>
      </w:pPr>
      <w:r>
        <w:t>Security Tool Analysis</w:t>
        <w:br/>
        <w:t>and Integration for</w:t>
        <w:br/>
        <w:t>Digital Services</w:t>
      </w:r>
    </w:p>
    <w:p>
      <w:pPr>
        <w:pStyle w:val="Subtitle"/>
        <w:spacing w:after="360"/>
      </w:pPr>
      <w:r>
        <w:t>A practical, risk-based tool integration plan for Indian e-governance services</w:t>
      </w:r>
    </w:p>
    <w:tbl>
      <w:tblPr>
        <w:tblW w:type="auto" w:w="0"/>
        <w:tblLook w:firstColumn="1" w:firstRow="1" w:lastColumn="0" w:lastRow="0" w:noHBand="0" w:noVBand="1" w:val="04A0"/>
      </w:tblPr>
      <w:tblGrid>
        <w:gridCol w:w="10166"/>
      </w:tblGrid>
      <w:tr>
        <w:trPr>
          <w:trHeight w:val="101"/>
        </w:trPr>
        <w:tc>
          <w:tcPr>
            <w:tcW w:type="dxa" w:w="10166"/>
            <w:shd w:fill="178F8A"/>
          </w:tcPr>
          <w:p>
            <w:r/>
          </w:p>
        </w:tc>
      </w:tr>
    </w:tbl>
    <w:p/>
    <w:p>
      <w:pPr>
        <w:spacing w:after="140"/>
      </w:pPr>
      <w:r>
        <w:rPr>
          <w:b/>
          <w:color w:val="142B4A"/>
        </w:rPr>
        <w:t xml:space="preserve">Report type  </w:t>
      </w:r>
      <w:r>
        <w:t>Tool evaluation and integration strategy</w:t>
      </w:r>
    </w:p>
    <w:p>
      <w:pPr>
        <w:spacing w:after="140"/>
      </w:pPr>
      <w:r>
        <w:rPr>
          <w:b/>
          <w:color w:val="142B4A"/>
        </w:rPr>
        <w:t xml:space="preserve">Primary audience  </w:t>
      </w:r>
      <w:r>
        <w:t>Government IT teams, security operations, application owners and programme managers</w:t>
      </w:r>
    </w:p>
    <w:p>
      <w:pPr>
        <w:spacing w:after="140"/>
      </w:pPr>
      <w:r>
        <w:rPr>
          <w:b/>
          <w:color w:val="142B4A"/>
        </w:rPr>
        <w:t xml:space="preserve">Tools evaluated  </w:t>
      </w:r>
      <w:r>
        <w:t>Wazuh • Suricata • Greenbone Community Edition / OpenVAS</w:t>
      </w:r>
    </w:p>
    <w:p>
      <w:pPr>
        <w:spacing w:after="140"/>
      </w:pPr>
      <w:r>
        <w:rPr>
          <w:b/>
          <w:color w:val="142B4A"/>
        </w:rPr>
        <w:t xml:space="preserve">Reference date  </w:t>
      </w:r>
      <w:r>
        <w:t>20 October 2026</w:t>
      </w:r>
    </w:p>
    <w:p>
      <w:pPr>
        <w:spacing w:after="140"/>
      </w:pPr>
      <w:r>
        <w:rPr>
          <w:b/>
          <w:color w:val="142B4A"/>
        </w:rPr>
        <w:t xml:space="preserve">Method  </w:t>
      </w:r>
      <w:r>
        <w:t>Public documentation review and qualitative implementation assessment</w:t>
      </w:r>
    </w:p>
    <w:p/>
    <w:p/>
    <w:p/>
    <w:tbl>
      <w:tblPr>
        <w:tblW w:type="auto" w:w="0"/>
        <w:tblLook w:firstColumn="1" w:firstRow="1" w:lastColumn="0" w:lastRow="0" w:noHBand="0" w:noVBand="1" w:val="04A0"/>
      </w:tblPr>
      <w:tblGrid>
        <w:gridCol w:w="10166"/>
      </w:tblGrid>
      <w:tr>
        <w:trPr>
          <w:cantSplit/>
        </w:trPr>
        <w:tc>
          <w:tcPr>
            <w:tcW w:type="dxa" w:w="10166"/>
            <w:shd w:fill="F4F7FA"/>
            <w:tcMar>
              <w:top w:w="130" w:type="dxa"/>
              <w:start w:w="160" w:type="dxa"/>
              <w:bottom w:w="130" w:type="dxa"/>
              <w:end w:w="160" w:type="dxa"/>
            </w:tcMar>
          </w:tcPr>
          <w:p>
            <w:pPr>
              <w:spacing w:after="60"/>
            </w:pPr>
            <w:r>
              <w:rPr>
                <w:b/>
                <w:color w:val="142B4A"/>
                <w:sz w:val="20"/>
              </w:rPr>
              <w:t>Report status and assumptions</w:t>
            </w:r>
          </w:p>
          <w:p>
            <w:pPr>
              <w:spacing w:after="0" w:line="252" w:lineRule="auto"/>
            </w:pPr>
            <w:r>
              <w:rPr>
                <w:sz w:val="18"/>
              </w:rPr>
              <w:t>This is a strategic assessment for a representative government digital service, not a penetration test, procurement decision, or audit of a real department. Capability scores, schedules, staffing and cost bands are planning estimates and must be validated against the target environment.</w:t>
            </w:r>
          </w:p>
        </w:tc>
      </w:tr>
    </w:tbl>
    <w:p>
      <w:pPr>
        <w:spacing w:after="20"/>
      </w:pPr>
    </w:p>
    <w:p>
      <w:r>
        <w:br w:type="page"/>
      </w:r>
    </w:p>
    <w:p>
      <w:pPr>
        <w:pStyle w:val="Heading1"/>
        <w:keepNext/>
      </w:pPr>
      <w:r>
        <w:t>Document map</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5083"/>
        <w:gridCol w:w="5083"/>
      </w:tblGrid>
      <w:tr>
        <w:trPr>
          <w:cantSplit/>
          <w:tblHeader w:val="true"/>
        </w:trPr>
        <w:tc>
          <w:tcPr>
            <w:tcW w:type="dxa" w:w="3384"/>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Section</w:t>
            </w:r>
          </w:p>
        </w:tc>
        <w:tc>
          <w:tcPr>
            <w:tcW w:type="dxa" w:w="7056"/>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Contents</w:t>
            </w:r>
          </w:p>
        </w:tc>
      </w:tr>
      <w:tr>
        <w:trPr>
          <w:cantSplit/>
        </w:trPr>
        <w:tc>
          <w:tcPr>
            <w:tcW w:type="dxa" w:w="3384"/>
            <w:vAlign w:val="center"/>
            <w:tcMar>
              <w:top w:w="70" w:type="dxa"/>
              <w:start w:w="85" w:type="dxa"/>
              <w:bottom w:w="70" w:type="dxa"/>
              <w:end w:w="85" w:type="dxa"/>
            </w:tcMar>
          </w:tcPr>
          <w:p>
            <w:pPr>
              <w:spacing w:after="20" w:before="0" w:line="240" w:lineRule="auto"/>
            </w:pPr>
            <w:r>
              <w:rPr>
                <w:rFonts w:ascii="Aptos" w:hAnsi="Aptos"/>
                <w:sz w:val="17"/>
              </w:rPr>
              <w:t>Executive summary</w:t>
            </w:r>
          </w:p>
        </w:tc>
        <w:tc>
          <w:tcPr>
            <w:tcW w:type="dxa" w:w="7056"/>
            <w:vAlign w:val="center"/>
            <w:tcMar>
              <w:top w:w="70" w:type="dxa"/>
              <w:start w:w="85" w:type="dxa"/>
              <w:bottom w:w="70" w:type="dxa"/>
              <w:end w:w="85" w:type="dxa"/>
            </w:tcMar>
          </w:tcPr>
          <w:p>
            <w:pPr>
              <w:spacing w:after="20" w:before="0" w:line="240" w:lineRule="auto"/>
            </w:pPr>
            <w:r>
              <w:rPr>
                <w:rFonts w:ascii="Aptos" w:hAnsi="Aptos"/>
                <w:sz w:val="17"/>
              </w:rPr>
              <w:t>Recommended tool combination and key decisions</w:t>
            </w:r>
          </w:p>
        </w:tc>
      </w:tr>
      <w:tr>
        <w:trPr>
          <w:cantSplit/>
        </w:trPr>
        <w:tc>
          <w:tcPr>
            <w:tcW w:type="dxa" w:w="3384"/>
            <w:vAlign w:val="center"/>
            <w:tcMar>
              <w:top w:w="70" w:type="dxa"/>
              <w:start w:w="85" w:type="dxa"/>
              <w:bottom w:w="70" w:type="dxa"/>
              <w:end w:w="85" w:type="dxa"/>
            </w:tcMar>
            <w:shd w:fill="F4F7FA"/>
          </w:tcPr>
          <w:p>
            <w:pPr>
              <w:spacing w:after="20" w:before="0" w:line="240" w:lineRule="auto"/>
            </w:pPr>
            <w:r>
              <w:rPr>
                <w:rFonts w:ascii="Aptos" w:hAnsi="Aptos"/>
                <w:sz w:val="17"/>
              </w:rPr>
              <w:t>1. Context, objectives and scope</w:t>
            </w:r>
          </w:p>
        </w:tc>
        <w:tc>
          <w:tcPr>
            <w:tcW w:type="dxa" w:w="7056"/>
            <w:vAlign w:val="center"/>
            <w:tcMar>
              <w:top w:w="70" w:type="dxa"/>
              <w:start w:w="85" w:type="dxa"/>
              <w:bottom w:w="70" w:type="dxa"/>
              <w:end w:w="85" w:type="dxa"/>
            </w:tcMar>
            <w:shd w:fill="F4F7FA"/>
          </w:tcPr>
          <w:p>
            <w:pPr>
              <w:spacing w:after="20" w:before="0" w:line="240" w:lineRule="auto"/>
            </w:pPr>
            <w:r>
              <w:rPr>
                <w:rFonts w:ascii="Aptos" w:hAnsi="Aptos"/>
                <w:sz w:val="17"/>
              </w:rPr>
              <w:t>Digital-service security needs and assumptions</w:t>
            </w:r>
          </w:p>
        </w:tc>
      </w:tr>
      <w:tr>
        <w:trPr>
          <w:cantSplit/>
        </w:trPr>
        <w:tc>
          <w:tcPr>
            <w:tcW w:type="dxa" w:w="3384"/>
            <w:vAlign w:val="center"/>
            <w:tcMar>
              <w:top w:w="70" w:type="dxa"/>
              <w:start w:w="85" w:type="dxa"/>
              <w:bottom w:w="70" w:type="dxa"/>
              <w:end w:w="85" w:type="dxa"/>
            </w:tcMar>
          </w:tcPr>
          <w:p>
            <w:pPr>
              <w:spacing w:after="20" w:before="0" w:line="240" w:lineRule="auto"/>
            </w:pPr>
            <w:r>
              <w:rPr>
                <w:rFonts w:ascii="Aptos" w:hAnsi="Aptos"/>
                <w:sz w:val="17"/>
              </w:rPr>
              <w:t>2. Evaluation method and criteria</w:t>
            </w:r>
          </w:p>
        </w:tc>
        <w:tc>
          <w:tcPr>
            <w:tcW w:type="dxa" w:w="7056"/>
            <w:vAlign w:val="center"/>
            <w:tcMar>
              <w:top w:w="70" w:type="dxa"/>
              <w:start w:w="85" w:type="dxa"/>
              <w:bottom w:w="70" w:type="dxa"/>
              <w:end w:w="85" w:type="dxa"/>
            </w:tcMar>
          </w:tcPr>
          <w:p>
            <w:pPr>
              <w:spacing w:after="20" w:before="0" w:line="240" w:lineRule="auto"/>
            </w:pPr>
            <w:r>
              <w:rPr>
                <w:rFonts w:ascii="Aptos" w:hAnsi="Aptos"/>
                <w:sz w:val="17"/>
              </w:rPr>
              <w:t>How tools were compared</w:t>
            </w:r>
          </w:p>
        </w:tc>
      </w:tr>
      <w:tr>
        <w:trPr>
          <w:cantSplit/>
        </w:trPr>
        <w:tc>
          <w:tcPr>
            <w:tcW w:type="dxa" w:w="3384"/>
            <w:vAlign w:val="center"/>
            <w:tcMar>
              <w:top w:w="70" w:type="dxa"/>
              <w:start w:w="85" w:type="dxa"/>
              <w:bottom w:w="70" w:type="dxa"/>
              <w:end w:w="85" w:type="dxa"/>
            </w:tcMar>
            <w:shd w:fill="F4F7FA"/>
          </w:tcPr>
          <w:p>
            <w:pPr>
              <w:spacing w:after="20" w:before="0" w:line="240" w:lineRule="auto"/>
            </w:pPr>
            <w:r>
              <w:rPr>
                <w:rFonts w:ascii="Aptos" w:hAnsi="Aptos"/>
                <w:sz w:val="17"/>
              </w:rPr>
              <w:t>3. Threat landscape for e-governance</w:t>
            </w:r>
          </w:p>
        </w:tc>
        <w:tc>
          <w:tcPr>
            <w:tcW w:type="dxa" w:w="7056"/>
            <w:vAlign w:val="center"/>
            <w:tcMar>
              <w:top w:w="70" w:type="dxa"/>
              <w:start w:w="85" w:type="dxa"/>
              <w:bottom w:w="70" w:type="dxa"/>
              <w:end w:w="85" w:type="dxa"/>
            </w:tcMar>
            <w:shd w:fill="F4F7FA"/>
          </w:tcPr>
          <w:p>
            <w:pPr>
              <w:spacing w:after="20" w:before="0" w:line="240" w:lineRule="auto"/>
            </w:pPr>
            <w:r>
              <w:rPr>
                <w:rFonts w:ascii="Aptos" w:hAnsi="Aptos"/>
                <w:sz w:val="17"/>
              </w:rPr>
              <w:t>Threat scenarios and monitoring requirements</w:t>
            </w:r>
          </w:p>
        </w:tc>
      </w:tr>
      <w:tr>
        <w:trPr>
          <w:cantSplit/>
        </w:trPr>
        <w:tc>
          <w:tcPr>
            <w:tcW w:type="dxa" w:w="3384"/>
            <w:vAlign w:val="center"/>
            <w:tcMar>
              <w:top w:w="70" w:type="dxa"/>
              <w:start w:w="85" w:type="dxa"/>
              <w:bottom w:w="70" w:type="dxa"/>
              <w:end w:w="85" w:type="dxa"/>
            </w:tcMar>
          </w:tcPr>
          <w:p>
            <w:pPr>
              <w:spacing w:after="20" w:before="0" w:line="240" w:lineRule="auto"/>
            </w:pPr>
            <w:r>
              <w:rPr>
                <w:rFonts w:ascii="Aptos" w:hAnsi="Aptos"/>
                <w:sz w:val="17"/>
              </w:rPr>
              <w:t>4. Tool assessment</w:t>
            </w:r>
          </w:p>
        </w:tc>
        <w:tc>
          <w:tcPr>
            <w:tcW w:type="dxa" w:w="7056"/>
            <w:vAlign w:val="center"/>
            <w:tcMar>
              <w:top w:w="70" w:type="dxa"/>
              <w:start w:w="85" w:type="dxa"/>
              <w:bottom w:w="70" w:type="dxa"/>
              <w:end w:w="85" w:type="dxa"/>
            </w:tcMar>
          </w:tcPr>
          <w:p>
            <w:pPr>
              <w:spacing w:after="20" w:before="0" w:line="240" w:lineRule="auto"/>
            </w:pPr>
            <w:r>
              <w:rPr>
                <w:rFonts w:ascii="Aptos" w:hAnsi="Aptos"/>
                <w:sz w:val="17"/>
              </w:rPr>
              <w:t>Wazuh, Suricata and Greenbone/OpenVAS</w:t>
            </w:r>
          </w:p>
        </w:tc>
      </w:tr>
      <w:tr>
        <w:trPr>
          <w:cantSplit/>
        </w:trPr>
        <w:tc>
          <w:tcPr>
            <w:tcW w:type="dxa" w:w="3384"/>
            <w:vAlign w:val="center"/>
            <w:tcMar>
              <w:top w:w="70" w:type="dxa"/>
              <w:start w:w="85" w:type="dxa"/>
              <w:bottom w:w="70" w:type="dxa"/>
              <w:end w:w="85" w:type="dxa"/>
            </w:tcMar>
            <w:shd w:fill="F4F7FA"/>
          </w:tcPr>
          <w:p>
            <w:pPr>
              <w:spacing w:after="20" w:before="0" w:line="240" w:lineRule="auto"/>
            </w:pPr>
            <w:r>
              <w:rPr>
                <w:rFonts w:ascii="Aptos" w:hAnsi="Aptos"/>
                <w:sz w:val="17"/>
              </w:rPr>
              <w:t>5. Comparative analysis</w:t>
            </w:r>
          </w:p>
        </w:tc>
        <w:tc>
          <w:tcPr>
            <w:tcW w:type="dxa" w:w="7056"/>
            <w:vAlign w:val="center"/>
            <w:tcMar>
              <w:top w:w="70" w:type="dxa"/>
              <w:start w:w="85" w:type="dxa"/>
              <w:bottom w:w="70" w:type="dxa"/>
              <w:end w:w="85" w:type="dxa"/>
            </w:tcMar>
            <w:shd w:fill="F4F7FA"/>
          </w:tcPr>
          <w:p>
            <w:pPr>
              <w:spacing w:after="20" w:before="0" w:line="240" w:lineRule="auto"/>
            </w:pPr>
            <w:r>
              <w:rPr>
                <w:rFonts w:ascii="Aptos" w:hAnsi="Aptos"/>
                <w:sz w:val="17"/>
              </w:rPr>
              <w:t>Feature matrix and qualitative fit chart</w:t>
            </w:r>
          </w:p>
        </w:tc>
      </w:tr>
      <w:tr>
        <w:trPr>
          <w:cantSplit/>
        </w:trPr>
        <w:tc>
          <w:tcPr>
            <w:tcW w:type="dxa" w:w="3384"/>
            <w:vAlign w:val="center"/>
            <w:tcMar>
              <w:top w:w="70" w:type="dxa"/>
              <w:start w:w="85" w:type="dxa"/>
              <w:bottom w:w="70" w:type="dxa"/>
              <w:end w:w="85" w:type="dxa"/>
            </w:tcMar>
          </w:tcPr>
          <w:p>
            <w:pPr>
              <w:spacing w:after="20" w:before="0" w:line="240" w:lineRule="auto"/>
            </w:pPr>
            <w:r>
              <w:rPr>
                <w:rFonts w:ascii="Aptos" w:hAnsi="Aptos"/>
                <w:sz w:val="17"/>
              </w:rPr>
              <w:t>6. Proposed integration architecture</w:t>
            </w:r>
          </w:p>
        </w:tc>
        <w:tc>
          <w:tcPr>
            <w:tcW w:type="dxa" w:w="7056"/>
            <w:vAlign w:val="center"/>
            <w:tcMar>
              <w:top w:w="70" w:type="dxa"/>
              <w:start w:w="85" w:type="dxa"/>
              <w:bottom w:w="70" w:type="dxa"/>
              <w:end w:w="85" w:type="dxa"/>
            </w:tcMar>
          </w:tcPr>
          <w:p>
            <w:pPr>
              <w:spacing w:after="20" w:before="0" w:line="240" w:lineRule="auto"/>
            </w:pPr>
            <w:r>
              <w:rPr>
                <w:rFonts w:ascii="Aptos" w:hAnsi="Aptos"/>
                <w:sz w:val="17"/>
              </w:rPr>
              <w:t>Data flows, roles and safe integration</w:t>
            </w:r>
          </w:p>
        </w:tc>
      </w:tr>
      <w:tr>
        <w:trPr>
          <w:cantSplit/>
        </w:trPr>
        <w:tc>
          <w:tcPr>
            <w:tcW w:type="dxa" w:w="3384"/>
            <w:vAlign w:val="center"/>
            <w:tcMar>
              <w:top w:w="70" w:type="dxa"/>
              <w:start w:w="85" w:type="dxa"/>
              <w:bottom w:w="70" w:type="dxa"/>
              <w:end w:w="85" w:type="dxa"/>
            </w:tcMar>
            <w:shd w:fill="F4F7FA"/>
          </w:tcPr>
          <w:p>
            <w:pPr>
              <w:spacing w:after="20" w:before="0" w:line="240" w:lineRule="auto"/>
            </w:pPr>
            <w:r>
              <w:rPr>
                <w:rFonts w:ascii="Aptos" w:hAnsi="Aptos"/>
                <w:sz w:val="17"/>
              </w:rPr>
              <w:t>7. Implementation plan</w:t>
            </w:r>
          </w:p>
        </w:tc>
        <w:tc>
          <w:tcPr>
            <w:tcW w:type="dxa" w:w="7056"/>
            <w:vAlign w:val="center"/>
            <w:tcMar>
              <w:top w:w="70" w:type="dxa"/>
              <w:start w:w="85" w:type="dxa"/>
              <w:bottom w:w="70" w:type="dxa"/>
              <w:end w:w="85" w:type="dxa"/>
            </w:tcMar>
            <w:shd w:fill="F4F7FA"/>
          </w:tcPr>
          <w:p>
            <w:pPr>
              <w:spacing w:after="20" w:before="0" w:line="240" w:lineRule="auto"/>
            </w:pPr>
            <w:r>
              <w:rPr>
                <w:rFonts w:ascii="Aptos" w:hAnsi="Aptos"/>
                <w:sz w:val="17"/>
              </w:rPr>
              <w:t>Phases, timeline, owners and resources</w:t>
            </w:r>
          </w:p>
        </w:tc>
      </w:tr>
      <w:tr>
        <w:trPr>
          <w:cantSplit/>
        </w:trPr>
        <w:tc>
          <w:tcPr>
            <w:tcW w:type="dxa" w:w="3384"/>
            <w:vAlign w:val="center"/>
            <w:tcMar>
              <w:top w:w="70" w:type="dxa"/>
              <w:start w:w="85" w:type="dxa"/>
              <w:bottom w:w="70" w:type="dxa"/>
              <w:end w:w="85" w:type="dxa"/>
            </w:tcMar>
          </w:tcPr>
          <w:p>
            <w:pPr>
              <w:spacing w:after="20" w:before="0" w:line="240" w:lineRule="auto"/>
            </w:pPr>
            <w:r>
              <w:rPr>
                <w:rFonts w:ascii="Aptos" w:hAnsi="Aptos"/>
                <w:sz w:val="17"/>
              </w:rPr>
              <w:t>8. Risks, limitations and mitigations</w:t>
            </w:r>
          </w:p>
        </w:tc>
        <w:tc>
          <w:tcPr>
            <w:tcW w:type="dxa" w:w="7056"/>
            <w:vAlign w:val="center"/>
            <w:tcMar>
              <w:top w:w="70" w:type="dxa"/>
              <w:start w:w="85" w:type="dxa"/>
              <w:bottom w:w="70" w:type="dxa"/>
              <w:end w:w="85" w:type="dxa"/>
            </w:tcMar>
          </w:tcPr>
          <w:p>
            <w:pPr>
              <w:spacing w:after="20" w:before="0" w:line="240" w:lineRule="auto"/>
            </w:pPr>
            <w:r>
              <w:rPr>
                <w:rFonts w:ascii="Aptos" w:hAnsi="Aptos"/>
                <w:sz w:val="17"/>
              </w:rPr>
              <w:t>Integration risks and operational constraints</w:t>
            </w:r>
          </w:p>
        </w:tc>
      </w:tr>
      <w:tr>
        <w:trPr>
          <w:cantSplit/>
        </w:trPr>
        <w:tc>
          <w:tcPr>
            <w:tcW w:type="dxa" w:w="3384"/>
            <w:vAlign w:val="center"/>
            <w:tcMar>
              <w:top w:w="70" w:type="dxa"/>
              <w:start w:w="85" w:type="dxa"/>
              <w:bottom w:w="70" w:type="dxa"/>
              <w:end w:w="85" w:type="dxa"/>
            </w:tcMar>
            <w:shd w:fill="F4F7FA"/>
          </w:tcPr>
          <w:p>
            <w:pPr>
              <w:spacing w:after="20" w:before="0" w:line="240" w:lineRule="auto"/>
            </w:pPr>
            <w:r>
              <w:rPr>
                <w:rFonts w:ascii="Aptos" w:hAnsi="Aptos"/>
                <w:sz w:val="17"/>
              </w:rPr>
              <w:t>9. Governance, compliance and KPIs</w:t>
            </w:r>
          </w:p>
        </w:tc>
        <w:tc>
          <w:tcPr>
            <w:tcW w:type="dxa" w:w="7056"/>
            <w:vAlign w:val="center"/>
            <w:tcMar>
              <w:top w:w="70" w:type="dxa"/>
              <w:start w:w="85" w:type="dxa"/>
              <w:bottom w:w="70" w:type="dxa"/>
              <w:end w:w="85" w:type="dxa"/>
            </w:tcMar>
            <w:shd w:fill="F4F7FA"/>
          </w:tcPr>
          <w:p>
            <w:pPr>
              <w:spacing w:after="20" w:before="0" w:line="240" w:lineRule="auto"/>
            </w:pPr>
            <w:r>
              <w:rPr>
                <w:rFonts w:ascii="Aptos" w:hAnsi="Aptos"/>
                <w:sz w:val="17"/>
              </w:rPr>
              <w:t>India-relevant legal and policy considerations</w:t>
            </w:r>
          </w:p>
        </w:tc>
      </w:tr>
      <w:tr>
        <w:trPr>
          <w:cantSplit/>
        </w:trPr>
        <w:tc>
          <w:tcPr>
            <w:tcW w:type="dxa" w:w="3384"/>
            <w:vAlign w:val="center"/>
            <w:tcMar>
              <w:top w:w="70" w:type="dxa"/>
              <w:start w:w="85" w:type="dxa"/>
              <w:bottom w:w="70" w:type="dxa"/>
              <w:end w:w="85" w:type="dxa"/>
            </w:tcMar>
          </w:tcPr>
          <w:p>
            <w:pPr>
              <w:spacing w:after="20" w:before="0" w:line="240" w:lineRule="auto"/>
            </w:pPr>
            <w:r>
              <w:rPr>
                <w:rFonts w:ascii="Aptos" w:hAnsi="Aptos"/>
                <w:sz w:val="17"/>
              </w:rPr>
              <w:t>10. Feasibility analysis</w:t>
            </w:r>
          </w:p>
        </w:tc>
        <w:tc>
          <w:tcPr>
            <w:tcW w:type="dxa" w:w="7056"/>
            <w:vAlign w:val="center"/>
            <w:tcMar>
              <w:top w:w="70" w:type="dxa"/>
              <w:start w:w="85" w:type="dxa"/>
              <w:bottom w:w="70" w:type="dxa"/>
              <w:end w:w="85" w:type="dxa"/>
            </w:tcMar>
          </w:tcPr>
          <w:p>
            <w:pPr>
              <w:spacing w:after="20" w:before="0" w:line="240" w:lineRule="auto"/>
            </w:pPr>
            <w:r>
              <w:rPr>
                <w:rFonts w:ascii="Aptos" w:hAnsi="Aptos"/>
                <w:sz w:val="17"/>
              </w:rPr>
              <w:t>Benefits, trade-offs and critical judgement</w:t>
            </w:r>
          </w:p>
        </w:tc>
      </w:tr>
      <w:tr>
        <w:trPr>
          <w:cantSplit/>
        </w:trPr>
        <w:tc>
          <w:tcPr>
            <w:tcW w:type="dxa" w:w="3384"/>
            <w:vAlign w:val="center"/>
            <w:tcMar>
              <w:top w:w="70" w:type="dxa"/>
              <w:start w:w="85" w:type="dxa"/>
              <w:bottom w:w="70" w:type="dxa"/>
              <w:end w:w="85" w:type="dxa"/>
            </w:tcMar>
            <w:shd w:fill="F4F7FA"/>
          </w:tcPr>
          <w:p>
            <w:pPr>
              <w:spacing w:after="20" w:before="0" w:line="240" w:lineRule="auto"/>
            </w:pPr>
            <w:r>
              <w:rPr>
                <w:rFonts w:ascii="Aptos" w:hAnsi="Aptos"/>
                <w:sz w:val="17"/>
              </w:rPr>
              <w:t>11. Final recommendations and action plan</w:t>
            </w:r>
          </w:p>
        </w:tc>
        <w:tc>
          <w:tcPr>
            <w:tcW w:type="dxa" w:w="7056"/>
            <w:vAlign w:val="center"/>
            <w:tcMar>
              <w:top w:w="70" w:type="dxa"/>
              <w:start w:w="85" w:type="dxa"/>
              <w:bottom w:w="70" w:type="dxa"/>
              <w:end w:w="85" w:type="dxa"/>
            </w:tcMar>
            <w:shd w:fill="F4F7FA"/>
          </w:tcPr>
          <w:p>
            <w:pPr>
              <w:spacing w:after="20" w:before="0" w:line="240" w:lineRule="auto"/>
            </w:pPr>
            <w:r>
              <w:rPr>
                <w:rFonts w:ascii="Aptos" w:hAnsi="Aptos"/>
                <w:sz w:val="17"/>
              </w:rPr>
              <w:t>Prioritized decisions</w:t>
            </w:r>
          </w:p>
        </w:tc>
      </w:tr>
      <w:tr>
        <w:trPr>
          <w:cantSplit/>
        </w:trPr>
        <w:tc>
          <w:tcPr>
            <w:tcW w:type="dxa" w:w="3384"/>
            <w:vAlign w:val="center"/>
            <w:tcMar>
              <w:top w:w="70" w:type="dxa"/>
              <w:start w:w="85" w:type="dxa"/>
              <w:bottom w:w="70" w:type="dxa"/>
              <w:end w:w="85" w:type="dxa"/>
            </w:tcMar>
          </w:tcPr>
          <w:p>
            <w:pPr>
              <w:spacing w:after="20" w:before="0" w:line="240" w:lineRule="auto"/>
            </w:pPr>
            <w:r>
              <w:rPr>
                <w:rFonts w:ascii="Aptos" w:hAnsi="Aptos"/>
                <w:sz w:val="17"/>
              </w:rPr>
              <w:t>Appendix A</w:t>
            </w:r>
          </w:p>
        </w:tc>
        <w:tc>
          <w:tcPr>
            <w:tcW w:type="dxa" w:w="7056"/>
            <w:vAlign w:val="center"/>
            <w:tcMar>
              <w:top w:w="70" w:type="dxa"/>
              <w:start w:w="85" w:type="dxa"/>
              <w:bottom w:w="70" w:type="dxa"/>
              <w:end w:w="85" w:type="dxa"/>
            </w:tcMar>
          </w:tcPr>
          <w:p>
            <w:pPr>
              <w:spacing w:after="20" w:before="0" w:line="240" w:lineRule="auto"/>
            </w:pPr>
            <w:r>
              <w:rPr>
                <w:rFonts w:ascii="Aptos" w:hAnsi="Aptos"/>
                <w:sz w:val="17"/>
              </w:rPr>
              <w:t>Sample event-to-action workflow</w:t>
            </w:r>
          </w:p>
        </w:tc>
      </w:tr>
      <w:tr>
        <w:trPr>
          <w:cantSplit/>
        </w:trPr>
        <w:tc>
          <w:tcPr>
            <w:tcW w:type="dxa" w:w="3384"/>
            <w:vAlign w:val="center"/>
            <w:tcMar>
              <w:top w:w="70" w:type="dxa"/>
              <w:start w:w="85" w:type="dxa"/>
              <w:bottom w:w="70" w:type="dxa"/>
              <w:end w:w="85" w:type="dxa"/>
            </w:tcMar>
            <w:shd w:fill="F4F7FA"/>
          </w:tcPr>
          <w:p>
            <w:pPr>
              <w:spacing w:after="20" w:before="0" w:line="240" w:lineRule="auto"/>
            </w:pPr>
            <w:r>
              <w:rPr>
                <w:rFonts w:ascii="Aptos" w:hAnsi="Aptos"/>
                <w:sz w:val="17"/>
              </w:rPr>
              <w:t>Appendix B</w:t>
            </w:r>
          </w:p>
        </w:tc>
        <w:tc>
          <w:tcPr>
            <w:tcW w:type="dxa" w:w="7056"/>
            <w:vAlign w:val="center"/>
            <w:tcMar>
              <w:top w:w="70" w:type="dxa"/>
              <w:start w:w="85" w:type="dxa"/>
              <w:bottom w:w="70" w:type="dxa"/>
              <w:end w:w="85" w:type="dxa"/>
            </w:tcMar>
            <w:shd w:fill="F4F7FA"/>
          </w:tcPr>
          <w:p>
            <w:pPr>
              <w:spacing w:after="20" w:before="0" w:line="240" w:lineRule="auto"/>
            </w:pPr>
            <w:r>
              <w:rPr>
                <w:rFonts w:ascii="Aptos" w:hAnsi="Aptos"/>
                <w:sz w:val="17"/>
              </w:rPr>
              <w:t>Submission description (200+ words)</w:t>
            </w:r>
          </w:p>
        </w:tc>
      </w:tr>
      <w:tr>
        <w:trPr>
          <w:cantSplit/>
        </w:trPr>
        <w:tc>
          <w:tcPr>
            <w:tcW w:type="dxa" w:w="3384"/>
            <w:vAlign w:val="center"/>
            <w:tcMar>
              <w:top w:w="70" w:type="dxa"/>
              <w:start w:w="85" w:type="dxa"/>
              <w:bottom w:w="70" w:type="dxa"/>
              <w:end w:w="85" w:type="dxa"/>
            </w:tcMar>
          </w:tcPr>
          <w:p>
            <w:pPr>
              <w:spacing w:after="20" w:before="0" w:line="240" w:lineRule="auto"/>
            </w:pPr>
            <w:r>
              <w:rPr>
                <w:rFonts w:ascii="Aptos" w:hAnsi="Aptos"/>
                <w:sz w:val="17"/>
              </w:rPr>
              <w:t>References</w:t>
            </w:r>
          </w:p>
        </w:tc>
        <w:tc>
          <w:tcPr>
            <w:tcW w:type="dxa" w:w="7056"/>
            <w:vAlign w:val="center"/>
            <w:tcMar>
              <w:top w:w="70" w:type="dxa"/>
              <w:start w:w="85" w:type="dxa"/>
              <w:bottom w:w="70" w:type="dxa"/>
              <w:end w:w="85" w:type="dxa"/>
            </w:tcMar>
          </w:tcPr>
          <w:p>
            <w:pPr>
              <w:spacing w:after="20" w:before="0" w:line="240" w:lineRule="auto"/>
            </w:pPr>
            <w:r>
              <w:rPr>
                <w:rFonts w:ascii="Aptos" w:hAnsi="Aptos"/>
                <w:sz w:val="17"/>
              </w:rPr>
              <w:t>Official documentation and standards</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EAF1F8"/>
            <w:tcMar>
              <w:top w:w="130" w:type="dxa"/>
              <w:start w:w="160" w:type="dxa"/>
              <w:bottom w:w="130" w:type="dxa"/>
              <w:end w:w="160" w:type="dxa"/>
            </w:tcMar>
          </w:tcPr>
          <w:p>
            <w:pPr>
              <w:spacing w:after="60"/>
            </w:pPr>
            <w:r>
              <w:rPr>
                <w:b/>
                <w:color w:val="2364AA"/>
                <w:sz w:val="20"/>
              </w:rPr>
              <w:t>Reading guide</w:t>
            </w:r>
          </w:p>
          <w:p>
            <w:pPr>
              <w:spacing w:after="0" w:line="252" w:lineRule="auto"/>
            </w:pPr>
            <w:r>
              <w:rPr>
                <w:sz w:val="18"/>
              </w:rPr>
              <w:t>Read the executive summary and comparison first for the recommendation. The detailed tool sections explain what each product does and does not do. The roadmap and risk register turn the recommendation into practical work packages.</w:t>
            </w:r>
          </w:p>
        </w:tc>
      </w:tr>
    </w:tbl>
    <w:p>
      <w:pPr>
        <w:spacing w:after="20"/>
      </w:pPr>
    </w:p>
    <w:p>
      <w:r>
        <w:br w:type="page"/>
      </w:r>
    </w:p>
    <w:p>
      <w:pPr>
        <w:pStyle w:val="Heading1"/>
        <w:keepNext/>
      </w:pPr>
      <w:r>
        <w:t>Executive summary</w:t>
      </w:r>
    </w:p>
    <w:p>
      <w:r>
        <w:t>Digital government services handle citizen identities, applications, benefits, payments, records and inter-agency data exchange. Their security needs are therefore broader than simply installing an intrusion detection system. Teams must discover vulnerabilities before exploitation, observe suspicious activity across endpoints and networks, investigate alerts, and restore services without losing evidence or public trust.</w:t>
      </w:r>
    </w:p>
    <w:p>
      <w:r>
        <w:t>This report recommends a layered, predominantly open-source starting stack: Wazuh as the central security monitoring and event-analysis platform; Suricata as the network IDS/IPS and network security monitoring sensor; and Greenbone Community Edition / OpenVAS for authorised vulnerability assessment. These tools address different but complementary control gaps. Wazuh collects and analyses endpoint, server, application and selected network-device logs; Suricata detects suspicious network traffic and exports structured EVE JSON events; Greenbone scans approved assets for known vulnerabilities and supports a remediation lifecycle. [1][2][3][4]</w:t>
      </w:r>
    </w:p>
    <w:p>
      <w:r>
        <w:t>The tools should be integrated through controlled data flows rather than treated as three independent dashboards. Suricata events can be collected into Wazuh from EVE JSON or syslog using a tested parser. Wazuh endpoint agents provide process, log, file-integrity and configuration signals. Greenbone reports should be exported through approved interfaces, normalised, mapped to the asset inventory and routed into the ticketing workflow; this may require a small integration service and should not be assumed to work automatically out of the box. Analysts can then prioritise a critical Suricata/Wazuh alert when the affected asset also has an exposed high-severity vulnerability.</w:t>
      </w:r>
    </w:p>
    <w:tbl>
      <w:tblPr>
        <w:tblW w:type="auto" w:w="0"/>
        <w:tblLook w:firstColumn="1" w:firstRow="1" w:lastColumn="0" w:lastRow="0" w:noHBand="0" w:noVBand="1" w:val="04A0"/>
      </w:tblPr>
      <w:tblGrid>
        <w:gridCol w:w="10166"/>
      </w:tblGrid>
      <w:tr>
        <w:trPr>
          <w:cantSplit/>
        </w:trPr>
        <w:tc>
          <w:tcPr>
            <w:tcW w:type="dxa" w:w="10166"/>
            <w:shd w:fill="E6F5F2"/>
            <w:tcMar>
              <w:top w:w="130" w:type="dxa"/>
              <w:start w:w="160" w:type="dxa"/>
              <w:bottom w:w="130" w:type="dxa"/>
              <w:end w:w="160" w:type="dxa"/>
            </w:tcMar>
          </w:tcPr>
          <w:p>
            <w:pPr>
              <w:spacing w:after="60"/>
            </w:pPr>
            <w:r>
              <w:rPr>
                <w:b/>
                <w:color w:val="178F8A"/>
                <w:sz w:val="20"/>
              </w:rPr>
              <w:t>Core recommendation</w:t>
            </w:r>
          </w:p>
          <w:p>
            <w:pPr>
              <w:spacing w:after="0" w:line="252" w:lineRule="auto"/>
            </w:pPr>
            <w:r>
              <w:rPr>
                <w:sz w:val="18"/>
              </w:rPr>
              <w:t>Begin with passive monitoring and authenticated scans on a small, approved pilot segment. Validate data quality, storage, alert triage and rollback procedures before expanding coverage or enabling inline IPS blocking. A tool installation without asset ownership, alert response, patch management and tested recovery is not an effective security programme.</w:t>
            </w:r>
          </w:p>
        </w:tc>
      </w:tr>
    </w:tbl>
    <w:p>
      <w:pPr>
        <w:spacing w:after="20"/>
      </w:pPr>
    </w:p>
    <w:p>
      <w:pPr>
        <w:pStyle w:val="Heading2"/>
        <w:keepNext/>
      </w:pPr>
      <w:r>
        <w:t>Key decisions at a glance</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3389"/>
        <w:gridCol w:w="3389"/>
        <w:gridCol w:w="3389"/>
      </w:tblGrid>
      <w:tr>
        <w:trPr>
          <w:cantSplit/>
          <w:tblHeader w:val="true"/>
        </w:trPr>
        <w:tc>
          <w:tcPr>
            <w:tcW w:type="dxa" w:w="1872"/>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Decision area</w:t>
            </w:r>
          </w:p>
        </w:tc>
        <w:tc>
          <w:tcPr>
            <w:tcW w:type="dxa" w:w="3744"/>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Recommendation</w:t>
            </w:r>
          </w:p>
        </w:tc>
        <w:tc>
          <w:tcPr>
            <w:tcW w:type="dxa" w:w="4824"/>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Why it matters</w:t>
            </w:r>
          </w:p>
        </w:tc>
      </w:tr>
      <w:tr>
        <w:trPr>
          <w:cantSplit/>
        </w:trPr>
        <w:tc>
          <w:tcPr>
            <w:tcW w:type="dxa" w:w="1872"/>
            <w:vAlign w:val="center"/>
            <w:tcMar>
              <w:top w:w="70" w:type="dxa"/>
              <w:start w:w="85" w:type="dxa"/>
              <w:bottom w:w="70" w:type="dxa"/>
              <w:end w:w="85" w:type="dxa"/>
            </w:tcMar>
          </w:tcPr>
          <w:p>
            <w:pPr>
              <w:spacing w:after="20" w:before="0" w:line="240" w:lineRule="auto"/>
            </w:pPr>
            <w:r>
              <w:rPr>
                <w:rFonts w:ascii="Aptos" w:hAnsi="Aptos"/>
                <w:sz w:val="15"/>
              </w:rPr>
              <w:t>Monitoring core</w:t>
            </w:r>
          </w:p>
        </w:tc>
        <w:tc>
          <w:tcPr>
            <w:tcW w:type="dxa" w:w="3744"/>
            <w:vAlign w:val="center"/>
            <w:tcMar>
              <w:top w:w="70" w:type="dxa"/>
              <w:start w:w="85" w:type="dxa"/>
              <w:bottom w:w="70" w:type="dxa"/>
              <w:end w:w="85" w:type="dxa"/>
            </w:tcMar>
          </w:tcPr>
          <w:p>
            <w:pPr>
              <w:spacing w:after="20" w:before="0" w:line="240" w:lineRule="auto"/>
            </w:pPr>
            <w:r>
              <w:rPr>
                <w:rFonts w:ascii="Aptos" w:hAnsi="Aptos"/>
                <w:sz w:val="15"/>
              </w:rPr>
              <w:t>Use Wazuh as the central event and alert workspace.</w:t>
            </w:r>
          </w:p>
        </w:tc>
        <w:tc>
          <w:tcPr>
            <w:tcW w:type="dxa" w:w="4824"/>
            <w:vAlign w:val="center"/>
            <w:tcMar>
              <w:top w:w="70" w:type="dxa"/>
              <w:start w:w="85" w:type="dxa"/>
              <w:bottom w:w="70" w:type="dxa"/>
              <w:end w:w="85" w:type="dxa"/>
            </w:tcMar>
          </w:tcPr>
          <w:p>
            <w:pPr>
              <w:spacing w:after="20" w:before="0" w:line="240" w:lineRule="auto"/>
            </w:pPr>
            <w:r>
              <w:rPr>
                <w:rFonts w:ascii="Aptos" w:hAnsi="Aptos"/>
                <w:sz w:val="15"/>
              </w:rPr>
              <w:t>Unifies host and selected application/device telemetry; enables rule tuning and investigations.</w:t>
            </w:r>
          </w:p>
        </w:tc>
      </w:tr>
      <w:tr>
        <w:trPr>
          <w:cantSplit/>
        </w:trPr>
        <w:tc>
          <w:tcPr>
            <w:tcW w:type="dxa" w:w="1872"/>
            <w:vAlign w:val="center"/>
            <w:tcMar>
              <w:top w:w="70" w:type="dxa"/>
              <w:start w:w="85" w:type="dxa"/>
              <w:bottom w:w="70" w:type="dxa"/>
              <w:end w:w="85" w:type="dxa"/>
            </w:tcMar>
            <w:shd w:fill="F4F7FA"/>
          </w:tcPr>
          <w:p>
            <w:pPr>
              <w:spacing w:after="20" w:before="0" w:line="240" w:lineRule="auto"/>
            </w:pPr>
            <w:r>
              <w:rPr>
                <w:rFonts w:ascii="Aptos" w:hAnsi="Aptos"/>
                <w:sz w:val="15"/>
              </w:rPr>
              <w:t>Network detection</w:t>
            </w:r>
          </w:p>
        </w:tc>
        <w:tc>
          <w:tcPr>
            <w:tcW w:type="dxa" w:w="3744"/>
            <w:vAlign w:val="center"/>
            <w:tcMar>
              <w:top w:w="70" w:type="dxa"/>
              <w:start w:w="85" w:type="dxa"/>
              <w:bottom w:w="70" w:type="dxa"/>
              <w:end w:w="85" w:type="dxa"/>
            </w:tcMar>
            <w:shd w:fill="F4F7FA"/>
          </w:tcPr>
          <w:p>
            <w:pPr>
              <w:spacing w:after="20" w:before="0" w:line="240" w:lineRule="auto"/>
            </w:pPr>
            <w:r>
              <w:rPr>
                <w:rFonts w:ascii="Aptos" w:hAnsi="Aptos"/>
                <w:sz w:val="15"/>
              </w:rPr>
              <w:t>Deploy Suricata first in passive IDS mode using a TAP/SPAN feed.</w:t>
            </w:r>
          </w:p>
        </w:tc>
        <w:tc>
          <w:tcPr>
            <w:tcW w:type="dxa" w:w="4824"/>
            <w:vAlign w:val="center"/>
            <w:tcMar>
              <w:top w:w="70" w:type="dxa"/>
              <w:start w:w="85" w:type="dxa"/>
              <w:bottom w:w="70" w:type="dxa"/>
              <w:end w:w="85" w:type="dxa"/>
            </w:tcMar>
            <w:shd w:fill="F4F7FA"/>
          </w:tcPr>
          <w:p>
            <w:pPr>
              <w:spacing w:after="20" w:before="0" w:line="240" w:lineRule="auto"/>
            </w:pPr>
            <w:r>
              <w:rPr>
                <w:rFonts w:ascii="Aptos" w:hAnsi="Aptos"/>
                <w:sz w:val="15"/>
              </w:rPr>
              <w:t>Adds visibility into network threats without introducing inline blocking risk during the pilot.</w:t>
            </w:r>
          </w:p>
        </w:tc>
      </w:tr>
      <w:tr>
        <w:trPr>
          <w:cantSplit/>
        </w:trPr>
        <w:tc>
          <w:tcPr>
            <w:tcW w:type="dxa" w:w="1872"/>
            <w:vAlign w:val="center"/>
            <w:tcMar>
              <w:top w:w="70" w:type="dxa"/>
              <w:start w:w="85" w:type="dxa"/>
              <w:bottom w:w="70" w:type="dxa"/>
              <w:end w:w="85" w:type="dxa"/>
            </w:tcMar>
          </w:tcPr>
          <w:p>
            <w:pPr>
              <w:spacing w:after="20" w:before="0" w:line="240" w:lineRule="auto"/>
            </w:pPr>
            <w:r>
              <w:rPr>
                <w:rFonts w:ascii="Aptos" w:hAnsi="Aptos"/>
                <w:sz w:val="15"/>
              </w:rPr>
              <w:t>Vulnerability management</w:t>
            </w:r>
          </w:p>
        </w:tc>
        <w:tc>
          <w:tcPr>
            <w:tcW w:type="dxa" w:w="3744"/>
            <w:vAlign w:val="center"/>
            <w:tcMar>
              <w:top w:w="70" w:type="dxa"/>
              <w:start w:w="85" w:type="dxa"/>
              <w:bottom w:w="70" w:type="dxa"/>
              <w:end w:w="85" w:type="dxa"/>
            </w:tcMar>
          </w:tcPr>
          <w:p>
            <w:pPr>
              <w:spacing w:after="20" w:before="0" w:line="240" w:lineRule="auto"/>
            </w:pPr>
            <w:r>
              <w:rPr>
                <w:rFonts w:ascii="Aptos" w:hAnsi="Aptos"/>
                <w:sz w:val="15"/>
              </w:rPr>
              <w:t>Use Greenbone/OpenVAS against an approved asset scope, preferably with credentials where appropriate.</w:t>
            </w:r>
          </w:p>
        </w:tc>
        <w:tc>
          <w:tcPr>
            <w:tcW w:type="dxa" w:w="4824"/>
            <w:vAlign w:val="center"/>
            <w:tcMar>
              <w:top w:w="70" w:type="dxa"/>
              <w:start w:w="85" w:type="dxa"/>
              <w:bottom w:w="70" w:type="dxa"/>
              <w:end w:w="85" w:type="dxa"/>
            </w:tcMar>
          </w:tcPr>
          <w:p>
            <w:pPr>
              <w:spacing w:after="20" w:before="0" w:line="240" w:lineRule="auto"/>
            </w:pPr>
            <w:r>
              <w:rPr>
                <w:rFonts w:ascii="Aptos" w:hAnsi="Aptos"/>
                <w:sz w:val="15"/>
              </w:rPr>
              <w:t>Identifies known exposures and produces actionable evidence for remediation.</w:t>
            </w:r>
          </w:p>
        </w:tc>
      </w:tr>
      <w:tr>
        <w:trPr>
          <w:cantSplit/>
        </w:trPr>
        <w:tc>
          <w:tcPr>
            <w:tcW w:type="dxa" w:w="1872"/>
            <w:vAlign w:val="center"/>
            <w:tcMar>
              <w:top w:w="70" w:type="dxa"/>
              <w:start w:w="85" w:type="dxa"/>
              <w:bottom w:w="70" w:type="dxa"/>
              <w:end w:w="85" w:type="dxa"/>
            </w:tcMar>
            <w:shd w:fill="F4F7FA"/>
          </w:tcPr>
          <w:p>
            <w:pPr>
              <w:spacing w:after="20" w:before="0" w:line="240" w:lineRule="auto"/>
            </w:pPr>
            <w:r>
              <w:rPr>
                <w:rFonts w:ascii="Aptos" w:hAnsi="Aptos"/>
                <w:sz w:val="15"/>
              </w:rPr>
              <w:t>Integration approach</w:t>
            </w:r>
          </w:p>
        </w:tc>
        <w:tc>
          <w:tcPr>
            <w:tcW w:type="dxa" w:w="3744"/>
            <w:vAlign w:val="center"/>
            <w:tcMar>
              <w:top w:w="70" w:type="dxa"/>
              <w:start w:w="85" w:type="dxa"/>
              <w:bottom w:w="70" w:type="dxa"/>
              <w:end w:w="85" w:type="dxa"/>
            </w:tcMar>
            <w:shd w:fill="F4F7FA"/>
          </w:tcPr>
          <w:p>
            <w:pPr>
              <w:spacing w:after="20" w:before="0" w:line="240" w:lineRule="auto"/>
            </w:pPr>
            <w:r>
              <w:rPr>
                <w:rFonts w:ascii="Aptos" w:hAnsi="Aptos"/>
                <w:sz w:val="15"/>
              </w:rPr>
              <w:t>Normalise asset IDs, timestamps, severity, source/destination and CVE identifiers; route to ticketing.</w:t>
            </w:r>
          </w:p>
        </w:tc>
        <w:tc>
          <w:tcPr>
            <w:tcW w:type="dxa" w:w="4824"/>
            <w:vAlign w:val="center"/>
            <w:tcMar>
              <w:top w:w="70" w:type="dxa"/>
              <w:start w:w="85" w:type="dxa"/>
              <w:bottom w:w="70" w:type="dxa"/>
              <w:end w:w="85" w:type="dxa"/>
            </w:tcMar>
            <w:shd w:fill="F4F7FA"/>
          </w:tcPr>
          <w:p>
            <w:pPr>
              <w:spacing w:after="20" w:before="0" w:line="240" w:lineRule="auto"/>
            </w:pPr>
            <w:r>
              <w:rPr>
                <w:rFonts w:ascii="Aptos" w:hAnsi="Aptos"/>
                <w:sz w:val="15"/>
              </w:rPr>
              <w:t>Helps analysts correlate events with exposed assets and track closure.</w:t>
            </w:r>
          </w:p>
        </w:tc>
      </w:tr>
      <w:tr>
        <w:trPr>
          <w:cantSplit/>
        </w:trPr>
        <w:tc>
          <w:tcPr>
            <w:tcW w:type="dxa" w:w="1872"/>
            <w:vAlign w:val="center"/>
            <w:tcMar>
              <w:top w:w="70" w:type="dxa"/>
              <w:start w:w="85" w:type="dxa"/>
              <w:bottom w:w="70" w:type="dxa"/>
              <w:end w:w="85" w:type="dxa"/>
            </w:tcMar>
          </w:tcPr>
          <w:p>
            <w:pPr>
              <w:spacing w:after="20" w:before="0" w:line="240" w:lineRule="auto"/>
            </w:pPr>
            <w:r>
              <w:rPr>
                <w:rFonts w:ascii="Aptos" w:hAnsi="Aptos"/>
                <w:sz w:val="15"/>
              </w:rPr>
              <w:t>Governance</w:t>
            </w:r>
          </w:p>
        </w:tc>
        <w:tc>
          <w:tcPr>
            <w:tcW w:type="dxa" w:w="3744"/>
            <w:vAlign w:val="center"/>
            <w:tcMar>
              <w:top w:w="70" w:type="dxa"/>
              <w:start w:w="85" w:type="dxa"/>
              <w:bottom w:w="70" w:type="dxa"/>
              <w:end w:w="85" w:type="dxa"/>
            </w:tcMar>
          </w:tcPr>
          <w:p>
            <w:pPr>
              <w:spacing w:after="20" w:before="0" w:line="240" w:lineRule="auto"/>
            </w:pPr>
            <w:r>
              <w:rPr>
                <w:rFonts w:ascii="Aptos" w:hAnsi="Aptos"/>
                <w:sz w:val="15"/>
              </w:rPr>
              <w:t>Define owners, data retention, escalation, incident reporting and change approval before production.</w:t>
            </w:r>
          </w:p>
        </w:tc>
        <w:tc>
          <w:tcPr>
            <w:tcW w:type="dxa" w:w="4824"/>
            <w:vAlign w:val="center"/>
            <w:tcMar>
              <w:top w:w="70" w:type="dxa"/>
              <w:start w:w="85" w:type="dxa"/>
              <w:bottom w:w="70" w:type="dxa"/>
              <w:end w:w="85" w:type="dxa"/>
            </w:tcMar>
          </w:tcPr>
          <w:p>
            <w:pPr>
              <w:spacing w:after="20" w:before="0" w:line="240" w:lineRule="auto"/>
            </w:pPr>
            <w:r>
              <w:rPr>
                <w:rFonts w:ascii="Aptos" w:hAnsi="Aptos"/>
                <w:sz w:val="15"/>
              </w:rPr>
              <w:t>Ensures alerts become timely, auditable decisions rather than unowned notifications.</w:t>
            </w:r>
          </w:p>
        </w:tc>
      </w:tr>
    </w:tbl>
    <w:p>
      <w:pPr>
        <w:spacing w:after="20"/>
      </w:pPr>
    </w:p>
    <w:p>
      <w:pPr>
        <w:pStyle w:val="Heading1"/>
        <w:keepNext/>
      </w:pPr>
      <w:r>
        <w:t>1. Context, objectives and scope</w:t>
      </w:r>
    </w:p>
    <w:p>
      <w:pPr>
        <w:pStyle w:val="Heading2"/>
        <w:keepNext/>
      </w:pPr>
      <w:r>
        <w:t>1.1 Context</w:t>
      </w:r>
    </w:p>
    <w:p>
      <w:r>
        <w:t>An e-governance environment commonly includes public-facing websites and mobile apps, API gateways, identity and authentication services, databases, internal administrative networks, cloud or data-centre infrastructure, remote support channels and external service providers. Security failures can cause service outages, unauthorised changes to citizen records, privacy incidents, financial loss, fraud, or disruption of public administration. The Guidelines for Indian Government Websites and Apps (GIGW 3.0) provide India-specific guidance for secure, accessible and well-governed government web properties. [5][6]</w:t>
      </w:r>
    </w:p>
    <w:p>
      <w:pPr>
        <w:pStyle w:val="Heading2"/>
        <w:keepNext/>
      </w:pPr>
      <w:r>
        <w:t>1.2 Objectives</w:t>
      </w:r>
    </w:p>
    <w:p>
      <w:pPr>
        <w:pStyle w:val="ListBullet"/>
        <w:spacing w:after="40"/>
        <w:ind w:left="317" w:hanging="173"/>
      </w:pPr>
      <w:r>
        <w:t>Identify suitable tools for intrusion detection, central monitoring and vulnerability management.</w:t>
      </w:r>
    </w:p>
    <w:p>
      <w:pPr>
        <w:pStyle w:val="ListBullet"/>
        <w:spacing w:after="40"/>
        <w:ind w:left="317" w:hanging="173"/>
      </w:pPr>
      <w:r>
        <w:t>Compare important capabilities, advantages, limitations, integration effort, scalability and cost drivers.</w:t>
      </w:r>
    </w:p>
    <w:p>
      <w:pPr>
        <w:pStyle w:val="ListBullet"/>
        <w:spacing w:after="40"/>
        <w:ind w:left="317" w:hanging="173"/>
      </w:pPr>
      <w:r>
        <w:t>Propose a secure high-level architecture showing how tool outputs can support a common triage and remediation workflow.</w:t>
      </w:r>
    </w:p>
    <w:p>
      <w:pPr>
        <w:pStyle w:val="ListBullet"/>
        <w:spacing w:after="40"/>
        <w:ind w:left="317" w:hanging="173"/>
      </w:pPr>
      <w:r>
        <w:t>Define a phased deployment plan, responsibilities, dependencies, resource assumptions and success measures.</w:t>
      </w:r>
    </w:p>
    <w:p>
      <w:pPr>
        <w:pStyle w:val="ListBullet"/>
        <w:spacing w:after="40"/>
        <w:ind w:left="317" w:hanging="173"/>
      </w:pPr>
      <w:r>
        <w:t>Assess technical, operational, privacy, procurement and compliance risks before production adoption.</w:t>
      </w:r>
    </w:p>
    <w:p>
      <w:pPr>
        <w:pStyle w:val="Heading2"/>
        <w:keepNext/>
      </w:pPr>
      <w:r>
        <w:t>1.3 Scope and assumptions</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5083"/>
        <w:gridCol w:w="5083"/>
      </w:tblGrid>
      <w:tr>
        <w:trPr>
          <w:cantSplit/>
          <w:tblHeader w:val="true"/>
        </w:trPr>
        <w:tc>
          <w:tcPr>
            <w:tcW w:type="dxa" w:w="5112"/>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In scope</w:t>
            </w:r>
          </w:p>
        </w:tc>
        <w:tc>
          <w:tcPr>
            <w:tcW w:type="dxa" w:w="5328"/>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Out of scope / boundary</w:t>
            </w:r>
          </w:p>
        </w:tc>
      </w:tr>
      <w:tr>
        <w:trPr>
          <w:cantSplit/>
        </w:trPr>
        <w:tc>
          <w:tcPr>
            <w:tcW w:type="dxa" w:w="5112"/>
            <w:vAlign w:val="center"/>
            <w:tcMar>
              <w:top w:w="70" w:type="dxa"/>
              <w:start w:w="85" w:type="dxa"/>
              <w:bottom w:w="70" w:type="dxa"/>
              <w:end w:w="85" w:type="dxa"/>
            </w:tcMar>
          </w:tcPr>
          <w:p>
            <w:pPr>
              <w:spacing w:after="20" w:before="0" w:line="240" w:lineRule="auto"/>
            </w:pPr>
            <w:r>
              <w:rPr>
                <w:rFonts w:ascii="Aptos" w:hAnsi="Aptos"/>
                <w:sz w:val="16"/>
              </w:rPr>
              <w:t>Representative citizen-facing portals, APIs, servers, selected network segments and operational logs.</w:t>
            </w:r>
          </w:p>
        </w:tc>
        <w:tc>
          <w:tcPr>
            <w:tcW w:type="dxa" w:w="5328"/>
            <w:vAlign w:val="center"/>
            <w:tcMar>
              <w:top w:w="70" w:type="dxa"/>
              <w:start w:w="85" w:type="dxa"/>
              <w:bottom w:w="70" w:type="dxa"/>
              <w:end w:w="85" w:type="dxa"/>
            </w:tcMar>
          </w:tcPr>
          <w:p>
            <w:pPr>
              <w:spacing w:after="20" w:before="0" w:line="240" w:lineRule="auto"/>
            </w:pPr>
            <w:r>
              <w:rPr>
                <w:rFonts w:ascii="Aptos" w:hAnsi="Aptos"/>
                <w:sz w:val="16"/>
              </w:rPr>
              <w:t>A live scan or testing of any real government system; no target-specific testing is performed in this report.</w:t>
            </w:r>
          </w:p>
        </w:tc>
      </w:tr>
      <w:tr>
        <w:trPr>
          <w:cantSplit/>
        </w:trPr>
        <w:tc>
          <w:tcPr>
            <w:tcW w:type="dxa" w:w="5112"/>
            <w:vAlign w:val="center"/>
            <w:tcMar>
              <w:top w:w="70" w:type="dxa"/>
              <w:start w:w="85" w:type="dxa"/>
              <w:bottom w:w="70" w:type="dxa"/>
              <w:end w:w="85" w:type="dxa"/>
            </w:tcMar>
            <w:shd w:fill="F4F7FA"/>
          </w:tcPr>
          <w:p>
            <w:pPr>
              <w:spacing w:after="20" w:before="0" w:line="240" w:lineRule="auto"/>
            </w:pPr>
            <w:r>
              <w:rPr>
                <w:rFonts w:ascii="Aptos" w:hAnsi="Aptos"/>
                <w:sz w:val="16"/>
              </w:rPr>
              <w:t>Tool capabilities, architecture, log integration, vulnerability scanning and workflow design.</w:t>
            </w:r>
          </w:p>
        </w:tc>
        <w:tc>
          <w:tcPr>
            <w:tcW w:type="dxa" w:w="5328"/>
            <w:vAlign w:val="center"/>
            <w:tcMar>
              <w:top w:w="70" w:type="dxa"/>
              <w:start w:w="85" w:type="dxa"/>
              <w:bottom w:w="70" w:type="dxa"/>
              <w:end w:w="85" w:type="dxa"/>
            </w:tcMar>
            <w:shd w:fill="F4F7FA"/>
          </w:tcPr>
          <w:p>
            <w:pPr>
              <w:spacing w:after="20" w:before="0" w:line="240" w:lineRule="auto"/>
            </w:pPr>
            <w:r>
              <w:rPr>
                <w:rFonts w:ascii="Aptos" w:hAnsi="Aptos"/>
                <w:sz w:val="16"/>
              </w:rPr>
              <w:t>A claim that any tool alone ensures legal compliance, prevents every attack or replaces security staff.</w:t>
            </w:r>
          </w:p>
        </w:tc>
      </w:tr>
      <w:tr>
        <w:trPr>
          <w:cantSplit/>
        </w:trPr>
        <w:tc>
          <w:tcPr>
            <w:tcW w:type="dxa" w:w="5112"/>
            <w:vAlign w:val="center"/>
            <w:tcMar>
              <w:top w:w="70" w:type="dxa"/>
              <w:start w:w="85" w:type="dxa"/>
              <w:bottom w:w="70" w:type="dxa"/>
              <w:end w:w="85" w:type="dxa"/>
            </w:tcMar>
          </w:tcPr>
          <w:p>
            <w:pPr>
              <w:spacing w:after="20" w:before="0" w:line="240" w:lineRule="auto"/>
            </w:pPr>
            <w:r>
              <w:rPr>
                <w:rFonts w:ascii="Aptos" w:hAnsi="Aptos"/>
                <w:sz w:val="16"/>
              </w:rPr>
              <w:t>Community/open-source deployments and the option of paid support or enterprise feeds.</w:t>
            </w:r>
          </w:p>
        </w:tc>
        <w:tc>
          <w:tcPr>
            <w:tcW w:type="dxa" w:w="5328"/>
            <w:vAlign w:val="center"/>
            <w:tcMar>
              <w:top w:w="70" w:type="dxa"/>
              <w:start w:w="85" w:type="dxa"/>
              <w:bottom w:w="70" w:type="dxa"/>
              <w:end w:w="85" w:type="dxa"/>
            </w:tcMar>
          </w:tcPr>
          <w:p>
            <w:pPr>
              <w:spacing w:after="20" w:before="0" w:line="240" w:lineRule="auto"/>
            </w:pPr>
            <w:r>
              <w:rPr>
                <w:rFonts w:ascii="Aptos" w:hAnsi="Aptos"/>
                <w:sz w:val="16"/>
              </w:rPr>
              <w:t>A vendor selection, binding quote, final bill of materials or measured performance benchmark.</w:t>
            </w:r>
          </w:p>
        </w:tc>
      </w:tr>
      <w:tr>
        <w:trPr>
          <w:cantSplit/>
        </w:trPr>
        <w:tc>
          <w:tcPr>
            <w:tcW w:type="dxa" w:w="5112"/>
            <w:vAlign w:val="center"/>
            <w:tcMar>
              <w:top w:w="70" w:type="dxa"/>
              <w:start w:w="85" w:type="dxa"/>
              <w:bottom w:w="70" w:type="dxa"/>
              <w:end w:w="85" w:type="dxa"/>
            </w:tcMar>
            <w:shd w:fill="F4F7FA"/>
          </w:tcPr>
          <w:p>
            <w:pPr>
              <w:spacing w:after="20" w:before="0" w:line="240" w:lineRule="auto"/>
            </w:pPr>
            <w:r>
              <w:rPr>
                <w:rFonts w:ascii="Aptos" w:hAnsi="Aptos"/>
                <w:sz w:val="16"/>
              </w:rPr>
              <w:t>A 12-month high-level implementation sequence and illustrative staffing allocation.</w:t>
            </w:r>
          </w:p>
        </w:tc>
        <w:tc>
          <w:tcPr>
            <w:tcW w:type="dxa" w:w="5328"/>
            <w:vAlign w:val="center"/>
            <w:tcMar>
              <w:top w:w="70" w:type="dxa"/>
              <w:start w:w="85" w:type="dxa"/>
              <w:bottom w:w="70" w:type="dxa"/>
              <w:end w:w="85" w:type="dxa"/>
            </w:tcMar>
            <w:shd w:fill="F4F7FA"/>
          </w:tcPr>
          <w:p>
            <w:pPr>
              <w:spacing w:after="20" w:before="0" w:line="240" w:lineRule="auto"/>
            </w:pPr>
            <w:r>
              <w:rPr>
                <w:rFonts w:ascii="Aptos" w:hAnsi="Aptos"/>
                <w:sz w:val="16"/>
              </w:rPr>
              <w:t>Exact production capacity, data volumes, licences, budgets or scan windows before discovery.</w:t>
            </w:r>
          </w:p>
        </w:tc>
      </w:tr>
    </w:tbl>
    <w:p>
      <w:pPr>
        <w:spacing w:after="20"/>
      </w:pPr>
    </w:p>
    <w:p>
      <w:pPr>
        <w:pStyle w:val="Heading1"/>
        <w:keepNext/>
      </w:pPr>
      <w:r>
        <w:t>2. Evaluation method and criteria</w:t>
      </w:r>
    </w:p>
    <w:p>
      <w:r>
        <w:t>This assessment uses a document-based comparison of the tools’ published capabilities and an implementation-focused judgement against the needs of an illustrative e-governance service. Product facts are sourced from official documentation where available. Scores in the comparison chart are this report’s qualitative fit assessment (1 = limited for the listed role; 5 = strong), not independent benchmark results and not a substitute for a proof of concept.</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3389"/>
        <w:gridCol w:w="3389"/>
        <w:gridCol w:w="3389"/>
      </w:tblGrid>
      <w:tr>
        <w:trPr>
          <w:cantSplit/>
          <w:tblHeader w:val="true"/>
        </w:trPr>
        <w:tc>
          <w:tcPr>
            <w:tcW w:type="dxa" w:w="1944"/>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Criterion</w:t>
            </w:r>
          </w:p>
        </w:tc>
        <w:tc>
          <w:tcPr>
            <w:tcW w:type="dxa" w:w="7056"/>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Questions used in the assessment</w:t>
            </w:r>
          </w:p>
        </w:tc>
        <w:tc>
          <w:tcPr>
            <w:tcW w:type="dxa" w:w="144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Weight</w:t>
            </w:r>
          </w:p>
        </w:tc>
      </w:tr>
      <w:tr>
        <w:trPr>
          <w:cantSplit/>
        </w:trPr>
        <w:tc>
          <w:tcPr>
            <w:tcW w:type="dxa" w:w="1944"/>
            <w:vAlign w:val="center"/>
            <w:tcMar>
              <w:top w:w="70" w:type="dxa"/>
              <w:start w:w="85" w:type="dxa"/>
              <w:bottom w:w="70" w:type="dxa"/>
              <w:end w:w="85" w:type="dxa"/>
            </w:tcMar>
          </w:tcPr>
          <w:p>
            <w:pPr>
              <w:spacing w:after="20" w:before="0" w:line="240" w:lineRule="auto"/>
            </w:pPr>
            <w:r>
              <w:rPr>
                <w:rFonts w:ascii="Aptos" w:hAnsi="Aptos"/>
                <w:sz w:val="15"/>
              </w:rPr>
              <w:t>Security coverage</w:t>
            </w:r>
          </w:p>
        </w:tc>
        <w:tc>
          <w:tcPr>
            <w:tcW w:type="dxa" w:w="7056"/>
            <w:vAlign w:val="center"/>
            <w:tcMar>
              <w:top w:w="70" w:type="dxa"/>
              <w:start w:w="85" w:type="dxa"/>
              <w:bottom w:w="70" w:type="dxa"/>
              <w:end w:w="85" w:type="dxa"/>
            </w:tcMar>
          </w:tcPr>
          <w:p>
            <w:pPr>
              <w:spacing w:after="20" w:before="0" w:line="240" w:lineRule="auto"/>
            </w:pPr>
            <w:r>
              <w:rPr>
                <w:rFonts w:ascii="Aptos" w:hAnsi="Aptos"/>
                <w:sz w:val="15"/>
              </w:rPr>
              <w:t>Does the tool meaningfully address endpoint/server telemetry, network intrusion detection or vulnerability discovery?</w:t>
            </w:r>
          </w:p>
        </w:tc>
        <w:tc>
          <w:tcPr>
            <w:tcW w:type="dxa" w:w="1440"/>
            <w:vAlign w:val="center"/>
            <w:tcMar>
              <w:top w:w="70" w:type="dxa"/>
              <w:start w:w="85" w:type="dxa"/>
              <w:bottom w:w="70" w:type="dxa"/>
              <w:end w:w="85" w:type="dxa"/>
            </w:tcMar>
          </w:tcPr>
          <w:p>
            <w:pPr>
              <w:spacing w:after="20" w:before="0" w:line="240" w:lineRule="auto"/>
            </w:pPr>
            <w:r>
              <w:rPr>
                <w:rFonts w:ascii="Aptos" w:hAnsi="Aptos"/>
                <w:sz w:val="15"/>
              </w:rPr>
              <w:t>Very high</w:t>
            </w:r>
          </w:p>
        </w:tc>
      </w:tr>
      <w:tr>
        <w:trPr>
          <w:cantSplit/>
        </w:trPr>
        <w:tc>
          <w:tcPr>
            <w:tcW w:type="dxa" w:w="1944"/>
            <w:vAlign w:val="center"/>
            <w:tcMar>
              <w:top w:w="70" w:type="dxa"/>
              <w:start w:w="85" w:type="dxa"/>
              <w:bottom w:w="70" w:type="dxa"/>
              <w:end w:w="85" w:type="dxa"/>
            </w:tcMar>
            <w:shd w:fill="F4F7FA"/>
          </w:tcPr>
          <w:p>
            <w:pPr>
              <w:spacing w:after="20" w:before="0" w:line="240" w:lineRule="auto"/>
            </w:pPr>
            <w:r>
              <w:rPr>
                <w:rFonts w:ascii="Aptos" w:hAnsi="Aptos"/>
                <w:sz w:val="15"/>
              </w:rPr>
              <w:t>Integration</w:t>
            </w:r>
          </w:p>
        </w:tc>
        <w:tc>
          <w:tcPr>
            <w:tcW w:type="dxa" w:w="7056"/>
            <w:vAlign w:val="center"/>
            <w:tcMar>
              <w:top w:w="70" w:type="dxa"/>
              <w:start w:w="85" w:type="dxa"/>
              <w:bottom w:w="70" w:type="dxa"/>
              <w:end w:w="85" w:type="dxa"/>
            </w:tcMar>
            <w:shd w:fill="F4F7FA"/>
          </w:tcPr>
          <w:p>
            <w:pPr>
              <w:spacing w:after="20" w:before="0" w:line="240" w:lineRule="auto"/>
            </w:pPr>
            <w:r>
              <w:rPr>
                <w:rFonts w:ascii="Aptos" w:hAnsi="Aptos"/>
                <w:sz w:val="15"/>
              </w:rPr>
              <w:t>Can output be collected through documented logs, protocols or APIs? Is custom normalisation likely?</w:t>
            </w:r>
          </w:p>
        </w:tc>
        <w:tc>
          <w:tcPr>
            <w:tcW w:type="dxa" w:w="1440"/>
            <w:vAlign w:val="center"/>
            <w:tcMar>
              <w:top w:w="70" w:type="dxa"/>
              <w:start w:w="85" w:type="dxa"/>
              <w:bottom w:w="70" w:type="dxa"/>
              <w:end w:w="85" w:type="dxa"/>
            </w:tcMar>
            <w:shd w:fill="F4F7FA"/>
          </w:tcPr>
          <w:p>
            <w:pPr>
              <w:spacing w:after="20" w:before="0" w:line="240" w:lineRule="auto"/>
            </w:pPr>
            <w:r>
              <w:rPr>
                <w:rFonts w:ascii="Aptos" w:hAnsi="Aptos"/>
                <w:sz w:val="15"/>
              </w:rPr>
              <w:t>High</w:t>
            </w:r>
          </w:p>
        </w:tc>
      </w:tr>
      <w:tr>
        <w:trPr>
          <w:cantSplit/>
        </w:trPr>
        <w:tc>
          <w:tcPr>
            <w:tcW w:type="dxa" w:w="1944"/>
            <w:vAlign w:val="center"/>
            <w:tcMar>
              <w:top w:w="70" w:type="dxa"/>
              <w:start w:w="85" w:type="dxa"/>
              <w:bottom w:w="70" w:type="dxa"/>
              <w:end w:w="85" w:type="dxa"/>
            </w:tcMar>
          </w:tcPr>
          <w:p>
            <w:pPr>
              <w:spacing w:after="20" w:before="0" w:line="240" w:lineRule="auto"/>
            </w:pPr>
            <w:r>
              <w:rPr>
                <w:rFonts w:ascii="Aptos" w:hAnsi="Aptos"/>
                <w:sz w:val="15"/>
              </w:rPr>
              <w:t>Scalability and resilience</w:t>
            </w:r>
          </w:p>
        </w:tc>
        <w:tc>
          <w:tcPr>
            <w:tcW w:type="dxa" w:w="7056"/>
            <w:vAlign w:val="center"/>
            <w:tcMar>
              <w:top w:w="70" w:type="dxa"/>
              <w:start w:w="85" w:type="dxa"/>
              <w:bottom w:w="70" w:type="dxa"/>
              <w:end w:w="85" w:type="dxa"/>
            </w:tcMar>
          </w:tcPr>
          <w:p>
            <w:pPr>
              <w:spacing w:after="20" w:before="0" w:line="240" w:lineRule="auto"/>
            </w:pPr>
            <w:r>
              <w:rPr>
                <w:rFonts w:ascii="Aptos" w:hAnsi="Aptos"/>
                <w:sz w:val="15"/>
              </w:rPr>
              <w:t>Can it be distributed, tuned, monitored and backed up as assets and events grow?</w:t>
            </w:r>
          </w:p>
        </w:tc>
        <w:tc>
          <w:tcPr>
            <w:tcW w:type="dxa" w:w="1440"/>
            <w:vAlign w:val="center"/>
            <w:tcMar>
              <w:top w:w="70" w:type="dxa"/>
              <w:start w:w="85" w:type="dxa"/>
              <w:bottom w:w="70" w:type="dxa"/>
              <w:end w:w="85" w:type="dxa"/>
            </w:tcMar>
          </w:tcPr>
          <w:p>
            <w:pPr>
              <w:spacing w:after="20" w:before="0" w:line="240" w:lineRule="auto"/>
            </w:pPr>
            <w:r>
              <w:rPr>
                <w:rFonts w:ascii="Aptos" w:hAnsi="Aptos"/>
                <w:sz w:val="15"/>
              </w:rPr>
              <w:t>High</w:t>
            </w:r>
          </w:p>
        </w:tc>
      </w:tr>
      <w:tr>
        <w:trPr>
          <w:cantSplit/>
        </w:trPr>
        <w:tc>
          <w:tcPr>
            <w:tcW w:type="dxa" w:w="1944"/>
            <w:vAlign w:val="center"/>
            <w:tcMar>
              <w:top w:w="70" w:type="dxa"/>
              <w:start w:w="85" w:type="dxa"/>
              <w:bottom w:w="70" w:type="dxa"/>
              <w:end w:w="85" w:type="dxa"/>
            </w:tcMar>
            <w:shd w:fill="F4F7FA"/>
          </w:tcPr>
          <w:p>
            <w:pPr>
              <w:spacing w:after="20" w:before="0" w:line="240" w:lineRule="auto"/>
            </w:pPr>
            <w:r>
              <w:rPr>
                <w:rFonts w:ascii="Aptos" w:hAnsi="Aptos"/>
                <w:sz w:val="15"/>
              </w:rPr>
              <w:t>Cost and support</w:t>
            </w:r>
          </w:p>
        </w:tc>
        <w:tc>
          <w:tcPr>
            <w:tcW w:type="dxa" w:w="7056"/>
            <w:vAlign w:val="center"/>
            <w:tcMar>
              <w:top w:w="70" w:type="dxa"/>
              <w:start w:w="85" w:type="dxa"/>
              <w:bottom w:w="70" w:type="dxa"/>
              <w:end w:w="85" w:type="dxa"/>
            </w:tcMar>
            <w:shd w:fill="F4F7FA"/>
          </w:tcPr>
          <w:p>
            <w:pPr>
              <w:spacing w:after="20" w:before="0" w:line="240" w:lineRule="auto"/>
            </w:pPr>
            <w:r>
              <w:rPr>
                <w:rFonts w:ascii="Aptos" w:hAnsi="Aptos"/>
                <w:sz w:val="15"/>
              </w:rPr>
              <w:t>What is open-source/licence cost, and what are the operational, support, infrastructure and feed costs?</w:t>
            </w:r>
          </w:p>
        </w:tc>
        <w:tc>
          <w:tcPr>
            <w:tcW w:type="dxa" w:w="1440"/>
            <w:vAlign w:val="center"/>
            <w:tcMar>
              <w:top w:w="70" w:type="dxa"/>
              <w:start w:w="85" w:type="dxa"/>
              <w:bottom w:w="70" w:type="dxa"/>
              <w:end w:w="85" w:type="dxa"/>
            </w:tcMar>
            <w:shd w:fill="F4F7FA"/>
          </w:tcPr>
          <w:p>
            <w:pPr>
              <w:spacing w:after="20" w:before="0" w:line="240" w:lineRule="auto"/>
            </w:pPr>
            <w:r>
              <w:rPr>
                <w:rFonts w:ascii="Aptos" w:hAnsi="Aptos"/>
                <w:sz w:val="15"/>
              </w:rPr>
              <w:t>High</w:t>
            </w:r>
          </w:p>
        </w:tc>
      </w:tr>
      <w:tr>
        <w:trPr>
          <w:cantSplit/>
        </w:trPr>
        <w:tc>
          <w:tcPr>
            <w:tcW w:type="dxa" w:w="1944"/>
            <w:vAlign w:val="center"/>
            <w:tcMar>
              <w:top w:w="70" w:type="dxa"/>
              <w:start w:w="85" w:type="dxa"/>
              <w:bottom w:w="70" w:type="dxa"/>
              <w:end w:w="85" w:type="dxa"/>
            </w:tcMar>
          </w:tcPr>
          <w:p>
            <w:pPr>
              <w:spacing w:after="20" w:before="0" w:line="240" w:lineRule="auto"/>
            </w:pPr>
            <w:r>
              <w:rPr>
                <w:rFonts w:ascii="Aptos" w:hAnsi="Aptos"/>
                <w:sz w:val="15"/>
              </w:rPr>
              <w:t>Operational usability</w:t>
            </w:r>
          </w:p>
        </w:tc>
        <w:tc>
          <w:tcPr>
            <w:tcW w:type="dxa" w:w="7056"/>
            <w:vAlign w:val="center"/>
            <w:tcMar>
              <w:top w:w="70" w:type="dxa"/>
              <w:start w:w="85" w:type="dxa"/>
              <w:bottom w:w="70" w:type="dxa"/>
              <w:end w:w="85" w:type="dxa"/>
            </w:tcMar>
          </w:tcPr>
          <w:p>
            <w:pPr>
              <w:spacing w:after="20" w:before="0" w:line="240" w:lineRule="auto"/>
            </w:pPr>
            <w:r>
              <w:rPr>
                <w:rFonts w:ascii="Aptos" w:hAnsi="Aptos"/>
                <w:sz w:val="15"/>
              </w:rPr>
              <w:t>Can a small team maintain updates, tune false positives, investigate events and close remediation tasks?</w:t>
            </w:r>
          </w:p>
        </w:tc>
        <w:tc>
          <w:tcPr>
            <w:tcW w:type="dxa" w:w="1440"/>
            <w:vAlign w:val="center"/>
            <w:tcMar>
              <w:top w:w="70" w:type="dxa"/>
              <w:start w:w="85" w:type="dxa"/>
              <w:bottom w:w="70" w:type="dxa"/>
              <w:end w:w="85" w:type="dxa"/>
            </w:tcMar>
          </w:tcPr>
          <w:p>
            <w:pPr>
              <w:spacing w:after="20" w:before="0" w:line="240" w:lineRule="auto"/>
            </w:pPr>
            <w:r>
              <w:rPr>
                <w:rFonts w:ascii="Aptos" w:hAnsi="Aptos"/>
                <w:sz w:val="15"/>
              </w:rPr>
              <w:t>High</w:t>
            </w:r>
          </w:p>
        </w:tc>
      </w:tr>
      <w:tr>
        <w:trPr>
          <w:cantSplit/>
        </w:trPr>
        <w:tc>
          <w:tcPr>
            <w:tcW w:type="dxa" w:w="1944"/>
            <w:vAlign w:val="center"/>
            <w:tcMar>
              <w:top w:w="70" w:type="dxa"/>
              <w:start w:w="85" w:type="dxa"/>
              <w:bottom w:w="70" w:type="dxa"/>
              <w:end w:w="85" w:type="dxa"/>
            </w:tcMar>
            <w:shd w:fill="F4F7FA"/>
          </w:tcPr>
          <w:p>
            <w:pPr>
              <w:spacing w:after="20" w:before="0" w:line="240" w:lineRule="auto"/>
            </w:pPr>
            <w:r>
              <w:rPr>
                <w:rFonts w:ascii="Aptos" w:hAnsi="Aptos"/>
                <w:sz w:val="15"/>
              </w:rPr>
              <w:t>Safety and public-service impact</w:t>
            </w:r>
          </w:p>
        </w:tc>
        <w:tc>
          <w:tcPr>
            <w:tcW w:type="dxa" w:w="7056"/>
            <w:vAlign w:val="center"/>
            <w:tcMar>
              <w:top w:w="70" w:type="dxa"/>
              <w:start w:w="85" w:type="dxa"/>
              <w:bottom w:w="70" w:type="dxa"/>
              <w:end w:w="85" w:type="dxa"/>
            </w:tcMar>
            <w:shd w:fill="F4F7FA"/>
          </w:tcPr>
          <w:p>
            <w:pPr>
              <w:spacing w:after="20" w:before="0" w:line="240" w:lineRule="auto"/>
            </w:pPr>
            <w:r>
              <w:rPr>
                <w:rFonts w:ascii="Aptos" w:hAnsi="Aptos"/>
                <w:sz w:val="15"/>
              </w:rPr>
              <w:t>Can scans and response actions be bounded to prevent service disruption or accidental blocking?</w:t>
            </w:r>
          </w:p>
        </w:tc>
        <w:tc>
          <w:tcPr>
            <w:tcW w:type="dxa" w:w="1440"/>
            <w:vAlign w:val="center"/>
            <w:tcMar>
              <w:top w:w="70" w:type="dxa"/>
              <w:start w:w="85" w:type="dxa"/>
              <w:bottom w:w="70" w:type="dxa"/>
              <w:end w:w="85" w:type="dxa"/>
            </w:tcMar>
            <w:shd w:fill="F4F7FA"/>
          </w:tcPr>
          <w:p>
            <w:pPr>
              <w:spacing w:after="20" w:before="0" w:line="240" w:lineRule="auto"/>
            </w:pPr>
            <w:r>
              <w:rPr>
                <w:rFonts w:ascii="Aptos" w:hAnsi="Aptos"/>
                <w:sz w:val="15"/>
              </w:rPr>
              <w:t>Very high</w:t>
            </w:r>
          </w:p>
        </w:tc>
      </w:tr>
      <w:tr>
        <w:trPr>
          <w:cantSplit/>
        </w:trPr>
        <w:tc>
          <w:tcPr>
            <w:tcW w:type="dxa" w:w="1944"/>
            <w:vAlign w:val="center"/>
            <w:tcMar>
              <w:top w:w="70" w:type="dxa"/>
              <w:start w:w="85" w:type="dxa"/>
              <w:bottom w:w="70" w:type="dxa"/>
              <w:end w:w="85" w:type="dxa"/>
            </w:tcMar>
          </w:tcPr>
          <w:p>
            <w:pPr>
              <w:spacing w:after="20" w:before="0" w:line="240" w:lineRule="auto"/>
            </w:pPr>
            <w:r>
              <w:rPr>
                <w:rFonts w:ascii="Aptos" w:hAnsi="Aptos"/>
                <w:sz w:val="15"/>
              </w:rPr>
              <w:t>Governance and evidence</w:t>
            </w:r>
          </w:p>
        </w:tc>
        <w:tc>
          <w:tcPr>
            <w:tcW w:type="dxa" w:w="7056"/>
            <w:vAlign w:val="center"/>
            <w:tcMar>
              <w:top w:w="70" w:type="dxa"/>
              <w:start w:w="85" w:type="dxa"/>
              <w:bottom w:w="70" w:type="dxa"/>
              <w:end w:w="85" w:type="dxa"/>
            </w:tcMar>
          </w:tcPr>
          <w:p>
            <w:pPr>
              <w:spacing w:after="20" w:before="0" w:line="240" w:lineRule="auto"/>
            </w:pPr>
            <w:r>
              <w:rPr>
                <w:rFonts w:ascii="Aptos" w:hAnsi="Aptos"/>
                <w:sz w:val="15"/>
              </w:rPr>
              <w:t>Can outputs support audit trails, evidence preservation and reporting workflows?</w:t>
            </w:r>
          </w:p>
        </w:tc>
        <w:tc>
          <w:tcPr>
            <w:tcW w:type="dxa" w:w="1440"/>
            <w:vAlign w:val="center"/>
            <w:tcMar>
              <w:top w:w="70" w:type="dxa"/>
              <w:start w:w="85" w:type="dxa"/>
              <w:bottom w:w="70" w:type="dxa"/>
              <w:end w:w="85" w:type="dxa"/>
            </w:tcMar>
          </w:tcPr>
          <w:p>
            <w:pPr>
              <w:spacing w:after="20" w:before="0" w:line="240" w:lineRule="auto"/>
            </w:pPr>
            <w:r>
              <w:rPr>
                <w:rFonts w:ascii="Aptos" w:hAnsi="Aptos"/>
                <w:sz w:val="15"/>
              </w:rPr>
              <w:t>High</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FFF4DE"/>
            <w:tcMar>
              <w:top w:w="130" w:type="dxa"/>
              <w:start w:w="160" w:type="dxa"/>
              <w:bottom w:w="130" w:type="dxa"/>
              <w:end w:w="160" w:type="dxa"/>
            </w:tcMar>
          </w:tcPr>
          <w:p>
            <w:pPr>
              <w:spacing w:after="60"/>
            </w:pPr>
            <w:r>
              <w:rPr>
                <w:b/>
                <w:color w:val="9B6A12"/>
                <w:sz w:val="20"/>
              </w:rPr>
              <w:t>Evidence boundary</w:t>
            </w:r>
          </w:p>
          <w:p>
            <w:pPr>
              <w:spacing w:after="0" w:line="252" w:lineRule="auto"/>
            </w:pPr>
            <w:r>
              <w:rPr>
                <w:sz w:val="18"/>
              </w:rPr>
              <w:t>Official feature documentation describes intended capabilities; it does not establish detection accuracy for a particular department, traffic profile or threat actor. Production approval should depend on a pilot, representative testing, measurable acceptance criteria and ongoing tuning.</w:t>
            </w:r>
          </w:p>
        </w:tc>
      </w:tr>
    </w:tbl>
    <w:p>
      <w:pPr>
        <w:spacing w:after="20"/>
      </w:pPr>
    </w:p>
    <w:p>
      <w:pPr>
        <w:pStyle w:val="Heading1"/>
        <w:keepNext/>
      </w:pPr>
      <w:r>
        <w:t>3. Threat landscape for e-governance</w:t>
      </w:r>
    </w:p>
    <w:p>
      <w:r>
        <w:t>The primary security problem is a combined availability, integrity, confidentiality and accountability challenge. Public services often expose web and API surfaces to large numbers of users while depending on identity providers, shared infrastructure, third-party service providers and administrative access. OWASP’s API Security Top 10 highlights risks such as broken object-level authorisation and broken authentication, which are especially relevant when APIs expose citizen-specific records or application status. [7]</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2541"/>
        <w:gridCol w:w="2541"/>
        <w:gridCol w:w="2541"/>
        <w:gridCol w:w="2541"/>
      </w:tblGrid>
      <w:tr>
        <w:trPr>
          <w:cantSplit/>
          <w:tblHeader w:val="true"/>
        </w:trPr>
        <w:tc>
          <w:tcPr>
            <w:tcW w:type="dxa" w:w="2088"/>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Threat scenario</w:t>
            </w:r>
          </w:p>
        </w:tc>
        <w:tc>
          <w:tcPr>
            <w:tcW w:type="dxa" w:w="288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Likely observable signals</w:t>
            </w:r>
          </w:p>
        </w:tc>
        <w:tc>
          <w:tcPr>
            <w:tcW w:type="dxa" w:w="252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Service / citizen impact</w:t>
            </w:r>
          </w:p>
        </w:tc>
        <w:tc>
          <w:tcPr>
            <w:tcW w:type="dxa" w:w="2952"/>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Primary control contribution</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Aptos" w:hAnsi="Aptos"/>
                <w:sz w:val="14"/>
              </w:rPr>
              <w:t>Credential theft or account takeover</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Repeated login failures, unusual logins, privilege changes, endpoint events.</w:t>
            </w:r>
          </w:p>
        </w:tc>
        <w:tc>
          <w:tcPr>
            <w:tcW w:type="dxa" w:w="2520"/>
            <w:vAlign w:val="center"/>
            <w:tcMar>
              <w:top w:w="70" w:type="dxa"/>
              <w:start w:w="85" w:type="dxa"/>
              <w:bottom w:w="70" w:type="dxa"/>
              <w:end w:w="85" w:type="dxa"/>
            </w:tcMar>
          </w:tcPr>
          <w:p>
            <w:pPr>
              <w:spacing w:after="20" w:before="0" w:line="240" w:lineRule="auto"/>
            </w:pPr>
            <w:r>
              <w:rPr>
                <w:rFonts w:ascii="Aptos" w:hAnsi="Aptos"/>
                <w:sz w:val="14"/>
              </w:rPr>
              <w:t>Fraudulent applications, account misuse, personal-data exposure.</w:t>
            </w:r>
          </w:p>
        </w:tc>
        <w:tc>
          <w:tcPr>
            <w:tcW w:type="dxa" w:w="2952"/>
            <w:vAlign w:val="center"/>
            <w:tcMar>
              <w:top w:w="70" w:type="dxa"/>
              <w:start w:w="85" w:type="dxa"/>
              <w:bottom w:w="70" w:type="dxa"/>
              <w:end w:w="85" w:type="dxa"/>
            </w:tcMar>
          </w:tcPr>
          <w:p>
            <w:pPr>
              <w:spacing w:after="20" w:before="0" w:line="240" w:lineRule="auto"/>
            </w:pPr>
            <w:r>
              <w:rPr>
                <w:rFonts w:ascii="Aptos" w:hAnsi="Aptos"/>
                <w:sz w:val="14"/>
              </w:rPr>
              <w:t>Wazuh log correlation; Suricata network signals where visible; identity controls remain essential.</w:t>
            </w:r>
          </w:p>
        </w:tc>
      </w:tr>
      <w:tr>
        <w:trPr>
          <w:cantSplit/>
        </w:trPr>
        <w:tc>
          <w:tcPr>
            <w:tcW w:type="dxa" w:w="2088"/>
            <w:vAlign w:val="center"/>
            <w:tcMar>
              <w:top w:w="70" w:type="dxa"/>
              <w:start w:w="85" w:type="dxa"/>
              <w:bottom w:w="70" w:type="dxa"/>
              <w:end w:w="85" w:type="dxa"/>
            </w:tcMar>
            <w:shd w:fill="F4F7FA"/>
          </w:tcPr>
          <w:p>
            <w:pPr>
              <w:spacing w:after="20" w:before="0" w:line="240" w:lineRule="auto"/>
            </w:pPr>
            <w:r>
              <w:rPr>
                <w:rFonts w:ascii="Aptos" w:hAnsi="Aptos"/>
                <w:sz w:val="14"/>
              </w:rPr>
              <w:t>Web/API exploitation</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Suspicious HTTP patterns, scanning, exploit signatures, unusual error or access logs.</w:t>
            </w:r>
          </w:p>
        </w:tc>
        <w:tc>
          <w:tcPr>
            <w:tcW w:type="dxa" w:w="2520"/>
            <w:vAlign w:val="center"/>
            <w:tcMar>
              <w:top w:w="70" w:type="dxa"/>
              <w:start w:w="85" w:type="dxa"/>
              <w:bottom w:w="70" w:type="dxa"/>
              <w:end w:w="85" w:type="dxa"/>
            </w:tcMar>
            <w:shd w:fill="F4F7FA"/>
          </w:tcPr>
          <w:p>
            <w:pPr>
              <w:spacing w:after="20" w:before="0" w:line="240" w:lineRule="auto"/>
            </w:pPr>
            <w:r>
              <w:rPr>
                <w:rFonts w:ascii="Aptos" w:hAnsi="Aptos"/>
                <w:sz w:val="14"/>
              </w:rPr>
              <w:t>Portal/API compromise, record exposure, service manipulation.</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4"/>
              </w:rPr>
              <w:t>Suricata signatures and application logs in Wazuh; secure coding and WAF controls remain necessary.</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Aptos" w:hAnsi="Aptos"/>
                <w:sz w:val="14"/>
              </w:rPr>
              <w:t>Ransomware or destructive malware</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Unexpected process/log behaviour, file integrity changes, unusual network connections.</w:t>
            </w:r>
          </w:p>
        </w:tc>
        <w:tc>
          <w:tcPr>
            <w:tcW w:type="dxa" w:w="2520"/>
            <w:vAlign w:val="center"/>
            <w:tcMar>
              <w:top w:w="70" w:type="dxa"/>
              <w:start w:w="85" w:type="dxa"/>
              <w:bottom w:w="70" w:type="dxa"/>
              <w:end w:w="85" w:type="dxa"/>
            </w:tcMar>
          </w:tcPr>
          <w:p>
            <w:pPr>
              <w:spacing w:after="20" w:before="0" w:line="240" w:lineRule="auto"/>
            </w:pPr>
            <w:r>
              <w:rPr>
                <w:rFonts w:ascii="Aptos" w:hAnsi="Aptos"/>
                <w:sz w:val="14"/>
              </w:rPr>
              <w:t>Outage, inaccessible records, recovery cost and loss of public trust.</w:t>
            </w:r>
          </w:p>
        </w:tc>
        <w:tc>
          <w:tcPr>
            <w:tcW w:type="dxa" w:w="2952"/>
            <w:vAlign w:val="center"/>
            <w:tcMar>
              <w:top w:w="70" w:type="dxa"/>
              <w:start w:w="85" w:type="dxa"/>
              <w:bottom w:w="70" w:type="dxa"/>
              <w:end w:w="85" w:type="dxa"/>
            </w:tcMar>
          </w:tcPr>
          <w:p>
            <w:pPr>
              <w:spacing w:after="20" w:before="0" w:line="240" w:lineRule="auto"/>
            </w:pPr>
            <w:r>
              <w:rPr>
                <w:rFonts w:ascii="Aptos" w:hAnsi="Aptos"/>
                <w:sz w:val="14"/>
              </w:rPr>
              <w:t>Wazuh endpoint visibility and FIM; Suricata network detection; tested backups and response procedures.</w:t>
            </w:r>
          </w:p>
        </w:tc>
      </w:tr>
      <w:tr>
        <w:trPr>
          <w:cantSplit/>
        </w:trPr>
        <w:tc>
          <w:tcPr>
            <w:tcW w:type="dxa" w:w="2088"/>
            <w:vAlign w:val="center"/>
            <w:tcMar>
              <w:top w:w="70" w:type="dxa"/>
              <w:start w:w="85" w:type="dxa"/>
              <w:bottom w:w="70" w:type="dxa"/>
              <w:end w:w="85" w:type="dxa"/>
            </w:tcMar>
            <w:shd w:fill="F4F7FA"/>
          </w:tcPr>
          <w:p>
            <w:pPr>
              <w:spacing w:after="20" w:before="0" w:line="240" w:lineRule="auto"/>
            </w:pPr>
            <w:r>
              <w:rPr>
                <w:rFonts w:ascii="Aptos" w:hAnsi="Aptos"/>
                <w:sz w:val="14"/>
              </w:rPr>
              <w:t>Known vulnerable internet-facing service</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Open services, outdated packages, scan findings, exposed management ports.</w:t>
            </w:r>
          </w:p>
        </w:tc>
        <w:tc>
          <w:tcPr>
            <w:tcW w:type="dxa" w:w="2520"/>
            <w:vAlign w:val="center"/>
            <w:tcMar>
              <w:top w:w="70" w:type="dxa"/>
              <w:start w:w="85" w:type="dxa"/>
              <w:bottom w:w="70" w:type="dxa"/>
              <w:end w:w="85" w:type="dxa"/>
            </w:tcMar>
            <w:shd w:fill="F4F7FA"/>
          </w:tcPr>
          <w:p>
            <w:pPr>
              <w:spacing w:after="20" w:before="0" w:line="240" w:lineRule="auto"/>
            </w:pPr>
            <w:r>
              <w:rPr>
                <w:rFonts w:ascii="Aptos" w:hAnsi="Aptos"/>
                <w:sz w:val="14"/>
              </w:rPr>
              <w:t>Initial compromise, privilege escalation or data breach.</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4"/>
              </w:rPr>
              <w:t>Greenbone discovery and repeat scanning; patch ownership and configuration hardening close the gap.</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Aptos" w:hAnsi="Aptos"/>
                <w:sz w:val="14"/>
              </w:rPr>
              <w:t>Denial-of-service / traffic surge</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Packet/flow anomalies, protocol misuse, service latency and upstream alerts.</w:t>
            </w:r>
          </w:p>
        </w:tc>
        <w:tc>
          <w:tcPr>
            <w:tcW w:type="dxa" w:w="2520"/>
            <w:vAlign w:val="center"/>
            <w:tcMar>
              <w:top w:w="70" w:type="dxa"/>
              <w:start w:w="85" w:type="dxa"/>
              <w:bottom w:w="70" w:type="dxa"/>
              <w:end w:w="85" w:type="dxa"/>
            </w:tcMar>
          </w:tcPr>
          <w:p>
            <w:pPr>
              <w:spacing w:after="20" w:before="0" w:line="240" w:lineRule="auto"/>
            </w:pPr>
            <w:r>
              <w:rPr>
                <w:rFonts w:ascii="Aptos" w:hAnsi="Aptos"/>
                <w:sz w:val="14"/>
              </w:rPr>
              <w:t>Citizens cannot access essential services.</w:t>
            </w:r>
          </w:p>
        </w:tc>
        <w:tc>
          <w:tcPr>
            <w:tcW w:type="dxa" w:w="2952"/>
            <w:vAlign w:val="center"/>
            <w:tcMar>
              <w:top w:w="70" w:type="dxa"/>
              <w:start w:w="85" w:type="dxa"/>
              <w:bottom w:w="70" w:type="dxa"/>
              <w:end w:w="85" w:type="dxa"/>
            </w:tcMar>
          </w:tcPr>
          <w:p>
            <w:pPr>
              <w:spacing w:after="20" w:before="0" w:line="240" w:lineRule="auto"/>
            </w:pPr>
            <w:r>
              <w:rPr>
                <w:rFonts w:ascii="Aptos" w:hAnsi="Aptos"/>
                <w:sz w:val="14"/>
              </w:rPr>
              <w:t>Suricata visibility may assist analysis; upstream DDoS service, capacity planning and continuity measures are still required.</w:t>
            </w:r>
          </w:p>
        </w:tc>
      </w:tr>
      <w:tr>
        <w:trPr>
          <w:cantSplit/>
        </w:trPr>
        <w:tc>
          <w:tcPr>
            <w:tcW w:type="dxa" w:w="2088"/>
            <w:vAlign w:val="center"/>
            <w:tcMar>
              <w:top w:w="70" w:type="dxa"/>
              <w:start w:w="85" w:type="dxa"/>
              <w:bottom w:w="70" w:type="dxa"/>
              <w:end w:w="85" w:type="dxa"/>
            </w:tcMar>
            <w:shd w:fill="F4F7FA"/>
          </w:tcPr>
          <w:p>
            <w:pPr>
              <w:spacing w:after="20" w:before="0" w:line="240" w:lineRule="auto"/>
            </w:pPr>
            <w:r>
              <w:rPr>
                <w:rFonts w:ascii="Aptos" w:hAnsi="Aptos"/>
                <w:sz w:val="14"/>
              </w:rPr>
              <w:t>Insider misuse or unauthorised change</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Privileged actions, account changes, unexpected changes to critical files/configuration.</w:t>
            </w:r>
          </w:p>
        </w:tc>
        <w:tc>
          <w:tcPr>
            <w:tcW w:type="dxa" w:w="2520"/>
            <w:vAlign w:val="center"/>
            <w:tcMar>
              <w:top w:w="70" w:type="dxa"/>
              <w:start w:w="85" w:type="dxa"/>
              <w:bottom w:w="70" w:type="dxa"/>
              <w:end w:w="85" w:type="dxa"/>
            </w:tcMar>
            <w:shd w:fill="F4F7FA"/>
          </w:tcPr>
          <w:p>
            <w:pPr>
              <w:spacing w:after="20" w:before="0" w:line="240" w:lineRule="auto"/>
            </w:pPr>
            <w:r>
              <w:rPr>
                <w:rFonts w:ascii="Aptos" w:hAnsi="Aptos"/>
                <w:sz w:val="14"/>
              </w:rPr>
              <w:t>Improper access, alteration of records and audit concerns.</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4"/>
              </w:rPr>
              <w:t>Wazuh logs/FIM and least privilege; independent review and separation of duties.</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Aptos" w:hAnsi="Aptos"/>
                <w:sz w:val="14"/>
              </w:rPr>
              <w:t>Third-party or supply-chain compromise</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Vendor account use, changed binaries/configs, unusual external connections, supplier advisories.</w:t>
            </w:r>
          </w:p>
        </w:tc>
        <w:tc>
          <w:tcPr>
            <w:tcW w:type="dxa" w:w="2520"/>
            <w:vAlign w:val="center"/>
            <w:tcMar>
              <w:top w:w="70" w:type="dxa"/>
              <w:start w:w="85" w:type="dxa"/>
              <w:bottom w:w="70" w:type="dxa"/>
              <w:end w:w="85" w:type="dxa"/>
            </w:tcMar>
          </w:tcPr>
          <w:p>
            <w:pPr>
              <w:spacing w:after="20" w:before="0" w:line="240" w:lineRule="auto"/>
            </w:pPr>
            <w:r>
              <w:rPr>
                <w:rFonts w:ascii="Aptos" w:hAnsi="Aptos"/>
                <w:sz w:val="14"/>
              </w:rPr>
              <w:t>Wider compromise via trusted integration or support access.</w:t>
            </w:r>
          </w:p>
        </w:tc>
        <w:tc>
          <w:tcPr>
            <w:tcW w:type="dxa" w:w="2952"/>
            <w:vAlign w:val="center"/>
            <w:tcMar>
              <w:top w:w="70" w:type="dxa"/>
              <w:start w:w="85" w:type="dxa"/>
              <w:bottom w:w="70" w:type="dxa"/>
              <w:end w:w="85" w:type="dxa"/>
            </w:tcMar>
          </w:tcPr>
          <w:p>
            <w:pPr>
              <w:spacing w:after="20" w:before="0" w:line="240" w:lineRule="auto"/>
            </w:pPr>
            <w:r>
              <w:rPr>
                <w:rFonts w:ascii="Aptos" w:hAnsi="Aptos"/>
                <w:sz w:val="14"/>
              </w:rPr>
              <w:t>Wazuh and Suricata telemetry; supplier assurance, restricted access and signed updates are necessary.</w:t>
            </w:r>
          </w:p>
        </w:tc>
      </w:tr>
      <w:tr>
        <w:trPr>
          <w:cantSplit/>
        </w:trPr>
        <w:tc>
          <w:tcPr>
            <w:tcW w:type="dxa" w:w="2088"/>
            <w:vAlign w:val="center"/>
            <w:tcMar>
              <w:top w:w="70" w:type="dxa"/>
              <w:start w:w="85" w:type="dxa"/>
              <w:bottom w:w="70" w:type="dxa"/>
              <w:end w:w="85" w:type="dxa"/>
            </w:tcMar>
            <w:shd w:fill="F4F7FA"/>
          </w:tcPr>
          <w:p>
            <w:pPr>
              <w:spacing w:after="20" w:before="0" w:line="240" w:lineRule="auto"/>
            </w:pPr>
            <w:r>
              <w:rPr>
                <w:rFonts w:ascii="Aptos" w:hAnsi="Aptos"/>
                <w:sz w:val="14"/>
              </w:rPr>
              <w:t>Misconfiguration / exposed storage</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Configuration assessment findings, unexpected services, public exposure.</w:t>
            </w:r>
          </w:p>
        </w:tc>
        <w:tc>
          <w:tcPr>
            <w:tcW w:type="dxa" w:w="2520"/>
            <w:vAlign w:val="center"/>
            <w:tcMar>
              <w:top w:w="70" w:type="dxa"/>
              <w:start w:w="85" w:type="dxa"/>
              <w:bottom w:w="70" w:type="dxa"/>
              <w:end w:w="85" w:type="dxa"/>
            </w:tcMar>
            <w:shd w:fill="F4F7FA"/>
          </w:tcPr>
          <w:p>
            <w:pPr>
              <w:spacing w:after="20" w:before="0" w:line="240" w:lineRule="auto"/>
            </w:pPr>
            <w:r>
              <w:rPr>
                <w:rFonts w:ascii="Aptos" w:hAnsi="Aptos"/>
                <w:sz w:val="14"/>
              </w:rPr>
              <w:t>Personal-data leakage, unauthorised access and compliance risk.</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4"/>
              </w:rPr>
              <w:t>Wazuh configuration monitoring and Greenbone scans; cloud posture tools and access reviews may be needed.</w:t>
            </w:r>
          </w:p>
        </w:tc>
      </w:tr>
    </w:tbl>
    <w:p>
      <w:pPr>
        <w:spacing w:after="20"/>
      </w:pPr>
    </w:p>
    <w:p>
      <w:pPr>
        <w:pStyle w:val="Heading2"/>
        <w:keepNext/>
      </w:pPr>
      <w:r>
        <w:t>3.1 Threat-modelling principles</w:t>
      </w:r>
    </w:p>
    <w:p>
      <w:pPr>
        <w:pStyle w:val="ListBullet"/>
        <w:spacing w:after="40"/>
        <w:ind w:left="317" w:hanging="173"/>
      </w:pPr>
      <w:r>
        <w:t>Prioritise services by criticality: citizen identity, payments, benefit delivery and sensitive records usually require more stringent monitoring and shorter remediation timelines than low-impact informational pages.</w:t>
      </w:r>
    </w:p>
    <w:p>
      <w:pPr>
        <w:pStyle w:val="ListBullet"/>
        <w:spacing w:after="40"/>
        <w:ind w:left="317" w:hanging="173"/>
      </w:pPr>
      <w:r>
        <w:t>Map trust boundaries: public internet, API gateway, application tier, database tier, administrative network, cloud control plane and supplier connections.</w:t>
      </w:r>
    </w:p>
    <w:p>
      <w:pPr>
        <w:pStyle w:val="ListBullet"/>
        <w:spacing w:after="40"/>
        <w:ind w:left="317" w:hanging="173"/>
      </w:pPr>
      <w:r>
        <w:t>Identify attack paths, not only assets: for example, a vulnerable public-facing service can lead to server compromise, credential theft, lateral movement and database access.</w:t>
      </w:r>
    </w:p>
    <w:p>
      <w:pPr>
        <w:pStyle w:val="ListBullet"/>
        <w:spacing w:after="40"/>
        <w:ind w:left="317" w:hanging="173"/>
      </w:pPr>
      <w:r>
        <w:t>Use risk-based prioritisation: combine vulnerability severity with exposure, exploitability, asset criticality, available compensating controls and business impact.</w:t>
      </w:r>
    </w:p>
    <w:p>
      <w:pPr>
        <w:pStyle w:val="ListBullet"/>
        <w:spacing w:after="40"/>
        <w:ind w:left="317" w:hanging="173"/>
      </w:pPr>
      <w:r>
        <w:t>Plan for blind spots: encrypted traffic may limit payload inspection, logs may be incomplete, and scanners may miss business-logic vulnerabilities or unknown/zero-day attacks.</w:t>
      </w:r>
    </w:p>
    <w:p>
      <w:pPr>
        <w:pStyle w:val="Heading1"/>
        <w:keepNext/>
      </w:pPr>
      <w:r>
        <w:t>4. Tool assessment</w:t>
      </w:r>
    </w:p>
    <w:p>
      <w:pPr>
        <w:pStyle w:val="Heading2"/>
        <w:keepNext/>
      </w:pPr>
      <w:r>
        <w:t>4.1 Wazuh: security monitoring and event analysis</w:t>
      </w:r>
    </w:p>
    <w:p>
      <w:r>
        <w:t>Role in the proposed design: Wazuh is the central monitoring platform for logs and alerts from supported endpoints and selected security/network devices. Its documented architecture uses agents and central components including a server, indexer and dashboard. The agent provides capabilities including log collection, file-integrity monitoring, security configuration assessment, system inventory, vulnerability detection and incident-response support. [1][8][9]</w:t>
      </w:r>
    </w:p>
    <w:p>
      <w:pPr>
        <w:pStyle w:val="Heading3"/>
        <w:keepNext/>
      </w:pPr>
      <w:r>
        <w:t>Important capabilities</w:t>
      </w:r>
    </w:p>
    <w:p>
      <w:pPr>
        <w:pStyle w:val="ListBullet"/>
        <w:spacing w:after="40"/>
        <w:ind w:left="317" w:hanging="173"/>
      </w:pPr>
      <w:r>
        <w:t>Collect operating-system and application logs from monitored endpoints and selected network/security sources.</w:t>
      </w:r>
    </w:p>
    <w:p>
      <w:pPr>
        <w:pStyle w:val="ListBullet"/>
        <w:spacing w:after="40"/>
        <w:ind w:left="317" w:hanging="173"/>
      </w:pPr>
      <w:r>
        <w:t>Parse log events with decoders and evaluate them against rules to generate alerts and support analyst searches.</w:t>
      </w:r>
    </w:p>
    <w:p>
      <w:pPr>
        <w:pStyle w:val="ListBullet"/>
        <w:spacing w:after="40"/>
        <w:ind w:left="317" w:hanging="173"/>
      </w:pPr>
      <w:r>
        <w:t>Monitor integrity changes to selected system and application files; detect unexpected additions, edits or deletions.</w:t>
      </w:r>
    </w:p>
    <w:p>
      <w:pPr>
        <w:pStyle w:val="ListBullet"/>
        <w:spacing w:after="40"/>
        <w:ind w:left="317" w:hanging="173"/>
      </w:pPr>
      <w:r>
        <w:t>Perform security configuration assessment and inventory/vulnerability-related monitoring on supported endpoints.</w:t>
      </w:r>
    </w:p>
    <w:p>
      <w:pPr>
        <w:pStyle w:val="ListBullet"/>
        <w:spacing w:after="40"/>
        <w:ind w:left="317" w:hanging="173"/>
      </w:pPr>
      <w:r>
        <w:t>Provide a dashboard and central workspace for event review, filters, searches and investigation pivots.</w:t>
      </w:r>
    </w:p>
    <w:p>
      <w:pPr>
        <w:pStyle w:val="Heading3"/>
        <w:keepNext/>
      </w:pPr>
      <w:r>
        <w:t>Advantages</w:t>
      </w:r>
    </w:p>
    <w:p>
      <w:pPr>
        <w:pStyle w:val="ListBullet"/>
        <w:spacing w:after="40"/>
        <w:ind w:left="317" w:hanging="173"/>
      </w:pPr>
      <w:r>
        <w:t>Open-source software can reduce initial software licence cost and allow rule/customisation work.</w:t>
      </w:r>
    </w:p>
    <w:p>
      <w:pPr>
        <w:pStyle w:val="ListBullet"/>
        <w:spacing w:after="40"/>
        <w:ind w:left="317" w:hanging="173"/>
      </w:pPr>
      <w:r>
        <w:t>Provides a central place for multiple host and log sources, useful for small teams building baseline visibility.</w:t>
      </w:r>
    </w:p>
    <w:p>
      <w:pPr>
        <w:pStyle w:val="ListBullet"/>
        <w:spacing w:after="40"/>
        <w:ind w:left="317" w:hanging="173"/>
      </w:pPr>
      <w:r>
        <w:t>Can combine endpoint signals with Suricata event logs, increasing investigation context.</w:t>
      </w:r>
    </w:p>
    <w:p>
      <w:pPr>
        <w:pStyle w:val="Heading3"/>
        <w:keepNext/>
      </w:pPr>
      <w:r>
        <w:t>Limitations and controls</w:t>
      </w:r>
    </w:p>
    <w:p>
      <w:pPr>
        <w:pStyle w:val="ListBullet"/>
        <w:spacing w:after="40"/>
        <w:ind w:left="317" w:hanging="173"/>
      </w:pPr>
      <w:r>
        <w:t>It is not a complete replacement for a dedicated network IDS/IPS, DDoS service, web application firewall or secure development process.</w:t>
      </w:r>
    </w:p>
    <w:p>
      <w:pPr>
        <w:pStyle w:val="ListBullet"/>
        <w:spacing w:after="40"/>
        <w:ind w:left="317" w:hanging="173"/>
      </w:pPr>
      <w:r>
        <w:t>Alert quality depends on log coverage, correct time synchronisation, rules, exclusions and analyst tuning.</w:t>
      </w:r>
    </w:p>
    <w:p>
      <w:pPr>
        <w:pStyle w:val="ListBullet"/>
        <w:spacing w:after="40"/>
        <w:ind w:left="317" w:hanging="173"/>
      </w:pPr>
      <w:r>
        <w:t>Indexer storage and search performance can become costly at high event volumes; retention and tiering must be designed.</w:t>
      </w:r>
    </w:p>
    <w:p>
      <w:pPr>
        <w:pStyle w:val="ListBullet"/>
        <w:spacing w:after="40"/>
        <w:ind w:left="317" w:hanging="173"/>
      </w:pPr>
      <w:r>
        <w:t>Agents and the central platform become security-critical assets: restrict admin access, patch them, use protected channels, harden configuration and monitor their health.</w:t>
      </w:r>
    </w:p>
    <w:p>
      <w:pPr>
        <w:pStyle w:val="Heading3"/>
        <w:keepNext/>
      </w:pPr>
      <w:r>
        <w:t>Integration recommendations</w:t>
      </w:r>
    </w:p>
    <w:p>
      <w:r>
        <w:t>Deploy central components on a restricted management segment. Install agents first on a small set of representative Linux and Windows servers, then expand by asset criticality. Send Suricata EVE JSON events through a documented log-collection path, validating field extraction and timestamps. Create dashboards for authentication failures, critical-file changes, new privileged accounts, malware-related alerts, high-severity network events and collection failures. Route alerts through a ticketing or incident workflow with named owners and severity-based service levels.</w:t>
      </w:r>
    </w:p>
    <w:p>
      <w:pPr>
        <w:pStyle w:val="Heading2"/>
        <w:keepNext/>
      </w:pPr>
      <w:r>
        <w:t>4.2 Suricata: network IDS/IPS and network security monitoring</w:t>
      </w:r>
    </w:p>
    <w:p>
      <w:r>
        <w:t>Role in the proposed design: Suricata observes network traffic to detect suspicious activity using signatures and protocol analysis. Its official documentation describes it as a high-performance Network IDS, IPS and Network Security Monitoring engine released as open-source software by the Open Information Security Foundation. EVE output can record alerts, anomalies, metadata, file information and protocol-specific events as JSON. [2][10]</w:t>
      </w:r>
    </w:p>
    <w:p>
      <w:pPr>
        <w:pStyle w:val="Heading3"/>
        <w:keepNext/>
      </w:pPr>
      <w:r>
        <w:t>Important capabilities</w:t>
      </w:r>
    </w:p>
    <w:p>
      <w:pPr>
        <w:pStyle w:val="ListBullet"/>
        <w:spacing w:after="40"/>
        <w:ind w:left="317" w:hanging="173"/>
      </w:pPr>
      <w:r>
        <w:t>Signature-based detection of known malicious patterns and suspicious traffic.</w:t>
      </w:r>
    </w:p>
    <w:p>
      <w:pPr>
        <w:pStyle w:val="ListBullet"/>
        <w:spacing w:after="40"/>
        <w:ind w:left="317" w:hanging="173"/>
      </w:pPr>
      <w:r>
        <w:t>Protocol-aware inspection and structured event records through EVE JSON.</w:t>
      </w:r>
    </w:p>
    <w:p>
      <w:pPr>
        <w:pStyle w:val="ListBullet"/>
        <w:spacing w:after="40"/>
        <w:ind w:left="317" w:hanging="173"/>
      </w:pPr>
      <w:r>
        <w:t>Passive IDS operation to monitor mirrored traffic without changing packet flow.</w:t>
      </w:r>
    </w:p>
    <w:p>
      <w:pPr>
        <w:pStyle w:val="ListBullet"/>
        <w:spacing w:after="40"/>
        <w:ind w:left="317" w:hanging="173"/>
      </w:pPr>
      <w:r>
        <w:t>Inline IPS operation is possible in suitable designs, but introduces availability and change-control risk.</w:t>
      </w:r>
    </w:p>
    <w:p>
      <w:pPr>
        <w:pStyle w:val="Heading3"/>
        <w:keepNext/>
      </w:pPr>
      <w:r>
        <w:t>Advantages</w:t>
      </w:r>
    </w:p>
    <w:p>
      <w:pPr>
        <w:pStyle w:val="ListBullet"/>
        <w:spacing w:after="40"/>
        <w:ind w:left="317" w:hanging="173"/>
      </w:pPr>
      <w:r>
        <w:t>Adds network-level visibility that endpoint agents alone cannot provide.</w:t>
      </w:r>
    </w:p>
    <w:p>
      <w:pPr>
        <w:pStyle w:val="ListBullet"/>
        <w:spacing w:after="40"/>
        <w:ind w:left="317" w:hanging="173"/>
      </w:pPr>
      <w:r>
        <w:t>Structured event output can be ingested by a SIEM-style platform for searches and correlation.</w:t>
      </w:r>
    </w:p>
    <w:p>
      <w:pPr>
        <w:pStyle w:val="ListBullet"/>
        <w:spacing w:after="40"/>
        <w:ind w:left="317" w:hanging="173"/>
      </w:pPr>
      <w:r>
        <w:t>Open-source software offers flexibility in sensor placement and rule management.</w:t>
      </w:r>
    </w:p>
    <w:p>
      <w:pPr>
        <w:pStyle w:val="Heading3"/>
        <w:keepNext/>
      </w:pPr>
      <w:r>
        <w:t>Limitations and controls</w:t>
      </w:r>
    </w:p>
    <w:p>
      <w:pPr>
        <w:pStyle w:val="ListBullet"/>
        <w:spacing w:after="40"/>
        <w:ind w:left="317" w:hanging="173"/>
      </w:pPr>
      <w:r>
        <w:t>Traffic visibility depends on correct TAP/SPAN placement, throughput, packet drops, routing and asymmetric traffic.</w:t>
      </w:r>
    </w:p>
    <w:p>
      <w:pPr>
        <w:pStyle w:val="ListBullet"/>
        <w:spacing w:after="40"/>
        <w:ind w:left="317" w:hanging="173"/>
      </w:pPr>
      <w:r>
        <w:t>TLS encryption reduces payload visibility unless lawful, approved decryption is deployed; metadata and endpoint logs still matter.</w:t>
      </w:r>
    </w:p>
    <w:p>
      <w:pPr>
        <w:pStyle w:val="ListBullet"/>
        <w:spacing w:after="40"/>
        <w:ind w:left="317" w:hanging="173"/>
      </w:pPr>
      <w:r>
        <w:t>Signature alerts can be noisy or miss novel threats; rule updates, tuning and protocol context are necessary.</w:t>
      </w:r>
    </w:p>
    <w:p>
      <w:pPr>
        <w:pStyle w:val="ListBullet"/>
        <w:spacing w:after="40"/>
        <w:ind w:left="317" w:hanging="173"/>
      </w:pPr>
      <w:r>
        <w:t>Inline blocking can disrupt legitimate government services if rules are incorrectly tuned. Start in passive mode and use an approved rollback plan.</w:t>
      </w:r>
    </w:p>
    <w:p>
      <w:pPr>
        <w:pStyle w:val="Heading3"/>
        <w:keepNext/>
      </w:pPr>
      <w:r>
        <w:t>Integration recommendations</w:t>
      </w:r>
    </w:p>
    <w:p>
      <w:r>
        <w:t>Place sensors at selected internet ingress/egress and high-value internal trust boundaries. Begin with a passive SPAN/TAP feed and measure packet loss and CPU/memory use under peak load. Export only the event fields needed for detection and investigation to the central platform; manage sensitive packet payloads carefully. Map source/destination IPs to the asset inventory and retain enough context to investigate without collecting more personal information than necessary.</w:t>
      </w:r>
    </w:p>
    <w:p>
      <w:pPr>
        <w:pStyle w:val="Heading2"/>
        <w:keepNext/>
      </w:pPr>
      <w:r>
        <w:t>4.3 Greenbone Community Edition / OpenVAS: vulnerability assessment</w:t>
      </w:r>
    </w:p>
    <w:p>
      <w:r>
        <w:t>Role in the proposed design: Greenbone Community Edition is the open-source vulnerability-management software stack associated with the OpenVAS project. Its architecture includes scanner components, the Greenbone Vulnerability Management Daemon (gvmd), and the Greenbone Security Assistant web interface; it can use the community feed, while enterprise feeds and support are commercial options. The documented GMP and OSP protocols support management and scanner communication. [3][4][11]</w:t>
      </w:r>
    </w:p>
    <w:p>
      <w:pPr>
        <w:pStyle w:val="Heading3"/>
        <w:keepNext/>
      </w:pPr>
      <w:r>
        <w:t>Important capabilities</w:t>
      </w:r>
    </w:p>
    <w:p>
      <w:pPr>
        <w:pStyle w:val="ListBullet"/>
        <w:spacing w:after="40"/>
        <w:ind w:left="317" w:hanging="173"/>
      </w:pPr>
      <w:r>
        <w:t>Run scheduled vulnerability tests against approved hosts and exposed services.</w:t>
      </w:r>
    </w:p>
    <w:p>
      <w:pPr>
        <w:pStyle w:val="ListBullet"/>
        <w:spacing w:after="40"/>
        <w:ind w:left="317" w:hanging="173"/>
      </w:pPr>
      <w:r>
        <w:t>Use authenticated checks where supported to improve visibility into installed software and configuration.</w:t>
      </w:r>
    </w:p>
    <w:p>
      <w:pPr>
        <w:pStyle w:val="ListBullet"/>
        <w:spacing w:after="40"/>
        <w:ind w:left="317" w:hanging="173"/>
      </w:pPr>
      <w:r>
        <w:t>Consolidate scan tasks and findings, produce reports and support repeat scans to verify remediation.</w:t>
      </w:r>
    </w:p>
    <w:p>
      <w:pPr>
        <w:pStyle w:val="ListBullet"/>
        <w:spacing w:after="40"/>
        <w:ind w:left="317" w:hanging="173"/>
      </w:pPr>
      <w:r>
        <w:t>Provide a management interface and protocols for authorised scan control and retrieval of results.</w:t>
      </w:r>
    </w:p>
    <w:p>
      <w:pPr>
        <w:pStyle w:val="Heading3"/>
        <w:keepNext/>
      </w:pPr>
      <w:r>
        <w:t>Advantages</w:t>
      </w:r>
    </w:p>
    <w:p>
      <w:pPr>
        <w:pStyle w:val="ListBullet"/>
        <w:spacing w:after="40"/>
        <w:ind w:left="317" w:hanging="173"/>
      </w:pPr>
      <w:r>
        <w:t>Supports a repeatable discover–prioritise–remediate–retest workflow.</w:t>
      </w:r>
    </w:p>
    <w:p>
      <w:pPr>
        <w:pStyle w:val="ListBullet"/>
        <w:spacing w:after="40"/>
        <w:ind w:left="317" w:hanging="173"/>
      </w:pPr>
      <w:r>
        <w:t>The community edition allows evaluation and some use without an enterprise scanner licence.</w:t>
      </w:r>
    </w:p>
    <w:p>
      <w:pPr>
        <w:pStyle w:val="ListBullet"/>
        <w:spacing w:after="40"/>
        <w:ind w:left="317" w:hanging="173"/>
      </w:pPr>
      <w:r>
        <w:t>Findings can complement runtime monitoring by identifying known weaknesses on assets that generate alerts.</w:t>
      </w:r>
    </w:p>
    <w:p>
      <w:pPr>
        <w:pStyle w:val="Heading3"/>
        <w:keepNext/>
      </w:pPr>
      <w:r>
        <w:t>Limitations and controls</w:t>
      </w:r>
    </w:p>
    <w:p>
      <w:pPr>
        <w:pStyle w:val="ListBullet"/>
        <w:spacing w:after="40"/>
        <w:ind w:left="317" w:hanging="173"/>
      </w:pPr>
      <w:r>
        <w:t>Scans can create load or affect fragile/legacy systems; use approved windows, rate limits and exclusions.</w:t>
      </w:r>
    </w:p>
    <w:p>
      <w:pPr>
        <w:pStyle w:val="ListBullet"/>
        <w:spacing w:after="40"/>
        <w:ind w:left="317" w:hanging="173"/>
      </w:pPr>
      <w:r>
        <w:t>A scanner does not prove that a service is secure and does not reliably discover every business-logic defect or unknown vulnerability.</w:t>
      </w:r>
    </w:p>
    <w:p>
      <w:pPr>
        <w:pStyle w:val="ListBullet"/>
        <w:spacing w:after="40"/>
        <w:ind w:left="317" w:hanging="173"/>
      </w:pPr>
      <w:r>
        <w:t>Community feed and support differences should be assessed; no fixed coverage or feed-freshness guarantee is assumed here.</w:t>
      </w:r>
    </w:p>
    <w:p>
      <w:pPr>
        <w:pStyle w:val="ListBullet"/>
        <w:spacing w:after="40"/>
        <w:ind w:left="317" w:hanging="173"/>
      </w:pPr>
      <w:r>
        <w:t>Reports may contain sensitive asset data and details useful to attackers; secure the scanner, reports and API credentials.</w:t>
      </w:r>
    </w:p>
    <w:p>
      <w:pPr>
        <w:pStyle w:val="Heading3"/>
        <w:keepNext/>
      </w:pPr>
      <w:r>
        <w:t>Integration recommendations</w:t>
      </w:r>
    </w:p>
    <w:p>
      <w:r>
        <w:t>Create a signed-off asset scope and written rules of engagement before any scan. Begin with a limited authenticated scan on test or low-risk production assets, then expand to approved asset groups. Export findings through the available reporting or management interface and normalise hostname/IP, CVE, severity, detection time and scan status. Where a native connector is not documented for the exact deployment, use a small reviewed integration script or scheduled report ingestion into ticketing/monitoring. Track asset-owner acceptance and retest after patches or configuration changes.</w:t>
      </w:r>
    </w:p>
    <w:p>
      <w:pPr>
        <w:pStyle w:val="Heading1"/>
        <w:keepNext/>
      </w:pPr>
      <w:r>
        <w:t>5. Comparative analysis</w:t>
      </w:r>
    </w:p>
    <w:p>
      <w:r>
        <w:t>No single tool covers all three functions. The most effective architecture assigns each tool a clear primary role and connects evidence through a consistent asset inventory and response workflow.</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2541"/>
        <w:gridCol w:w="2541"/>
        <w:gridCol w:w="2541"/>
        <w:gridCol w:w="2541"/>
      </w:tblGrid>
      <w:tr>
        <w:trPr>
          <w:cantSplit/>
          <w:tblHeader w:val="true"/>
        </w:trPr>
        <w:tc>
          <w:tcPr>
            <w:tcW w:type="dxa" w:w="1656"/>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Parameter</w:t>
            </w:r>
          </w:p>
        </w:tc>
        <w:tc>
          <w:tcPr>
            <w:tcW w:type="dxa" w:w="2952"/>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Wazuh</w:t>
            </w:r>
          </w:p>
        </w:tc>
        <w:tc>
          <w:tcPr>
            <w:tcW w:type="dxa" w:w="288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Suricata</w:t>
            </w:r>
          </w:p>
        </w:tc>
        <w:tc>
          <w:tcPr>
            <w:tcW w:type="dxa" w:w="288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Greenbone / OpenVAS</w:t>
            </w:r>
          </w:p>
        </w:tc>
      </w:tr>
      <w:tr>
        <w:trPr>
          <w:cantSplit/>
        </w:trPr>
        <w:tc>
          <w:tcPr>
            <w:tcW w:type="dxa" w:w="1656"/>
            <w:vAlign w:val="center"/>
            <w:tcMar>
              <w:top w:w="70" w:type="dxa"/>
              <w:start w:w="85" w:type="dxa"/>
              <w:bottom w:w="70" w:type="dxa"/>
              <w:end w:w="85" w:type="dxa"/>
            </w:tcMar>
          </w:tcPr>
          <w:p>
            <w:pPr>
              <w:spacing w:after="20" w:before="0" w:line="240" w:lineRule="auto"/>
            </w:pPr>
            <w:r>
              <w:rPr>
                <w:rFonts w:ascii="Aptos" w:hAnsi="Aptos"/>
                <w:sz w:val="14"/>
              </w:rPr>
              <w:t>Primary role</w:t>
            </w:r>
          </w:p>
        </w:tc>
        <w:tc>
          <w:tcPr>
            <w:tcW w:type="dxa" w:w="2952"/>
            <w:vAlign w:val="center"/>
            <w:tcMar>
              <w:top w:w="70" w:type="dxa"/>
              <w:start w:w="85" w:type="dxa"/>
              <w:bottom w:w="70" w:type="dxa"/>
              <w:end w:w="85" w:type="dxa"/>
            </w:tcMar>
          </w:tcPr>
          <w:p>
            <w:pPr>
              <w:spacing w:after="20" w:before="0" w:line="240" w:lineRule="auto"/>
            </w:pPr>
            <w:r>
              <w:rPr>
                <w:rFonts w:ascii="Aptos" w:hAnsi="Aptos"/>
                <w:sz w:val="14"/>
              </w:rPr>
              <w:t>Central host/log monitoring and event analysis</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Network IDS/IPS and network security monitoring</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Vulnerability discovery and assessment</w:t>
            </w:r>
          </w:p>
        </w:tc>
      </w:tr>
      <w:tr>
        <w:trPr>
          <w:cantSplit/>
        </w:trPr>
        <w:tc>
          <w:tcPr>
            <w:tcW w:type="dxa" w:w="1656"/>
            <w:vAlign w:val="center"/>
            <w:tcMar>
              <w:top w:w="70" w:type="dxa"/>
              <w:start w:w="85" w:type="dxa"/>
              <w:bottom w:w="70" w:type="dxa"/>
              <w:end w:w="85" w:type="dxa"/>
            </w:tcMar>
            <w:shd w:fill="F4F7FA"/>
          </w:tcPr>
          <w:p>
            <w:pPr>
              <w:spacing w:after="20" w:before="0" w:line="240" w:lineRule="auto"/>
            </w:pPr>
            <w:r>
              <w:rPr>
                <w:rFonts w:ascii="Aptos" w:hAnsi="Aptos"/>
                <w:sz w:val="14"/>
              </w:rPr>
              <w:t>Main data</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4"/>
              </w:rPr>
              <w:t>Endpoint logs, application logs, file changes, config and selected device logs</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Observed network packets, signatures, protocol events and anomalies</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Host/service scan results, identified exposures and vulnerability metadata</w:t>
            </w:r>
          </w:p>
        </w:tc>
      </w:tr>
      <w:tr>
        <w:trPr>
          <w:cantSplit/>
        </w:trPr>
        <w:tc>
          <w:tcPr>
            <w:tcW w:type="dxa" w:w="1656"/>
            <w:vAlign w:val="center"/>
            <w:tcMar>
              <w:top w:w="70" w:type="dxa"/>
              <w:start w:w="85" w:type="dxa"/>
              <w:bottom w:w="70" w:type="dxa"/>
              <w:end w:w="85" w:type="dxa"/>
            </w:tcMar>
          </w:tcPr>
          <w:p>
            <w:pPr>
              <w:spacing w:after="20" w:before="0" w:line="240" w:lineRule="auto"/>
            </w:pPr>
            <w:r>
              <w:rPr>
                <w:rFonts w:ascii="Aptos" w:hAnsi="Aptos"/>
                <w:sz w:val="14"/>
              </w:rPr>
              <w:t>Best contribution</w:t>
            </w:r>
          </w:p>
        </w:tc>
        <w:tc>
          <w:tcPr>
            <w:tcW w:type="dxa" w:w="2952"/>
            <w:vAlign w:val="center"/>
            <w:tcMar>
              <w:top w:w="70" w:type="dxa"/>
              <w:start w:w="85" w:type="dxa"/>
              <w:bottom w:w="70" w:type="dxa"/>
              <w:end w:w="85" w:type="dxa"/>
            </w:tcMar>
          </w:tcPr>
          <w:p>
            <w:pPr>
              <w:spacing w:after="20" w:before="0" w:line="240" w:lineRule="auto"/>
            </w:pPr>
            <w:r>
              <w:rPr>
                <w:rFonts w:ascii="Aptos" w:hAnsi="Aptos"/>
                <w:sz w:val="14"/>
              </w:rPr>
              <w:t>Connects and analyses multiple security events centrally</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Detects suspicious patterns in observed network traffic</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Finds known weaknesses requiring remediation</w:t>
            </w:r>
          </w:p>
        </w:tc>
      </w:tr>
      <w:tr>
        <w:trPr>
          <w:cantSplit/>
        </w:trPr>
        <w:tc>
          <w:tcPr>
            <w:tcW w:type="dxa" w:w="1656"/>
            <w:vAlign w:val="center"/>
            <w:tcMar>
              <w:top w:w="70" w:type="dxa"/>
              <w:start w:w="85" w:type="dxa"/>
              <w:bottom w:w="70" w:type="dxa"/>
              <w:end w:w="85" w:type="dxa"/>
            </w:tcMar>
            <w:shd w:fill="F4F7FA"/>
          </w:tcPr>
          <w:p>
            <w:pPr>
              <w:spacing w:after="20" w:before="0" w:line="240" w:lineRule="auto"/>
            </w:pPr>
            <w:r>
              <w:rPr>
                <w:rFonts w:ascii="Aptos" w:hAnsi="Aptos"/>
                <w:sz w:val="14"/>
              </w:rPr>
              <w:t>Native overlap</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4"/>
              </w:rPr>
              <w:t>Some endpoint inventory and vulnerability-related functions</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Not an asset-patching or general-purpose endpoint platform</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Not a real-time SIEM or inline network defence</w:t>
            </w:r>
          </w:p>
        </w:tc>
      </w:tr>
      <w:tr>
        <w:trPr>
          <w:cantSplit/>
        </w:trPr>
        <w:tc>
          <w:tcPr>
            <w:tcW w:type="dxa" w:w="1656"/>
            <w:vAlign w:val="center"/>
            <w:tcMar>
              <w:top w:w="70" w:type="dxa"/>
              <w:start w:w="85" w:type="dxa"/>
              <w:bottom w:w="70" w:type="dxa"/>
              <w:end w:w="85" w:type="dxa"/>
            </w:tcMar>
          </w:tcPr>
          <w:p>
            <w:pPr>
              <w:spacing w:after="20" w:before="0" w:line="240" w:lineRule="auto"/>
            </w:pPr>
            <w:r>
              <w:rPr>
                <w:rFonts w:ascii="Aptos" w:hAnsi="Aptos"/>
                <w:sz w:val="14"/>
              </w:rPr>
              <w:t>Integration pathway</w:t>
            </w:r>
          </w:p>
        </w:tc>
        <w:tc>
          <w:tcPr>
            <w:tcW w:type="dxa" w:w="2952"/>
            <w:vAlign w:val="center"/>
            <w:tcMar>
              <w:top w:w="70" w:type="dxa"/>
              <w:start w:w="85" w:type="dxa"/>
              <w:bottom w:w="70" w:type="dxa"/>
              <w:end w:w="85" w:type="dxa"/>
            </w:tcMar>
          </w:tcPr>
          <w:p>
            <w:pPr>
              <w:spacing w:after="20" w:before="0" w:line="240" w:lineRule="auto"/>
            </w:pPr>
            <w:r>
              <w:rPr>
                <w:rFonts w:ascii="Aptos" w:hAnsi="Aptos"/>
                <w:sz w:val="14"/>
              </w:rPr>
              <w:t>Agents, syslog, APIs and supported integrations</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EVE JSON or syslog into a collector/monitoring platform</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GMP/OSP, reports or reviewed API/export workflows</w:t>
            </w:r>
          </w:p>
        </w:tc>
      </w:tr>
      <w:tr>
        <w:trPr>
          <w:cantSplit/>
        </w:trPr>
        <w:tc>
          <w:tcPr>
            <w:tcW w:type="dxa" w:w="1656"/>
            <w:vAlign w:val="center"/>
            <w:tcMar>
              <w:top w:w="70" w:type="dxa"/>
              <w:start w:w="85" w:type="dxa"/>
              <w:bottom w:w="70" w:type="dxa"/>
              <w:end w:w="85" w:type="dxa"/>
            </w:tcMar>
            <w:shd w:fill="F4F7FA"/>
          </w:tcPr>
          <w:p>
            <w:pPr>
              <w:spacing w:after="20" w:before="0" w:line="240" w:lineRule="auto"/>
            </w:pPr>
            <w:r>
              <w:rPr>
                <w:rFonts w:ascii="Aptos" w:hAnsi="Aptos"/>
                <w:sz w:val="14"/>
              </w:rPr>
              <w:t>Open-source position</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4"/>
              </w:rPr>
              <w:t>Free/open-source platform; cloud and support choices may cost extra</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GPLv2 open-source engine; hardware/operations still cost money</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Community edition open source; enterprise feed/support are paid options</w:t>
            </w:r>
          </w:p>
        </w:tc>
      </w:tr>
      <w:tr>
        <w:trPr>
          <w:cantSplit/>
        </w:trPr>
        <w:tc>
          <w:tcPr>
            <w:tcW w:type="dxa" w:w="1656"/>
            <w:vAlign w:val="center"/>
            <w:tcMar>
              <w:top w:w="70" w:type="dxa"/>
              <w:start w:w="85" w:type="dxa"/>
              <w:bottom w:w="70" w:type="dxa"/>
              <w:end w:w="85" w:type="dxa"/>
            </w:tcMar>
          </w:tcPr>
          <w:p>
            <w:pPr>
              <w:spacing w:after="20" w:before="0" w:line="240" w:lineRule="auto"/>
            </w:pPr>
            <w:r>
              <w:rPr>
                <w:rFonts w:ascii="Aptos" w:hAnsi="Aptos"/>
                <w:sz w:val="14"/>
              </w:rPr>
              <w:t>Integration effort</w:t>
            </w:r>
          </w:p>
        </w:tc>
        <w:tc>
          <w:tcPr>
            <w:tcW w:type="dxa" w:w="2952"/>
            <w:vAlign w:val="center"/>
            <w:tcMar>
              <w:top w:w="70" w:type="dxa"/>
              <w:start w:w="85" w:type="dxa"/>
              <w:bottom w:w="70" w:type="dxa"/>
              <w:end w:w="85" w:type="dxa"/>
            </w:tcMar>
          </w:tcPr>
          <w:p>
            <w:pPr>
              <w:spacing w:after="20" w:before="0" w:line="240" w:lineRule="auto"/>
            </w:pPr>
            <w:r>
              <w:rPr>
                <w:rFonts w:ascii="Aptos" w:hAnsi="Aptos"/>
                <w:sz w:val="14"/>
              </w:rPr>
              <w:t>Medium: agent rollout, parsers, rules, storage and tuning</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Medium: sensor placement, rule policy, event parsing and traffic sizing</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Medium to high: safe scope, credentials, scheduling, feed upkeep and ticket workflow</w:t>
            </w:r>
          </w:p>
        </w:tc>
      </w:tr>
      <w:tr>
        <w:trPr>
          <w:cantSplit/>
        </w:trPr>
        <w:tc>
          <w:tcPr>
            <w:tcW w:type="dxa" w:w="1656"/>
            <w:vAlign w:val="center"/>
            <w:tcMar>
              <w:top w:w="70" w:type="dxa"/>
              <w:start w:w="85" w:type="dxa"/>
              <w:bottom w:w="70" w:type="dxa"/>
              <w:end w:w="85" w:type="dxa"/>
            </w:tcMar>
            <w:shd w:fill="F4F7FA"/>
          </w:tcPr>
          <w:p>
            <w:pPr>
              <w:spacing w:after="20" w:before="0" w:line="240" w:lineRule="auto"/>
            </w:pPr>
            <w:r>
              <w:rPr>
                <w:rFonts w:ascii="Aptos" w:hAnsi="Aptos"/>
                <w:sz w:val="14"/>
              </w:rPr>
              <w:t>Scalability factor</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4"/>
              </w:rPr>
              <w:t>Event rate, retention, index size, agents and cluster design</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Throughput, packet loss, sensor count and rule set</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Scan concurrency, target count, credentialed checks and scanner resources</w:t>
            </w:r>
          </w:p>
        </w:tc>
      </w:tr>
      <w:tr>
        <w:trPr>
          <w:cantSplit/>
        </w:trPr>
        <w:tc>
          <w:tcPr>
            <w:tcW w:type="dxa" w:w="1656"/>
            <w:vAlign w:val="center"/>
            <w:tcMar>
              <w:top w:w="70" w:type="dxa"/>
              <w:start w:w="85" w:type="dxa"/>
              <w:bottom w:w="70" w:type="dxa"/>
              <w:end w:w="85" w:type="dxa"/>
            </w:tcMar>
          </w:tcPr>
          <w:p>
            <w:pPr>
              <w:spacing w:after="20" w:before="0" w:line="240" w:lineRule="auto"/>
            </w:pPr>
            <w:r>
              <w:rPr>
                <w:rFonts w:ascii="Aptos" w:hAnsi="Aptos"/>
                <w:sz w:val="14"/>
              </w:rPr>
              <w:t>Principal limitation</w:t>
            </w:r>
          </w:p>
        </w:tc>
        <w:tc>
          <w:tcPr>
            <w:tcW w:type="dxa" w:w="2952"/>
            <w:vAlign w:val="center"/>
            <w:tcMar>
              <w:top w:w="70" w:type="dxa"/>
              <w:start w:w="85" w:type="dxa"/>
              <w:bottom w:w="70" w:type="dxa"/>
              <w:end w:w="85" w:type="dxa"/>
            </w:tcMar>
          </w:tcPr>
          <w:p>
            <w:pPr>
              <w:spacing w:after="20" w:before="0" w:line="240" w:lineRule="auto"/>
            </w:pPr>
            <w:r>
              <w:rPr>
                <w:rFonts w:ascii="Aptos" w:hAnsi="Aptos"/>
                <w:sz w:val="14"/>
              </w:rPr>
              <w:t>High-quality monitoring requires tuning, staff and enough storage</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Can only detect what it can observe; encrypted payload and placement limits apply</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Scans are point-in-time; findings require validation, prioritisation and patching</w:t>
            </w:r>
          </w:p>
        </w:tc>
      </w:tr>
      <w:tr>
        <w:trPr>
          <w:cantSplit/>
        </w:trPr>
        <w:tc>
          <w:tcPr>
            <w:tcW w:type="dxa" w:w="1656"/>
            <w:vAlign w:val="center"/>
            <w:tcMar>
              <w:top w:w="70" w:type="dxa"/>
              <w:start w:w="85" w:type="dxa"/>
              <w:bottom w:w="70" w:type="dxa"/>
              <w:end w:w="85" w:type="dxa"/>
            </w:tcMar>
            <w:shd w:fill="F4F7FA"/>
          </w:tcPr>
          <w:p>
            <w:pPr>
              <w:spacing w:after="20" w:before="0" w:line="240" w:lineRule="auto"/>
            </w:pPr>
            <w:r>
              <w:rPr>
                <w:rFonts w:ascii="Aptos" w:hAnsi="Aptos"/>
                <w:sz w:val="14"/>
              </w:rPr>
              <w:t>Recommendation</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4"/>
              </w:rPr>
              <w:t>Use as central monitoring and triage hub</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Use passive-first network sensor</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Use scheduled, authorised vulnerability management</w:t>
            </w:r>
          </w:p>
        </w:tc>
      </w:tr>
    </w:tbl>
    <w:p>
      <w:pPr>
        <w:spacing w:after="20"/>
      </w:pPr>
    </w:p>
    <w:p>
      <w:r>
        <w:drawing>
          <wp:inline xmlns:a="http://schemas.openxmlformats.org/drawingml/2006/main" xmlns:pic="http://schemas.openxmlformats.org/drawingml/2006/picture">
            <wp:extent cx="6172200" cy="2863447"/>
            <wp:docPr id="1" name="Picture 1" title="Comparative capability-fit chart" descr="Bar chart comparing the indicative role fit of Wazuh, Suricata and Greenbone/OpenVAS across endpoint monitoring, network IDS/IPS, vulnerability assessment, alert analysis and licence cost. Scores are qualitative estimates, not benchmarks."/>
            <wp:cNvGraphicFramePr>
              <a:graphicFrameLocks noChangeAspect="1"/>
            </wp:cNvGraphicFramePr>
            <a:graphic>
              <a:graphicData uri="http://schemas.openxmlformats.org/drawingml/2006/picture">
                <pic:pic>
                  <pic:nvPicPr>
                    <pic:cNvPr id="0" name="comparison.png"/>
                    <pic:cNvPicPr/>
                  </pic:nvPicPr>
                  <pic:blipFill>
                    <a:blip r:embed="rId11"/>
                    <a:stretch>
                      <a:fillRect/>
                    </a:stretch>
                  </pic:blipFill>
                  <pic:spPr>
                    <a:xfrm>
                      <a:off x="0" y="0"/>
                      <a:ext cx="6172200" cy="2863447"/>
                    </a:xfrm>
                    <a:prstGeom prst="rect"/>
                  </pic:spPr>
                </pic:pic>
              </a:graphicData>
            </a:graphic>
          </wp:inline>
        </w:drawing>
      </w:r>
    </w:p>
    <w:p>
      <w:pPr>
        <w:pStyle w:val="SmallNote"/>
      </w:pPr>
      <w:r>
        <w:t>Figure 1. The capability scores are an illustrative fit judgement for the target use case (1–5), not performance testing or a universal ranking.</w:t>
      </w:r>
    </w:p>
    <w:p>
      <w:pPr>
        <w:pStyle w:val="Heading2"/>
        <w:keepNext/>
      </w:pPr>
      <w:r>
        <w:t>5.1 Cost and total ownership considerations</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2541"/>
        <w:gridCol w:w="2541"/>
        <w:gridCol w:w="2541"/>
        <w:gridCol w:w="2541"/>
      </w:tblGrid>
      <w:tr>
        <w:trPr>
          <w:cantSplit/>
          <w:tblHeader w:val="true"/>
        </w:trPr>
        <w:tc>
          <w:tcPr>
            <w:tcW w:type="dxa" w:w="180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Cost component</w:t>
            </w:r>
          </w:p>
        </w:tc>
        <w:tc>
          <w:tcPr>
            <w:tcW w:type="dxa" w:w="288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Wazuh</w:t>
            </w:r>
          </w:p>
        </w:tc>
        <w:tc>
          <w:tcPr>
            <w:tcW w:type="dxa" w:w="288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Suricata</w:t>
            </w:r>
          </w:p>
        </w:tc>
        <w:tc>
          <w:tcPr>
            <w:tcW w:type="dxa" w:w="288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Greenbone / OpenVAS</w:t>
            </w:r>
          </w:p>
        </w:tc>
      </w:tr>
      <w:tr>
        <w:trPr>
          <w:cantSplit/>
        </w:trPr>
        <w:tc>
          <w:tcPr>
            <w:tcW w:type="dxa" w:w="1800"/>
            <w:vAlign w:val="center"/>
            <w:tcMar>
              <w:top w:w="70" w:type="dxa"/>
              <w:start w:w="85" w:type="dxa"/>
              <w:bottom w:w="70" w:type="dxa"/>
              <w:end w:w="85" w:type="dxa"/>
            </w:tcMar>
          </w:tcPr>
          <w:p>
            <w:pPr>
              <w:spacing w:after="20" w:before="0" w:line="240" w:lineRule="auto"/>
            </w:pPr>
            <w:r>
              <w:rPr>
                <w:rFonts w:ascii="Aptos" w:hAnsi="Aptos"/>
                <w:sz w:val="14"/>
              </w:rPr>
              <w:t>Software licence</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Open-source base platform; hosted/cloud or vendor support can add cost.</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Open-source engine.</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Community edition available under open-source licences; enterprise feed/appliance/support may cost extra.</w:t>
            </w:r>
          </w:p>
        </w:tc>
      </w:tr>
      <w:tr>
        <w:trPr>
          <w:cantSplit/>
        </w:trPr>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4"/>
              </w:rPr>
              <w:t>Infrastructure</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Manager/indexer/dashboard capacity, storage, backups and monitoring.</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Sensor compute, high-quality network taps/SPAN ports, packet-buffer capacity.</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Scanner CPU/RAM/storage, network reachability and scan target windows.</w:t>
            </w:r>
          </w:p>
        </w:tc>
      </w:tr>
      <w:tr>
        <w:trPr>
          <w:cantSplit/>
        </w:trPr>
        <w:tc>
          <w:tcPr>
            <w:tcW w:type="dxa" w:w="1800"/>
            <w:vAlign w:val="center"/>
            <w:tcMar>
              <w:top w:w="70" w:type="dxa"/>
              <w:start w:w="85" w:type="dxa"/>
              <w:bottom w:w="70" w:type="dxa"/>
              <w:end w:w="85" w:type="dxa"/>
            </w:tcMar>
          </w:tcPr>
          <w:p>
            <w:pPr>
              <w:spacing w:after="20" w:before="0" w:line="240" w:lineRule="auto"/>
            </w:pPr>
            <w:r>
              <w:rPr>
                <w:rFonts w:ascii="Aptos" w:hAnsi="Aptos"/>
                <w:sz w:val="14"/>
              </w:rPr>
              <w:t>People and operations</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Agent deployment, parser/rule tuning, dashboard maintenance, analyst hours.</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Rule/alert tuning, packet-loss checks, sensor availability and change control.</w:t>
            </w:r>
          </w:p>
        </w:tc>
        <w:tc>
          <w:tcPr>
            <w:tcW w:type="dxa" w:w="2880"/>
            <w:vAlign w:val="center"/>
            <w:tcMar>
              <w:top w:w="70" w:type="dxa"/>
              <w:start w:w="85" w:type="dxa"/>
              <w:bottom w:w="70" w:type="dxa"/>
              <w:end w:w="85" w:type="dxa"/>
            </w:tcMar>
          </w:tcPr>
          <w:p>
            <w:pPr>
              <w:spacing w:after="20" w:before="0" w:line="240" w:lineRule="auto"/>
            </w:pPr>
            <w:r>
              <w:rPr>
                <w:rFonts w:ascii="Aptos" w:hAnsi="Aptos"/>
                <w:sz w:val="14"/>
              </w:rPr>
              <w:t>Feed updates, credential management, scan scheduling, finding validation and retesting.</w:t>
            </w:r>
          </w:p>
        </w:tc>
      </w:tr>
      <w:tr>
        <w:trPr>
          <w:cantSplit/>
        </w:trPr>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4"/>
              </w:rPr>
              <w:t>Potential hidden cost</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Excessive logs, long retention, HA/DR, skills training.</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Under-sized sensors, traffic mirroring constraints, optional commercial rule/support services.</w:t>
            </w:r>
          </w:p>
        </w:tc>
        <w:tc>
          <w:tcPr>
            <w:tcW w:type="dxa" w:w="2880"/>
            <w:vAlign w:val="center"/>
            <w:tcMar>
              <w:top w:w="70" w:type="dxa"/>
              <w:start w:w="85" w:type="dxa"/>
              <w:bottom w:w="70" w:type="dxa"/>
              <w:end w:w="85" w:type="dxa"/>
            </w:tcMar>
            <w:shd w:fill="F4F7FA"/>
          </w:tcPr>
          <w:p>
            <w:pPr>
              <w:spacing w:after="20" w:before="0" w:line="240" w:lineRule="auto"/>
            </w:pPr>
            <w:r>
              <w:rPr>
                <w:rFonts w:ascii="Aptos" w:hAnsi="Aptos"/>
                <w:sz w:val="14"/>
              </w:rPr>
              <w:t>Time spent handling false positives, false negatives, rescans and enterprise assurance requirements.</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FFF4DE"/>
            <w:tcMar>
              <w:top w:w="130" w:type="dxa"/>
              <w:start w:w="160" w:type="dxa"/>
              <w:bottom w:w="130" w:type="dxa"/>
              <w:end w:w="160" w:type="dxa"/>
            </w:tcMar>
          </w:tcPr>
          <w:p>
            <w:pPr>
              <w:spacing w:after="60"/>
            </w:pPr>
            <w:r>
              <w:rPr>
                <w:b/>
                <w:color w:val="9B6A12"/>
                <w:sz w:val="20"/>
              </w:rPr>
              <w:t>Cost conclusion</w:t>
            </w:r>
          </w:p>
          <w:p>
            <w:pPr>
              <w:spacing w:after="0" w:line="252" w:lineRule="auto"/>
            </w:pPr>
            <w:r>
              <w:rPr>
                <w:sz w:val="18"/>
              </w:rPr>
              <w:t>The open-source software licence can reduce upfront spend, but “free” does not mean zero cost. Budget for secure infrastructure, staff time, testing, support, training, storage, rule/feed maintenance, backups and procurement/security review. Ask for a quote only after asset counts, event volume, retention, support and availability requirements are known.</w:t>
            </w:r>
          </w:p>
        </w:tc>
      </w:tr>
    </w:tbl>
    <w:p>
      <w:pPr>
        <w:spacing w:after="20"/>
      </w:pPr>
    </w:p>
    <w:p>
      <w:pPr>
        <w:pStyle w:val="Heading1"/>
        <w:keepNext/>
      </w:pPr>
      <w:r>
        <w:t>6. Proposed integration architecture</w:t>
      </w:r>
    </w:p>
    <w:p>
      <w:r>
        <w:t>The design separates data sources, detection engines, central analysis, vulnerability management and operational response. The architecture deliberately avoids direct automated blocking at the start. It uses repeatable data definitions and a human-authorised response process to protect service availability.</w:t>
      </w:r>
    </w:p>
    <w:p>
      <w:r>
        <w:drawing>
          <wp:inline xmlns:a="http://schemas.openxmlformats.org/drawingml/2006/main" xmlns:pic="http://schemas.openxmlformats.org/drawingml/2006/picture">
            <wp:extent cx="6263640" cy="3314918"/>
            <wp:docPr id="2" name="Picture 2" title="Proposed e-governance security-tool architecture" descr="Architecture diagram showing public digital services and mirrored network traffic observed by Suricata, Suricata EVE JSON flowing to Wazuh, Wazuh agents on protected servers, Greenbone/OpenVAS approved scans, SOC ticketing, governance controls and incident respons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63640" cy="3314918"/>
                    </a:xfrm>
                    <a:prstGeom prst="rect"/>
                  </pic:spPr>
                </pic:pic>
              </a:graphicData>
            </a:graphic>
          </wp:inline>
        </w:drawing>
      </w:r>
    </w:p>
    <w:p>
      <w:pPr>
        <w:pStyle w:val="SmallNote"/>
      </w:pPr>
      <w:r>
        <w:t>Figure 2. Proposed reference architecture. Final placement depends on the organisation’s approved network topology, hosting model and data-classification policy.</w:t>
      </w:r>
    </w:p>
    <w:p>
      <w:pPr>
        <w:pStyle w:val="Heading2"/>
        <w:keepNext/>
      </w:pPr>
      <w:r>
        <w:t>6.1 Data-flow and integration steps</w:t>
      </w:r>
    </w:p>
    <w:p>
      <w:pPr>
        <w:pStyle w:val="ListNumber"/>
        <w:spacing w:after="40"/>
      </w:pPr>
      <w:r>
        <w:t>Asset inventory: assign each server, service, network segment and application a stable asset ID; record owner, criticality, environment, exposure and data sensitivity.</w:t>
      </w:r>
    </w:p>
    <w:p>
      <w:pPr>
        <w:pStyle w:val="ListNumber"/>
        <w:spacing w:after="40"/>
      </w:pPr>
      <w:r>
        <w:t>Endpoint and application telemetry: install Wazuh agents only on approved assets; send relevant operating-system, authentication, application and file-integrity events. Ensure timestamps are synchronised.</w:t>
      </w:r>
    </w:p>
    <w:p>
      <w:pPr>
        <w:pStyle w:val="ListNumber"/>
        <w:spacing w:after="40"/>
      </w:pPr>
      <w:r>
        <w:t>Network telemetry: mirror approved traffic to Suricata; validate sensor coverage, throughput and packet-loss metrics. Generate EVE JSON alerts and protocol metadata.</w:t>
      </w:r>
    </w:p>
    <w:p>
      <w:pPr>
        <w:pStyle w:val="ListNumber"/>
        <w:spacing w:after="40"/>
      </w:pPr>
      <w:r>
        <w:t>Central event analysis: ingest Suricata JSON into Wazuh through a tested collection/parser path. Preserve original event timestamp, sensor identity, source/destination, signature, severity and event identifier.</w:t>
      </w:r>
    </w:p>
    <w:p>
      <w:pPr>
        <w:pStyle w:val="ListNumber"/>
        <w:spacing w:after="40"/>
      </w:pPr>
      <w:r>
        <w:t>Vulnerability evidence: run Greenbone scans on approved scope. Import findings to ticketing or an asset/vulnerability store via a reviewed report/API process. Avoid assuming a native full connector unless verified for the selected version.</w:t>
      </w:r>
    </w:p>
    <w:p>
      <w:pPr>
        <w:pStyle w:val="ListNumber"/>
        <w:spacing w:after="40"/>
      </w:pPr>
      <w:r>
        <w:t>Correlation and prioritisation: join events to stable asset IDs and applicable vulnerability identifiers. Prioritise by asset criticality, external exposure, exploitability and business impact, not scanner severity alone.</w:t>
      </w:r>
    </w:p>
    <w:p>
      <w:pPr>
        <w:pStyle w:val="ListNumber"/>
        <w:spacing w:after="40"/>
      </w:pPr>
      <w:r>
        <w:t>Remediation and verification: assign a ticket to a service owner, patch/configure, retest through Greenbone or other verification, confirm alert status and document residual risk.</w:t>
      </w:r>
    </w:p>
    <w:p>
      <w:pPr>
        <w:pStyle w:val="Heading2"/>
        <w:keepNext/>
      </w:pPr>
      <w:r>
        <w:t>6.2 Example correlation scenario</w:t>
      </w:r>
    </w:p>
    <w:tbl>
      <w:tblPr>
        <w:tblW w:type="auto" w:w="0"/>
        <w:tblLook w:firstColumn="1" w:firstRow="1" w:lastColumn="0" w:lastRow="0" w:noHBand="0" w:noVBand="1" w:val="04A0"/>
      </w:tblPr>
      <w:tblGrid>
        <w:gridCol w:w="10166"/>
      </w:tblGrid>
      <w:tr>
        <w:trPr>
          <w:cantSplit/>
        </w:trPr>
        <w:tc>
          <w:tcPr>
            <w:tcW w:type="dxa" w:w="10166"/>
            <w:shd w:fill="E6F5F2"/>
            <w:tcMar>
              <w:top w:w="130" w:type="dxa"/>
              <w:start w:w="160" w:type="dxa"/>
              <w:bottom w:w="130" w:type="dxa"/>
              <w:end w:w="160" w:type="dxa"/>
            </w:tcMar>
          </w:tcPr>
          <w:p>
            <w:pPr>
              <w:spacing w:after="60"/>
            </w:pPr>
            <w:r>
              <w:rPr>
                <w:b/>
                <w:color w:val="178F8A"/>
                <w:sz w:val="20"/>
              </w:rPr>
              <w:t>Example: suspicious web traffic to a vulnerable service</w:t>
            </w:r>
          </w:p>
          <w:p>
            <w:pPr>
              <w:spacing w:after="0" w:line="252" w:lineRule="auto"/>
            </w:pPr>
            <w:r>
              <w:rPr>
                <w:sz w:val="18"/>
              </w:rPr>
              <w:t>Suricata records repeated exploit-like HTTP requests to a public portal. Wazuh correlates the alert with web-server access/error logs and endpoint events. Greenbone’s most recent approved scan shows that the server exposes a related known vulnerability. The analyst validates the evidence, confirms service owner and exposure, escalates severity, requests containment or emergency patching, preserves logs, checks whether the activity succeeded, and closes the incident only after remediation and verification. This is a workflow example, not a claim that the tools automatically prove exploitation.</w:t>
            </w:r>
          </w:p>
        </w:tc>
      </w:tr>
    </w:tbl>
    <w:p>
      <w:pPr>
        <w:spacing w:after="20"/>
      </w:pPr>
    </w:p>
    <w:p>
      <w:pPr>
        <w:pStyle w:val="Heading2"/>
        <w:keepNext/>
      </w:pPr>
      <w:r>
        <w:t>6.3 Secure integration requirements</w:t>
      </w:r>
    </w:p>
    <w:p>
      <w:pPr>
        <w:pStyle w:val="ListBullet"/>
        <w:spacing w:after="40"/>
        <w:ind w:left="317" w:hanging="173"/>
      </w:pPr>
      <w:r>
        <w:t>Use authenticated, encrypted communication between collectors, managers and APIs; store integration credentials in an approved secret store.</w:t>
      </w:r>
    </w:p>
    <w:p>
      <w:pPr>
        <w:pStyle w:val="ListBullet"/>
        <w:spacing w:after="40"/>
        <w:ind w:left="317" w:hanging="173"/>
      </w:pPr>
      <w:r>
        <w:t>Apply role-based access control and separate tool administrators, analysts, vulnerability remediators and auditors where feasible.</w:t>
      </w:r>
    </w:p>
    <w:p>
      <w:pPr>
        <w:pStyle w:val="ListBullet"/>
        <w:spacing w:after="40"/>
        <w:ind w:left="317" w:hanging="173"/>
      </w:pPr>
      <w:r>
        <w:t>Minimise personal information in logs and scanner reports; restrict access, retention and onward sharing by data classification.</w:t>
      </w:r>
    </w:p>
    <w:p>
      <w:pPr>
        <w:pStyle w:val="ListBullet"/>
        <w:spacing w:after="40"/>
        <w:ind w:left="317" w:hanging="173"/>
      </w:pPr>
      <w:r>
        <w:t>Protect monitoring infrastructure from monitored networks; use dedicated management access, hardened hosts, backups and change control.</w:t>
      </w:r>
    </w:p>
    <w:p>
      <w:pPr>
        <w:pStyle w:val="ListBullet"/>
        <w:spacing w:after="40"/>
        <w:ind w:left="317" w:hanging="173"/>
      </w:pPr>
      <w:r>
        <w:t>Validate parser behaviour, time zones, duplicate events and field mappings in a staging environment before production rollout.</w:t>
      </w:r>
    </w:p>
    <w:p>
      <w:pPr>
        <w:pStyle w:val="ListBullet"/>
        <w:spacing w:after="40"/>
        <w:ind w:left="317" w:hanging="173"/>
      </w:pPr>
      <w:r>
        <w:t>Do not automatically block citizen traffic, disable accounts or isolate critical servers without approved playbooks, safeguards and rollback capability.</w:t>
      </w:r>
    </w:p>
    <w:p>
      <w:pPr>
        <w:pStyle w:val="Heading1"/>
        <w:keepNext/>
      </w:pPr>
      <w:r>
        <w:t>7. Implementation plan</w:t>
      </w:r>
    </w:p>
    <w:p>
      <w:r>
        <w:t>The following roadmap assumes a medium-sized pilot with a limited number of representative digital-service assets. A large statewide or national deployment may require additional phases, procurement cycles and architecture-specific capacity planning.</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2541"/>
        <w:gridCol w:w="2541"/>
        <w:gridCol w:w="2541"/>
        <w:gridCol w:w="2541"/>
      </w:tblGrid>
      <w:tr>
        <w:trPr>
          <w:cantSplit/>
          <w:tblHeader w:val="true"/>
        </w:trPr>
        <w:tc>
          <w:tcPr>
            <w:tcW w:type="dxa" w:w="1656"/>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Phase / timing</w:t>
            </w:r>
          </w:p>
        </w:tc>
        <w:tc>
          <w:tcPr>
            <w:tcW w:type="dxa" w:w="3528"/>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Priority activities</w:t>
            </w:r>
          </w:p>
        </w:tc>
        <w:tc>
          <w:tcPr>
            <w:tcW w:type="dxa" w:w="360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Deliverables / exit criteria</w:t>
            </w:r>
          </w:p>
        </w:tc>
        <w:tc>
          <w:tcPr>
            <w:tcW w:type="dxa" w:w="1728"/>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Accountable roles</w:t>
            </w:r>
          </w:p>
        </w:tc>
      </w:tr>
      <w:tr>
        <w:trPr>
          <w:cantSplit/>
        </w:trPr>
        <w:tc>
          <w:tcPr>
            <w:tcW w:type="dxa" w:w="1656"/>
            <w:vAlign w:val="center"/>
            <w:tcMar>
              <w:top w:w="70" w:type="dxa"/>
              <w:start w:w="85" w:type="dxa"/>
              <w:bottom w:w="70" w:type="dxa"/>
              <w:end w:w="85" w:type="dxa"/>
            </w:tcMar>
          </w:tcPr>
          <w:p>
            <w:pPr>
              <w:spacing w:after="20" w:before="0" w:line="240" w:lineRule="auto"/>
            </w:pPr>
            <w:r>
              <w:rPr>
                <w:rFonts w:ascii="Aptos" w:hAnsi="Aptos"/>
                <w:sz w:val="14"/>
              </w:rPr>
              <w:t>Phase 0: Weeks 1–2</w:t>
            </w:r>
          </w:p>
        </w:tc>
        <w:tc>
          <w:tcPr>
            <w:tcW w:type="dxa" w:w="3528"/>
            <w:vAlign w:val="center"/>
            <w:tcMar>
              <w:top w:w="70" w:type="dxa"/>
              <w:start w:w="85" w:type="dxa"/>
              <w:bottom w:w="70" w:type="dxa"/>
              <w:end w:w="85" w:type="dxa"/>
            </w:tcMar>
          </w:tcPr>
          <w:p>
            <w:pPr>
              <w:spacing w:after="20" w:before="0" w:line="240" w:lineRule="auto"/>
            </w:pPr>
            <w:r>
              <w:rPr>
                <w:rFonts w:ascii="Aptos" w:hAnsi="Aptos"/>
                <w:sz w:val="14"/>
              </w:rPr>
              <w:t>Confirm sponsor, service owners, data classifications, asset inventory, legal obligations, approved scan scope and incident escalation.</w:t>
            </w:r>
          </w:p>
        </w:tc>
        <w:tc>
          <w:tcPr>
            <w:tcW w:type="dxa" w:w="3600"/>
            <w:vAlign w:val="center"/>
            <w:tcMar>
              <w:top w:w="70" w:type="dxa"/>
              <w:start w:w="85" w:type="dxa"/>
              <w:bottom w:w="70" w:type="dxa"/>
              <w:end w:w="85" w:type="dxa"/>
            </w:tcMar>
          </w:tcPr>
          <w:p>
            <w:pPr>
              <w:spacing w:after="20" w:before="0" w:line="240" w:lineRule="auto"/>
            </w:pPr>
            <w:r>
              <w:rPr>
                <w:rFonts w:ascii="Aptos" w:hAnsi="Aptos"/>
                <w:sz w:val="14"/>
              </w:rPr>
              <w:t>Signed scope and rules of engagement; baseline inventory; initial risks; named owners.</w:t>
            </w:r>
          </w:p>
        </w:tc>
        <w:tc>
          <w:tcPr>
            <w:tcW w:type="dxa" w:w="1728"/>
            <w:vAlign w:val="center"/>
            <w:tcMar>
              <w:top w:w="70" w:type="dxa"/>
              <w:start w:w="85" w:type="dxa"/>
              <w:bottom w:w="70" w:type="dxa"/>
              <w:end w:w="85" w:type="dxa"/>
            </w:tcMar>
          </w:tcPr>
          <w:p>
            <w:pPr>
              <w:spacing w:after="20" w:before="0" w:line="240" w:lineRule="auto"/>
            </w:pPr>
            <w:r>
              <w:rPr>
                <w:rFonts w:ascii="Aptos" w:hAnsi="Aptos"/>
                <w:sz w:val="14"/>
              </w:rPr>
              <w:t>Programme sponsor, CISO/security lead, service owner, legal/privacy, network lead.</w:t>
            </w:r>
          </w:p>
        </w:tc>
      </w:tr>
      <w:tr>
        <w:trPr>
          <w:cantSplit/>
        </w:trPr>
        <w:tc>
          <w:tcPr>
            <w:tcW w:type="dxa" w:w="1656"/>
            <w:vAlign w:val="center"/>
            <w:tcMar>
              <w:top w:w="70" w:type="dxa"/>
              <w:start w:w="85" w:type="dxa"/>
              <w:bottom w:w="70" w:type="dxa"/>
              <w:end w:w="85" w:type="dxa"/>
            </w:tcMar>
            <w:shd w:fill="F4F7FA"/>
          </w:tcPr>
          <w:p>
            <w:pPr>
              <w:spacing w:after="20" w:before="0" w:line="240" w:lineRule="auto"/>
            </w:pPr>
            <w:r>
              <w:rPr>
                <w:rFonts w:ascii="Aptos" w:hAnsi="Aptos"/>
                <w:sz w:val="14"/>
              </w:rPr>
              <w:t>Phase 1: Weeks 3–4</w:t>
            </w:r>
          </w:p>
        </w:tc>
        <w:tc>
          <w:tcPr>
            <w:tcW w:type="dxa" w:w="3528"/>
            <w:vAlign w:val="center"/>
            <w:tcMar>
              <w:top w:w="70" w:type="dxa"/>
              <w:start w:w="85" w:type="dxa"/>
              <w:bottom w:w="70" w:type="dxa"/>
              <w:end w:w="85" w:type="dxa"/>
            </w:tcMar>
            <w:shd w:fill="F4F7FA"/>
          </w:tcPr>
          <w:p>
            <w:pPr>
              <w:spacing w:after="20" w:before="0" w:line="240" w:lineRule="auto"/>
            </w:pPr>
            <w:r>
              <w:rPr>
                <w:rFonts w:ascii="Aptos" w:hAnsi="Aptos"/>
                <w:sz w:val="14"/>
              </w:rPr>
              <w:t>Build isolated lab/staging; harden central components; define log schema, retention, access control, backup and clock synchronisation.</w:t>
            </w:r>
          </w:p>
        </w:tc>
        <w:tc>
          <w:tcPr>
            <w:tcW w:type="dxa" w:w="3600"/>
            <w:vAlign w:val="center"/>
            <w:tcMar>
              <w:top w:w="70" w:type="dxa"/>
              <w:start w:w="85" w:type="dxa"/>
              <w:bottom w:w="70" w:type="dxa"/>
              <w:end w:w="85" w:type="dxa"/>
            </w:tcMar>
            <w:shd w:fill="F4F7FA"/>
          </w:tcPr>
          <w:p>
            <w:pPr>
              <w:spacing w:after="20" w:before="0" w:line="240" w:lineRule="auto"/>
            </w:pPr>
            <w:r>
              <w:rPr>
                <w:rFonts w:ascii="Aptos" w:hAnsi="Aptos"/>
                <w:sz w:val="14"/>
              </w:rPr>
              <w:t>Architecture approval; hardened baseline; backup restore test; test event successfully ingested.</w:t>
            </w:r>
          </w:p>
        </w:tc>
        <w:tc>
          <w:tcPr>
            <w:tcW w:type="dxa" w:w="1728"/>
            <w:vAlign w:val="center"/>
            <w:tcMar>
              <w:top w:w="70" w:type="dxa"/>
              <w:start w:w="85" w:type="dxa"/>
              <w:bottom w:w="70" w:type="dxa"/>
              <w:end w:w="85" w:type="dxa"/>
            </w:tcMar>
            <w:shd w:fill="F4F7FA"/>
          </w:tcPr>
          <w:p>
            <w:pPr>
              <w:spacing w:after="20" w:before="0" w:line="240" w:lineRule="auto"/>
            </w:pPr>
            <w:r>
              <w:rPr>
                <w:rFonts w:ascii="Aptos" w:hAnsi="Aptos"/>
                <w:sz w:val="14"/>
              </w:rPr>
              <w:t>Security engineer, platform administrator, privacy/records owner.</w:t>
            </w:r>
          </w:p>
        </w:tc>
      </w:tr>
      <w:tr>
        <w:trPr>
          <w:cantSplit/>
        </w:trPr>
        <w:tc>
          <w:tcPr>
            <w:tcW w:type="dxa" w:w="1656"/>
            <w:vAlign w:val="center"/>
            <w:tcMar>
              <w:top w:w="70" w:type="dxa"/>
              <w:start w:w="85" w:type="dxa"/>
              <w:bottom w:w="70" w:type="dxa"/>
              <w:end w:w="85" w:type="dxa"/>
            </w:tcMar>
          </w:tcPr>
          <w:p>
            <w:pPr>
              <w:spacing w:after="20" w:before="0" w:line="240" w:lineRule="auto"/>
            </w:pPr>
            <w:r>
              <w:rPr>
                <w:rFonts w:ascii="Aptos" w:hAnsi="Aptos"/>
                <w:sz w:val="14"/>
              </w:rPr>
              <w:t>Phase 2: Weeks 5–8</w:t>
            </w:r>
          </w:p>
        </w:tc>
        <w:tc>
          <w:tcPr>
            <w:tcW w:type="dxa" w:w="3528"/>
            <w:vAlign w:val="center"/>
            <w:tcMar>
              <w:top w:w="70" w:type="dxa"/>
              <w:start w:w="85" w:type="dxa"/>
              <w:bottom w:w="70" w:type="dxa"/>
              <w:end w:w="85" w:type="dxa"/>
            </w:tcMar>
          </w:tcPr>
          <w:p>
            <w:pPr>
              <w:spacing w:after="20" w:before="0" w:line="240" w:lineRule="auto"/>
            </w:pPr>
            <w:r>
              <w:rPr>
                <w:rFonts w:ascii="Aptos" w:hAnsi="Aptos"/>
                <w:sz w:val="14"/>
              </w:rPr>
              <w:t>Deploy Wazuh to representative servers; run Suricata in passive mode; tune core detections; perform limited Greenbone scans.</w:t>
            </w:r>
          </w:p>
        </w:tc>
        <w:tc>
          <w:tcPr>
            <w:tcW w:type="dxa" w:w="3600"/>
            <w:vAlign w:val="center"/>
            <w:tcMar>
              <w:top w:w="70" w:type="dxa"/>
              <w:start w:w="85" w:type="dxa"/>
              <w:bottom w:w="70" w:type="dxa"/>
              <w:end w:w="85" w:type="dxa"/>
            </w:tcMar>
          </w:tcPr>
          <w:p>
            <w:pPr>
              <w:spacing w:after="20" w:before="0" w:line="240" w:lineRule="auto"/>
            </w:pPr>
            <w:r>
              <w:rPr>
                <w:rFonts w:ascii="Aptos" w:hAnsi="Aptos"/>
                <w:sz w:val="14"/>
              </w:rPr>
              <w:t>Pilot dashboard; validated network coverage; first vulnerability report; alert-to-ticket workflow.</w:t>
            </w:r>
          </w:p>
        </w:tc>
        <w:tc>
          <w:tcPr>
            <w:tcW w:type="dxa" w:w="1728"/>
            <w:vAlign w:val="center"/>
            <w:tcMar>
              <w:top w:w="70" w:type="dxa"/>
              <w:start w:w="85" w:type="dxa"/>
              <w:bottom w:w="70" w:type="dxa"/>
              <w:end w:w="85" w:type="dxa"/>
            </w:tcMar>
          </w:tcPr>
          <w:p>
            <w:pPr>
              <w:spacing w:after="20" w:before="0" w:line="240" w:lineRule="auto"/>
            </w:pPr>
            <w:r>
              <w:rPr>
                <w:rFonts w:ascii="Aptos" w:hAnsi="Aptos"/>
                <w:sz w:val="14"/>
              </w:rPr>
              <w:t>SOC analyst, server team, network team, vulnerability coordinator.</w:t>
            </w:r>
          </w:p>
        </w:tc>
      </w:tr>
      <w:tr>
        <w:trPr>
          <w:cantSplit/>
        </w:trPr>
        <w:tc>
          <w:tcPr>
            <w:tcW w:type="dxa" w:w="1656"/>
            <w:vAlign w:val="center"/>
            <w:tcMar>
              <w:top w:w="70" w:type="dxa"/>
              <w:start w:w="85" w:type="dxa"/>
              <w:bottom w:w="70" w:type="dxa"/>
              <w:end w:w="85" w:type="dxa"/>
            </w:tcMar>
            <w:shd w:fill="F4F7FA"/>
          </w:tcPr>
          <w:p>
            <w:pPr>
              <w:spacing w:after="20" w:before="0" w:line="240" w:lineRule="auto"/>
            </w:pPr>
            <w:r>
              <w:rPr>
                <w:rFonts w:ascii="Aptos" w:hAnsi="Aptos"/>
                <w:sz w:val="14"/>
              </w:rPr>
              <w:t>Phase 3: Weeks 9–12</w:t>
            </w:r>
          </w:p>
        </w:tc>
        <w:tc>
          <w:tcPr>
            <w:tcW w:type="dxa" w:w="3528"/>
            <w:vAlign w:val="center"/>
            <w:tcMar>
              <w:top w:w="70" w:type="dxa"/>
              <w:start w:w="85" w:type="dxa"/>
              <w:bottom w:w="70" w:type="dxa"/>
              <w:end w:w="85" w:type="dxa"/>
            </w:tcMar>
            <w:shd w:fill="F4F7FA"/>
          </w:tcPr>
          <w:p>
            <w:pPr>
              <w:spacing w:after="20" w:before="0" w:line="240" w:lineRule="auto"/>
            </w:pPr>
            <w:r>
              <w:rPr>
                <w:rFonts w:ascii="Aptos" w:hAnsi="Aptos"/>
                <w:sz w:val="14"/>
              </w:rPr>
              <w:t>Integrate Suricata event parsing; implement finding import/normalisation; tune severity and response runbooks; run tabletop exercise.</w:t>
            </w:r>
          </w:p>
        </w:tc>
        <w:tc>
          <w:tcPr>
            <w:tcW w:type="dxa" w:w="3600"/>
            <w:vAlign w:val="center"/>
            <w:tcMar>
              <w:top w:w="70" w:type="dxa"/>
              <w:start w:w="85" w:type="dxa"/>
              <w:bottom w:w="70" w:type="dxa"/>
              <w:end w:w="85" w:type="dxa"/>
            </w:tcMar>
            <w:shd w:fill="F4F7FA"/>
          </w:tcPr>
          <w:p>
            <w:pPr>
              <w:spacing w:after="20" w:before="0" w:line="240" w:lineRule="auto"/>
            </w:pPr>
            <w:r>
              <w:rPr>
                <w:rFonts w:ascii="Aptos" w:hAnsi="Aptos"/>
                <w:sz w:val="14"/>
              </w:rPr>
              <w:t>Documented integrations; triage playbooks; test incident evidence pack; approved remediation SLAs.</w:t>
            </w:r>
          </w:p>
        </w:tc>
        <w:tc>
          <w:tcPr>
            <w:tcW w:type="dxa" w:w="1728"/>
            <w:vAlign w:val="center"/>
            <w:tcMar>
              <w:top w:w="70" w:type="dxa"/>
              <w:start w:w="85" w:type="dxa"/>
              <w:bottom w:w="70" w:type="dxa"/>
              <w:end w:w="85" w:type="dxa"/>
            </w:tcMar>
            <w:shd w:fill="F4F7FA"/>
          </w:tcPr>
          <w:p>
            <w:pPr>
              <w:spacing w:after="20" w:before="0" w:line="240" w:lineRule="auto"/>
            </w:pPr>
            <w:r>
              <w:rPr>
                <w:rFonts w:ascii="Aptos" w:hAnsi="Aptos"/>
                <w:sz w:val="14"/>
              </w:rPr>
              <w:t>Security engineering, SOC lead, application owner, service desk.</w:t>
            </w:r>
          </w:p>
        </w:tc>
      </w:tr>
      <w:tr>
        <w:trPr>
          <w:cantSplit/>
        </w:trPr>
        <w:tc>
          <w:tcPr>
            <w:tcW w:type="dxa" w:w="1656"/>
            <w:vAlign w:val="center"/>
            <w:tcMar>
              <w:top w:w="70" w:type="dxa"/>
              <w:start w:w="85" w:type="dxa"/>
              <w:bottom w:w="70" w:type="dxa"/>
              <w:end w:w="85" w:type="dxa"/>
            </w:tcMar>
          </w:tcPr>
          <w:p>
            <w:pPr>
              <w:spacing w:after="20" w:before="0" w:line="240" w:lineRule="auto"/>
            </w:pPr>
            <w:r>
              <w:rPr>
                <w:rFonts w:ascii="Aptos" w:hAnsi="Aptos"/>
                <w:sz w:val="14"/>
              </w:rPr>
              <w:t>Phase 4: Months 4–6</w:t>
            </w:r>
          </w:p>
        </w:tc>
        <w:tc>
          <w:tcPr>
            <w:tcW w:type="dxa" w:w="3528"/>
            <w:vAlign w:val="center"/>
            <w:tcMar>
              <w:top w:w="70" w:type="dxa"/>
              <w:start w:w="85" w:type="dxa"/>
              <w:bottom w:w="70" w:type="dxa"/>
              <w:end w:w="85" w:type="dxa"/>
            </w:tcMar>
          </w:tcPr>
          <w:p>
            <w:pPr>
              <w:spacing w:after="20" w:before="0" w:line="240" w:lineRule="auto"/>
            </w:pPr>
            <w:r>
              <w:rPr>
                <w:rFonts w:ascii="Aptos" w:hAnsi="Aptos"/>
                <w:sz w:val="14"/>
              </w:rPr>
              <w:t>Expand to critical services, API gateways and selected cloud/device logs; begin regular scans; prioritise remediation backlog.</w:t>
            </w:r>
          </w:p>
        </w:tc>
        <w:tc>
          <w:tcPr>
            <w:tcW w:type="dxa" w:w="3600"/>
            <w:vAlign w:val="center"/>
            <w:tcMar>
              <w:top w:w="70" w:type="dxa"/>
              <w:start w:w="85" w:type="dxa"/>
              <w:bottom w:w="70" w:type="dxa"/>
              <w:end w:w="85" w:type="dxa"/>
            </w:tcMar>
          </w:tcPr>
          <w:p>
            <w:pPr>
              <w:spacing w:after="20" w:before="0" w:line="240" w:lineRule="auto"/>
            </w:pPr>
            <w:r>
              <w:rPr>
                <w:rFonts w:ascii="Aptos" w:hAnsi="Aptos"/>
                <w:sz w:val="14"/>
              </w:rPr>
              <w:t>Coverage report; recurring scan schedule; monthly risk dashboard; high-risk findings tracked.</w:t>
            </w:r>
          </w:p>
        </w:tc>
        <w:tc>
          <w:tcPr>
            <w:tcW w:type="dxa" w:w="1728"/>
            <w:vAlign w:val="center"/>
            <w:tcMar>
              <w:top w:w="70" w:type="dxa"/>
              <w:start w:w="85" w:type="dxa"/>
              <w:bottom w:w="70" w:type="dxa"/>
              <w:end w:w="85" w:type="dxa"/>
            </w:tcMar>
          </w:tcPr>
          <w:p>
            <w:pPr>
              <w:spacing w:after="20" w:before="0" w:line="240" w:lineRule="auto"/>
            </w:pPr>
            <w:r>
              <w:rPr>
                <w:rFonts w:ascii="Aptos" w:hAnsi="Aptos"/>
                <w:sz w:val="14"/>
              </w:rPr>
              <w:t>CISO delegate, asset owners, platform/cloud teams.</w:t>
            </w:r>
          </w:p>
        </w:tc>
      </w:tr>
      <w:tr>
        <w:trPr>
          <w:cantSplit/>
        </w:trPr>
        <w:tc>
          <w:tcPr>
            <w:tcW w:type="dxa" w:w="1656"/>
            <w:vAlign w:val="center"/>
            <w:tcMar>
              <w:top w:w="70" w:type="dxa"/>
              <w:start w:w="85" w:type="dxa"/>
              <w:bottom w:w="70" w:type="dxa"/>
              <w:end w:w="85" w:type="dxa"/>
            </w:tcMar>
            <w:shd w:fill="F4F7FA"/>
          </w:tcPr>
          <w:p>
            <w:pPr>
              <w:spacing w:after="20" w:before="0" w:line="240" w:lineRule="auto"/>
            </w:pPr>
            <w:r>
              <w:rPr>
                <w:rFonts w:ascii="Aptos" w:hAnsi="Aptos"/>
                <w:sz w:val="14"/>
              </w:rPr>
              <w:t>Phase 5: Months 7–9</w:t>
            </w:r>
          </w:p>
        </w:tc>
        <w:tc>
          <w:tcPr>
            <w:tcW w:type="dxa" w:w="3528"/>
            <w:vAlign w:val="center"/>
            <w:tcMar>
              <w:top w:w="70" w:type="dxa"/>
              <w:start w:w="85" w:type="dxa"/>
              <w:bottom w:w="70" w:type="dxa"/>
              <w:end w:w="85" w:type="dxa"/>
            </w:tcMar>
            <w:shd w:fill="F4F7FA"/>
          </w:tcPr>
          <w:p>
            <w:pPr>
              <w:spacing w:after="20" w:before="0" w:line="240" w:lineRule="auto"/>
            </w:pPr>
            <w:r>
              <w:rPr>
                <w:rFonts w:ascii="Aptos" w:hAnsi="Aptos"/>
                <w:sz w:val="14"/>
              </w:rPr>
              <w:t>Improve detection quality; test failover/backups; validate CERT-In escalation; complete first cross-team response exercise.</w:t>
            </w:r>
          </w:p>
        </w:tc>
        <w:tc>
          <w:tcPr>
            <w:tcW w:type="dxa" w:w="3600"/>
            <w:vAlign w:val="center"/>
            <w:tcMar>
              <w:top w:w="70" w:type="dxa"/>
              <w:start w:w="85" w:type="dxa"/>
              <w:bottom w:w="70" w:type="dxa"/>
              <w:end w:w="85" w:type="dxa"/>
            </w:tcMar>
            <w:shd w:fill="F4F7FA"/>
          </w:tcPr>
          <w:p>
            <w:pPr>
              <w:spacing w:after="20" w:before="0" w:line="240" w:lineRule="auto"/>
            </w:pPr>
            <w:r>
              <w:rPr>
                <w:rFonts w:ascii="Aptos" w:hAnsi="Aptos"/>
                <w:sz w:val="14"/>
              </w:rPr>
              <w:t>Response metrics; recovery evidence; refined detection rules; lessons-learned actions.</w:t>
            </w:r>
          </w:p>
        </w:tc>
        <w:tc>
          <w:tcPr>
            <w:tcW w:type="dxa" w:w="1728"/>
            <w:vAlign w:val="center"/>
            <w:tcMar>
              <w:top w:w="70" w:type="dxa"/>
              <w:start w:w="85" w:type="dxa"/>
              <w:bottom w:w="70" w:type="dxa"/>
              <w:end w:w="85" w:type="dxa"/>
            </w:tcMar>
            <w:shd w:fill="F4F7FA"/>
          </w:tcPr>
          <w:p>
            <w:pPr>
              <w:spacing w:after="20" w:before="0" w:line="240" w:lineRule="auto"/>
            </w:pPr>
            <w:r>
              <w:rPr>
                <w:rFonts w:ascii="Aptos" w:hAnsi="Aptos"/>
                <w:sz w:val="14"/>
              </w:rPr>
              <w:t>Incident commander, SOC, DR lead, compliance owner.</w:t>
            </w:r>
          </w:p>
        </w:tc>
      </w:tr>
      <w:tr>
        <w:trPr>
          <w:cantSplit/>
        </w:trPr>
        <w:tc>
          <w:tcPr>
            <w:tcW w:type="dxa" w:w="1656"/>
            <w:vAlign w:val="center"/>
            <w:tcMar>
              <w:top w:w="70" w:type="dxa"/>
              <w:start w:w="85" w:type="dxa"/>
              <w:bottom w:w="70" w:type="dxa"/>
              <w:end w:w="85" w:type="dxa"/>
            </w:tcMar>
          </w:tcPr>
          <w:p>
            <w:pPr>
              <w:spacing w:after="20" w:before="0" w:line="240" w:lineRule="auto"/>
            </w:pPr>
            <w:r>
              <w:rPr>
                <w:rFonts w:ascii="Aptos" w:hAnsi="Aptos"/>
                <w:sz w:val="14"/>
              </w:rPr>
              <w:t>Phase 6: Months 10–12</w:t>
            </w:r>
          </w:p>
        </w:tc>
        <w:tc>
          <w:tcPr>
            <w:tcW w:type="dxa" w:w="3528"/>
            <w:vAlign w:val="center"/>
            <w:tcMar>
              <w:top w:w="70" w:type="dxa"/>
              <w:start w:w="85" w:type="dxa"/>
              <w:bottom w:w="70" w:type="dxa"/>
              <w:end w:w="85" w:type="dxa"/>
            </w:tcMar>
          </w:tcPr>
          <w:p>
            <w:pPr>
              <w:spacing w:after="20" w:before="0" w:line="240" w:lineRule="auto"/>
            </w:pPr>
            <w:r>
              <w:rPr>
                <w:rFonts w:ascii="Aptos" w:hAnsi="Aptos"/>
                <w:sz w:val="14"/>
              </w:rPr>
              <w:t>Independent review; assess coverage gaps, feed/support decisions and capacity; approve target operating model.</w:t>
            </w:r>
          </w:p>
        </w:tc>
        <w:tc>
          <w:tcPr>
            <w:tcW w:type="dxa" w:w="3600"/>
            <w:vAlign w:val="center"/>
            <w:tcMar>
              <w:top w:w="70" w:type="dxa"/>
              <w:start w:w="85" w:type="dxa"/>
              <w:bottom w:w="70" w:type="dxa"/>
              <w:end w:w="85" w:type="dxa"/>
            </w:tcMar>
          </w:tcPr>
          <w:p>
            <w:pPr>
              <w:spacing w:after="20" w:before="0" w:line="240" w:lineRule="auto"/>
            </w:pPr>
            <w:r>
              <w:rPr>
                <w:rFonts w:ascii="Aptos" w:hAnsi="Aptos"/>
                <w:sz w:val="14"/>
              </w:rPr>
              <w:t>Implementation review; budget proposal; next-year improvement backlog; management acceptance of residual risk.</w:t>
            </w:r>
          </w:p>
        </w:tc>
        <w:tc>
          <w:tcPr>
            <w:tcW w:type="dxa" w:w="1728"/>
            <w:vAlign w:val="center"/>
            <w:tcMar>
              <w:top w:w="70" w:type="dxa"/>
              <w:start w:w="85" w:type="dxa"/>
              <w:bottom w:w="70" w:type="dxa"/>
              <w:end w:w="85" w:type="dxa"/>
            </w:tcMar>
          </w:tcPr>
          <w:p>
            <w:pPr>
              <w:spacing w:after="20" w:before="0" w:line="240" w:lineRule="auto"/>
            </w:pPr>
            <w:r>
              <w:rPr>
                <w:rFonts w:ascii="Aptos" w:hAnsi="Aptos"/>
                <w:sz w:val="14"/>
              </w:rPr>
              <w:t>Sponsor, CISO/security lead, procurement, audit and service owners.</w:t>
            </w:r>
          </w:p>
        </w:tc>
      </w:tr>
    </w:tbl>
    <w:p>
      <w:pPr>
        <w:spacing w:after="20"/>
      </w:pPr>
    </w:p>
    <w:p>
      <w:pPr>
        <w:pStyle w:val="Heading2"/>
        <w:keepNext/>
      </w:pPr>
      <w:r>
        <w:t>7.1 Initial 90-day priorities</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3389"/>
        <w:gridCol w:w="3389"/>
        <w:gridCol w:w="3389"/>
      </w:tblGrid>
      <w:tr>
        <w:trPr>
          <w:cantSplit/>
          <w:tblHeader w:val="true"/>
        </w:trPr>
        <w:tc>
          <w:tcPr>
            <w:tcW w:type="dxa" w:w="1152"/>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Priority</w:t>
            </w:r>
          </w:p>
        </w:tc>
        <w:tc>
          <w:tcPr>
            <w:tcW w:type="dxa" w:w="7488"/>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Action</w:t>
            </w:r>
          </w:p>
        </w:tc>
        <w:tc>
          <w:tcPr>
            <w:tcW w:type="dxa" w:w="180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Target</w:t>
            </w:r>
          </w:p>
        </w:tc>
      </w:tr>
      <w:tr>
        <w:trPr>
          <w:cantSplit/>
        </w:trPr>
        <w:tc>
          <w:tcPr>
            <w:tcW w:type="dxa" w:w="1152"/>
            <w:vAlign w:val="center"/>
            <w:tcMar>
              <w:top w:w="70" w:type="dxa"/>
              <w:start w:w="85" w:type="dxa"/>
              <w:bottom w:w="70" w:type="dxa"/>
              <w:end w:w="85" w:type="dxa"/>
            </w:tcMar>
          </w:tcPr>
          <w:p>
            <w:pPr>
              <w:spacing w:after="20" w:before="0" w:line="240" w:lineRule="auto"/>
            </w:pPr>
            <w:r>
              <w:rPr>
                <w:rFonts w:ascii="Aptos" w:hAnsi="Aptos"/>
                <w:sz w:val="15"/>
              </w:rPr>
              <w:t>P0</w:t>
            </w:r>
          </w:p>
        </w:tc>
        <w:tc>
          <w:tcPr>
            <w:tcW w:type="dxa" w:w="7488"/>
            <w:vAlign w:val="center"/>
            <w:tcMar>
              <w:top w:w="70" w:type="dxa"/>
              <w:start w:w="85" w:type="dxa"/>
              <w:bottom w:w="70" w:type="dxa"/>
              <w:end w:w="85" w:type="dxa"/>
            </w:tcMar>
          </w:tcPr>
          <w:p>
            <w:pPr>
              <w:spacing w:after="20" w:before="0" w:line="240" w:lineRule="auto"/>
            </w:pPr>
            <w:r>
              <w:rPr>
                <w:rFonts w:ascii="Aptos" w:hAnsi="Aptos"/>
                <w:sz w:val="15"/>
              </w:rPr>
              <w:t>Approve scope, owners, data handling, scan rules of engagement and incident escalation contacts.</w:t>
            </w:r>
          </w:p>
        </w:tc>
        <w:tc>
          <w:tcPr>
            <w:tcW w:type="dxa" w:w="1800"/>
            <w:vAlign w:val="center"/>
            <w:tcMar>
              <w:top w:w="70" w:type="dxa"/>
              <w:start w:w="85" w:type="dxa"/>
              <w:bottom w:w="70" w:type="dxa"/>
              <w:end w:w="85" w:type="dxa"/>
            </w:tcMar>
          </w:tcPr>
          <w:p>
            <w:pPr>
              <w:spacing w:after="20" w:before="0" w:line="240" w:lineRule="auto"/>
            </w:pPr>
            <w:r>
              <w:rPr>
                <w:rFonts w:ascii="Aptos" w:hAnsi="Aptos"/>
                <w:sz w:val="15"/>
              </w:rPr>
              <w:t>Before deployment</w:t>
            </w:r>
          </w:p>
        </w:tc>
      </w:tr>
      <w:tr>
        <w:trPr>
          <w:cantSplit/>
        </w:trPr>
        <w:tc>
          <w:tcPr>
            <w:tcW w:type="dxa" w:w="1152"/>
            <w:vAlign w:val="center"/>
            <w:tcMar>
              <w:top w:w="70" w:type="dxa"/>
              <w:start w:w="85" w:type="dxa"/>
              <w:bottom w:w="70" w:type="dxa"/>
              <w:end w:w="85" w:type="dxa"/>
            </w:tcMar>
            <w:shd w:fill="F4F7FA"/>
          </w:tcPr>
          <w:p>
            <w:pPr>
              <w:spacing w:after="20" w:before="0" w:line="240" w:lineRule="auto"/>
            </w:pPr>
            <w:r>
              <w:rPr>
                <w:rFonts w:ascii="Aptos" w:hAnsi="Aptos"/>
                <w:sz w:val="15"/>
              </w:rPr>
              <w:t>P0</w:t>
            </w:r>
          </w:p>
        </w:tc>
        <w:tc>
          <w:tcPr>
            <w:tcW w:type="dxa" w:w="7488"/>
            <w:vAlign w:val="center"/>
            <w:tcMar>
              <w:top w:w="70" w:type="dxa"/>
              <w:start w:w="85" w:type="dxa"/>
              <w:bottom w:w="70" w:type="dxa"/>
              <w:end w:w="85" w:type="dxa"/>
            </w:tcMar>
            <w:shd w:fill="F4F7FA"/>
          </w:tcPr>
          <w:p>
            <w:pPr>
              <w:spacing w:after="20" w:before="0" w:line="240" w:lineRule="auto"/>
            </w:pPr>
            <w:r>
              <w:rPr>
                <w:rFonts w:ascii="Aptos" w:hAnsi="Aptos"/>
                <w:sz w:val="15"/>
              </w:rPr>
              <w:t>Enable protected central logging and time synchronisation for the pilot asset group.</w:t>
            </w:r>
          </w:p>
        </w:tc>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5"/>
              </w:rPr>
              <w:t>Weeks 1–4</w:t>
            </w:r>
          </w:p>
        </w:tc>
      </w:tr>
      <w:tr>
        <w:trPr>
          <w:cantSplit/>
        </w:trPr>
        <w:tc>
          <w:tcPr>
            <w:tcW w:type="dxa" w:w="1152"/>
            <w:vAlign w:val="center"/>
            <w:tcMar>
              <w:top w:w="70" w:type="dxa"/>
              <w:start w:w="85" w:type="dxa"/>
              <w:bottom w:w="70" w:type="dxa"/>
              <w:end w:w="85" w:type="dxa"/>
            </w:tcMar>
          </w:tcPr>
          <w:p>
            <w:pPr>
              <w:spacing w:after="20" w:before="0" w:line="240" w:lineRule="auto"/>
            </w:pPr>
            <w:r>
              <w:rPr>
                <w:rFonts w:ascii="Aptos" w:hAnsi="Aptos"/>
                <w:sz w:val="15"/>
              </w:rPr>
              <w:t>P0</w:t>
            </w:r>
          </w:p>
        </w:tc>
        <w:tc>
          <w:tcPr>
            <w:tcW w:type="dxa" w:w="7488"/>
            <w:vAlign w:val="center"/>
            <w:tcMar>
              <w:top w:w="70" w:type="dxa"/>
              <w:start w:w="85" w:type="dxa"/>
              <w:bottom w:w="70" w:type="dxa"/>
              <w:end w:w="85" w:type="dxa"/>
            </w:tcMar>
          </w:tcPr>
          <w:p>
            <w:pPr>
              <w:spacing w:after="20" w:before="0" w:line="240" w:lineRule="auto"/>
            </w:pPr>
            <w:r>
              <w:rPr>
                <w:rFonts w:ascii="Aptos" w:hAnsi="Aptos"/>
                <w:sz w:val="15"/>
              </w:rPr>
              <w:t>Ensure incident responders know how to report relevant incidents to CERT-In under applicable directions.</w:t>
            </w:r>
          </w:p>
        </w:tc>
        <w:tc>
          <w:tcPr>
            <w:tcW w:type="dxa" w:w="1800"/>
            <w:vAlign w:val="center"/>
            <w:tcMar>
              <w:top w:w="70" w:type="dxa"/>
              <w:start w:w="85" w:type="dxa"/>
              <w:bottom w:w="70" w:type="dxa"/>
              <w:end w:w="85" w:type="dxa"/>
            </w:tcMar>
          </w:tcPr>
          <w:p>
            <w:pPr>
              <w:spacing w:after="20" w:before="0" w:line="240" w:lineRule="auto"/>
            </w:pPr>
            <w:r>
              <w:rPr>
                <w:rFonts w:ascii="Aptos" w:hAnsi="Aptos"/>
                <w:sz w:val="15"/>
              </w:rPr>
              <w:t>Before production</w:t>
            </w:r>
          </w:p>
        </w:tc>
      </w:tr>
      <w:tr>
        <w:trPr>
          <w:cantSplit/>
        </w:trPr>
        <w:tc>
          <w:tcPr>
            <w:tcW w:type="dxa" w:w="1152"/>
            <w:vAlign w:val="center"/>
            <w:tcMar>
              <w:top w:w="70" w:type="dxa"/>
              <w:start w:w="85" w:type="dxa"/>
              <w:bottom w:w="70" w:type="dxa"/>
              <w:end w:w="85" w:type="dxa"/>
            </w:tcMar>
            <w:shd w:fill="F4F7FA"/>
          </w:tcPr>
          <w:p>
            <w:pPr>
              <w:spacing w:after="20" w:before="0" w:line="240" w:lineRule="auto"/>
            </w:pPr>
            <w:r>
              <w:rPr>
                <w:rFonts w:ascii="Aptos" w:hAnsi="Aptos"/>
                <w:sz w:val="15"/>
              </w:rPr>
              <w:t>P1</w:t>
            </w:r>
          </w:p>
        </w:tc>
        <w:tc>
          <w:tcPr>
            <w:tcW w:type="dxa" w:w="7488"/>
            <w:vAlign w:val="center"/>
            <w:tcMar>
              <w:top w:w="70" w:type="dxa"/>
              <w:start w:w="85" w:type="dxa"/>
              <w:bottom w:w="70" w:type="dxa"/>
              <w:end w:w="85" w:type="dxa"/>
            </w:tcMar>
            <w:shd w:fill="F4F7FA"/>
          </w:tcPr>
          <w:p>
            <w:pPr>
              <w:spacing w:after="20" w:before="0" w:line="240" w:lineRule="auto"/>
            </w:pPr>
            <w:r>
              <w:rPr>
                <w:rFonts w:ascii="Aptos" w:hAnsi="Aptos"/>
                <w:sz w:val="15"/>
              </w:rPr>
              <w:t>Operate Suricata passively; record coverage and packet loss under representative load.</w:t>
            </w:r>
          </w:p>
        </w:tc>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5"/>
              </w:rPr>
              <w:t>Weeks 5–8</w:t>
            </w:r>
          </w:p>
        </w:tc>
      </w:tr>
      <w:tr>
        <w:trPr>
          <w:cantSplit/>
        </w:trPr>
        <w:tc>
          <w:tcPr>
            <w:tcW w:type="dxa" w:w="1152"/>
            <w:vAlign w:val="center"/>
            <w:tcMar>
              <w:top w:w="70" w:type="dxa"/>
              <w:start w:w="85" w:type="dxa"/>
              <w:bottom w:w="70" w:type="dxa"/>
              <w:end w:w="85" w:type="dxa"/>
            </w:tcMar>
          </w:tcPr>
          <w:p>
            <w:pPr>
              <w:spacing w:after="20" w:before="0" w:line="240" w:lineRule="auto"/>
            </w:pPr>
            <w:r>
              <w:rPr>
                <w:rFonts w:ascii="Aptos" w:hAnsi="Aptos"/>
                <w:sz w:val="15"/>
              </w:rPr>
              <w:t>P1</w:t>
            </w:r>
          </w:p>
        </w:tc>
        <w:tc>
          <w:tcPr>
            <w:tcW w:type="dxa" w:w="7488"/>
            <w:vAlign w:val="center"/>
            <w:tcMar>
              <w:top w:w="70" w:type="dxa"/>
              <w:start w:w="85" w:type="dxa"/>
              <w:bottom w:w="70" w:type="dxa"/>
              <w:end w:w="85" w:type="dxa"/>
            </w:tcMar>
          </w:tcPr>
          <w:p>
            <w:pPr>
              <w:spacing w:after="20" w:before="0" w:line="240" w:lineRule="auto"/>
            </w:pPr>
            <w:r>
              <w:rPr>
                <w:rFonts w:ascii="Aptos" w:hAnsi="Aptos"/>
                <w:sz w:val="15"/>
              </w:rPr>
              <w:t>Deploy Wazuh agents on critical pilot servers and validate a small set of detection use cases.</w:t>
            </w:r>
          </w:p>
        </w:tc>
        <w:tc>
          <w:tcPr>
            <w:tcW w:type="dxa" w:w="1800"/>
            <w:vAlign w:val="center"/>
            <w:tcMar>
              <w:top w:w="70" w:type="dxa"/>
              <w:start w:w="85" w:type="dxa"/>
              <w:bottom w:w="70" w:type="dxa"/>
              <w:end w:w="85" w:type="dxa"/>
            </w:tcMar>
          </w:tcPr>
          <w:p>
            <w:pPr>
              <w:spacing w:after="20" w:before="0" w:line="240" w:lineRule="auto"/>
            </w:pPr>
            <w:r>
              <w:rPr>
                <w:rFonts w:ascii="Aptos" w:hAnsi="Aptos"/>
                <w:sz w:val="15"/>
              </w:rPr>
              <w:t>Weeks 5–8</w:t>
            </w:r>
          </w:p>
        </w:tc>
      </w:tr>
      <w:tr>
        <w:trPr>
          <w:cantSplit/>
        </w:trPr>
        <w:tc>
          <w:tcPr>
            <w:tcW w:type="dxa" w:w="1152"/>
            <w:vAlign w:val="center"/>
            <w:tcMar>
              <w:top w:w="70" w:type="dxa"/>
              <w:start w:w="85" w:type="dxa"/>
              <w:bottom w:w="70" w:type="dxa"/>
              <w:end w:w="85" w:type="dxa"/>
            </w:tcMar>
            <w:shd w:fill="F4F7FA"/>
          </w:tcPr>
          <w:p>
            <w:pPr>
              <w:spacing w:after="20" w:before="0" w:line="240" w:lineRule="auto"/>
            </w:pPr>
            <w:r>
              <w:rPr>
                <w:rFonts w:ascii="Aptos" w:hAnsi="Aptos"/>
                <w:sz w:val="15"/>
              </w:rPr>
              <w:t>P1</w:t>
            </w:r>
          </w:p>
        </w:tc>
        <w:tc>
          <w:tcPr>
            <w:tcW w:type="dxa" w:w="7488"/>
            <w:vAlign w:val="center"/>
            <w:tcMar>
              <w:top w:w="70" w:type="dxa"/>
              <w:start w:w="85" w:type="dxa"/>
              <w:bottom w:w="70" w:type="dxa"/>
              <w:end w:w="85" w:type="dxa"/>
            </w:tcMar>
            <w:shd w:fill="F4F7FA"/>
          </w:tcPr>
          <w:p>
            <w:pPr>
              <w:spacing w:after="20" w:before="0" w:line="240" w:lineRule="auto"/>
            </w:pPr>
            <w:r>
              <w:rPr>
                <w:rFonts w:ascii="Aptos" w:hAnsi="Aptos"/>
                <w:sz w:val="15"/>
              </w:rPr>
              <w:t>Run Greenbone scans only within approved targets/windows; assign every critical/high finding to an owner.</w:t>
            </w:r>
          </w:p>
        </w:tc>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5"/>
              </w:rPr>
              <w:t>Weeks 5–8</w:t>
            </w:r>
          </w:p>
        </w:tc>
      </w:tr>
      <w:tr>
        <w:trPr>
          <w:cantSplit/>
        </w:trPr>
        <w:tc>
          <w:tcPr>
            <w:tcW w:type="dxa" w:w="1152"/>
            <w:vAlign w:val="center"/>
            <w:tcMar>
              <w:top w:w="70" w:type="dxa"/>
              <w:start w:w="85" w:type="dxa"/>
              <w:bottom w:w="70" w:type="dxa"/>
              <w:end w:w="85" w:type="dxa"/>
            </w:tcMar>
          </w:tcPr>
          <w:p>
            <w:pPr>
              <w:spacing w:after="20" w:before="0" w:line="240" w:lineRule="auto"/>
            </w:pPr>
            <w:r>
              <w:rPr>
                <w:rFonts w:ascii="Aptos" w:hAnsi="Aptos"/>
                <w:sz w:val="15"/>
              </w:rPr>
              <w:t>P1</w:t>
            </w:r>
          </w:p>
        </w:tc>
        <w:tc>
          <w:tcPr>
            <w:tcW w:type="dxa" w:w="7488"/>
            <w:vAlign w:val="center"/>
            <w:tcMar>
              <w:top w:w="70" w:type="dxa"/>
              <w:start w:w="85" w:type="dxa"/>
              <w:bottom w:w="70" w:type="dxa"/>
              <w:end w:w="85" w:type="dxa"/>
            </w:tcMar>
          </w:tcPr>
          <w:p>
            <w:pPr>
              <w:spacing w:after="20" w:before="0" w:line="240" w:lineRule="auto"/>
            </w:pPr>
            <w:r>
              <w:rPr>
                <w:rFonts w:ascii="Aptos" w:hAnsi="Aptos"/>
                <w:sz w:val="15"/>
              </w:rPr>
              <w:t>Demonstrate alert → investigation → ticket → remediation → retest end-to-end.</w:t>
            </w:r>
          </w:p>
        </w:tc>
        <w:tc>
          <w:tcPr>
            <w:tcW w:type="dxa" w:w="1800"/>
            <w:vAlign w:val="center"/>
            <w:tcMar>
              <w:top w:w="70" w:type="dxa"/>
              <w:start w:w="85" w:type="dxa"/>
              <w:bottom w:w="70" w:type="dxa"/>
              <w:end w:w="85" w:type="dxa"/>
            </w:tcMar>
          </w:tcPr>
          <w:p>
            <w:pPr>
              <w:spacing w:after="20" w:before="0" w:line="240" w:lineRule="auto"/>
            </w:pPr>
            <w:r>
              <w:rPr>
                <w:rFonts w:ascii="Aptos" w:hAnsi="Aptos"/>
                <w:sz w:val="15"/>
              </w:rPr>
              <w:t>By Week 12</w:t>
            </w:r>
          </w:p>
        </w:tc>
      </w:tr>
      <w:tr>
        <w:trPr>
          <w:cantSplit/>
        </w:trPr>
        <w:tc>
          <w:tcPr>
            <w:tcW w:type="dxa" w:w="1152"/>
            <w:vAlign w:val="center"/>
            <w:tcMar>
              <w:top w:w="70" w:type="dxa"/>
              <w:start w:w="85" w:type="dxa"/>
              <w:bottom w:w="70" w:type="dxa"/>
              <w:end w:w="85" w:type="dxa"/>
            </w:tcMar>
            <w:shd w:fill="F4F7FA"/>
          </w:tcPr>
          <w:p>
            <w:pPr>
              <w:spacing w:after="20" w:before="0" w:line="240" w:lineRule="auto"/>
            </w:pPr>
            <w:r>
              <w:rPr>
                <w:rFonts w:ascii="Aptos" w:hAnsi="Aptos"/>
                <w:sz w:val="15"/>
              </w:rPr>
              <w:t>P2</w:t>
            </w:r>
          </w:p>
        </w:tc>
        <w:tc>
          <w:tcPr>
            <w:tcW w:type="dxa" w:w="7488"/>
            <w:vAlign w:val="center"/>
            <w:tcMar>
              <w:top w:w="70" w:type="dxa"/>
              <w:start w:w="85" w:type="dxa"/>
              <w:bottom w:w="70" w:type="dxa"/>
              <w:end w:w="85" w:type="dxa"/>
            </w:tcMar>
            <w:shd w:fill="F4F7FA"/>
          </w:tcPr>
          <w:p>
            <w:pPr>
              <w:spacing w:after="20" w:before="0" w:line="240" w:lineRule="auto"/>
            </w:pPr>
            <w:r>
              <w:rPr>
                <w:rFonts w:ascii="Aptos" w:hAnsi="Aptos"/>
                <w:sz w:val="15"/>
              </w:rPr>
              <w:t>Expand only after pilot acceptance criteria are met.</w:t>
            </w:r>
          </w:p>
        </w:tc>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5"/>
              </w:rPr>
              <w:t>After Week 12</w:t>
            </w:r>
          </w:p>
        </w:tc>
      </w:tr>
    </w:tbl>
    <w:p>
      <w:pPr>
        <w:spacing w:after="20"/>
      </w:pPr>
    </w:p>
    <w:p>
      <w:pPr>
        <w:pStyle w:val="Heading2"/>
        <w:keepNext/>
      </w:pPr>
      <w:r>
        <w:t>7.2 Illustrative resource allocation</w:t>
      </w:r>
    </w:p>
    <w:p>
      <w:r>
        <w:t>These are planning assumptions for a pilot, not a universal staffing standard. Actual effort depends on asset count, existing SOC maturity, service criticality, log volume, support arrangements and procurement requirements.</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3389"/>
        <w:gridCol w:w="3389"/>
        <w:gridCol w:w="3389"/>
      </w:tblGrid>
      <w:tr>
        <w:trPr>
          <w:cantSplit/>
          <w:tblHeader w:val="true"/>
        </w:trPr>
        <w:tc>
          <w:tcPr>
            <w:tcW w:type="dxa" w:w="2448"/>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Role</w:t>
            </w:r>
          </w:p>
        </w:tc>
        <w:tc>
          <w:tcPr>
            <w:tcW w:type="dxa" w:w="2664"/>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Indicative allocation during pilot</w:t>
            </w:r>
          </w:p>
        </w:tc>
        <w:tc>
          <w:tcPr>
            <w:tcW w:type="dxa" w:w="540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Key responsibility</w:t>
            </w:r>
          </w:p>
        </w:tc>
      </w:tr>
      <w:tr>
        <w:trPr>
          <w:cantSplit/>
        </w:trPr>
        <w:tc>
          <w:tcPr>
            <w:tcW w:type="dxa" w:w="2448"/>
            <w:vAlign w:val="center"/>
            <w:tcMar>
              <w:top w:w="70" w:type="dxa"/>
              <w:start w:w="85" w:type="dxa"/>
              <w:bottom w:w="70" w:type="dxa"/>
              <w:end w:w="85" w:type="dxa"/>
            </w:tcMar>
          </w:tcPr>
          <w:p>
            <w:pPr>
              <w:spacing w:after="20" w:before="0" w:line="240" w:lineRule="auto"/>
            </w:pPr>
            <w:r>
              <w:rPr>
                <w:rFonts w:ascii="Aptos" w:hAnsi="Aptos"/>
                <w:sz w:val="15"/>
              </w:rPr>
              <w:t>Executive sponsor / service owner</w:t>
            </w:r>
          </w:p>
        </w:tc>
        <w:tc>
          <w:tcPr>
            <w:tcW w:type="dxa" w:w="2664"/>
            <w:vAlign w:val="center"/>
            <w:tcMar>
              <w:top w:w="70" w:type="dxa"/>
              <w:start w:w="85" w:type="dxa"/>
              <w:bottom w:w="70" w:type="dxa"/>
              <w:end w:w="85" w:type="dxa"/>
            </w:tcMar>
          </w:tcPr>
          <w:p>
            <w:pPr>
              <w:spacing w:after="20" w:before="0" w:line="240" w:lineRule="auto"/>
            </w:pPr>
            <w:r>
              <w:rPr>
                <w:rFonts w:ascii="Aptos" w:hAnsi="Aptos"/>
                <w:sz w:val="15"/>
              </w:rPr>
              <w:t>0.1–0.2 FTE</w:t>
            </w:r>
          </w:p>
        </w:tc>
        <w:tc>
          <w:tcPr>
            <w:tcW w:type="dxa" w:w="5400"/>
            <w:vAlign w:val="center"/>
            <w:tcMar>
              <w:top w:w="70" w:type="dxa"/>
              <w:start w:w="85" w:type="dxa"/>
              <w:bottom w:w="70" w:type="dxa"/>
              <w:end w:w="85" w:type="dxa"/>
            </w:tcMar>
          </w:tcPr>
          <w:p>
            <w:pPr>
              <w:spacing w:after="20" w:before="0" w:line="240" w:lineRule="auto"/>
            </w:pPr>
            <w:r>
              <w:rPr>
                <w:rFonts w:ascii="Aptos" w:hAnsi="Aptos"/>
                <w:sz w:val="15"/>
              </w:rPr>
              <w:t>Approves scope, funding, risk decisions and service-impact trade-offs.</w:t>
            </w:r>
          </w:p>
        </w:tc>
      </w:tr>
      <w:tr>
        <w:trPr>
          <w:cantSplit/>
        </w:trPr>
        <w:tc>
          <w:tcPr>
            <w:tcW w:type="dxa" w:w="2448"/>
            <w:vAlign w:val="center"/>
            <w:tcMar>
              <w:top w:w="70" w:type="dxa"/>
              <w:start w:w="85" w:type="dxa"/>
              <w:bottom w:w="70" w:type="dxa"/>
              <w:end w:w="85" w:type="dxa"/>
            </w:tcMar>
            <w:shd w:fill="F4F7FA"/>
          </w:tcPr>
          <w:p>
            <w:pPr>
              <w:spacing w:after="20" w:before="0" w:line="240" w:lineRule="auto"/>
            </w:pPr>
            <w:r>
              <w:rPr>
                <w:rFonts w:ascii="Aptos" w:hAnsi="Aptos"/>
                <w:sz w:val="15"/>
              </w:rPr>
              <w:t>Security engineer / SIEM administrator</w:t>
            </w:r>
          </w:p>
        </w:tc>
        <w:tc>
          <w:tcPr>
            <w:tcW w:type="dxa" w:w="2664"/>
            <w:vAlign w:val="center"/>
            <w:tcMar>
              <w:top w:w="70" w:type="dxa"/>
              <w:start w:w="85" w:type="dxa"/>
              <w:bottom w:w="70" w:type="dxa"/>
              <w:end w:w="85" w:type="dxa"/>
            </w:tcMar>
            <w:shd w:fill="F4F7FA"/>
          </w:tcPr>
          <w:p>
            <w:pPr>
              <w:spacing w:after="20" w:before="0" w:line="240" w:lineRule="auto"/>
            </w:pPr>
            <w:r>
              <w:rPr>
                <w:rFonts w:ascii="Aptos" w:hAnsi="Aptos"/>
                <w:sz w:val="15"/>
              </w:rPr>
              <w:t>0.75–1.0 FTE</w:t>
            </w:r>
          </w:p>
        </w:tc>
        <w:tc>
          <w:tcPr>
            <w:tcW w:type="dxa" w:w="5400"/>
            <w:vAlign w:val="center"/>
            <w:tcMar>
              <w:top w:w="70" w:type="dxa"/>
              <w:start w:w="85" w:type="dxa"/>
              <w:bottom w:w="70" w:type="dxa"/>
              <w:end w:w="85" w:type="dxa"/>
            </w:tcMar>
            <w:shd w:fill="F4F7FA"/>
          </w:tcPr>
          <w:p>
            <w:pPr>
              <w:spacing w:after="20" w:before="0" w:line="240" w:lineRule="auto"/>
            </w:pPr>
            <w:r>
              <w:rPr>
                <w:rFonts w:ascii="Aptos" w:hAnsi="Aptos"/>
                <w:sz w:val="15"/>
              </w:rPr>
              <w:t>Wazuh deployment, parsers, detection rules, dashboard, access and storage.</w:t>
            </w:r>
          </w:p>
        </w:tc>
      </w:tr>
      <w:tr>
        <w:trPr>
          <w:cantSplit/>
        </w:trPr>
        <w:tc>
          <w:tcPr>
            <w:tcW w:type="dxa" w:w="2448"/>
            <w:vAlign w:val="center"/>
            <w:tcMar>
              <w:top w:w="70" w:type="dxa"/>
              <w:start w:w="85" w:type="dxa"/>
              <w:bottom w:w="70" w:type="dxa"/>
              <w:end w:w="85" w:type="dxa"/>
            </w:tcMar>
          </w:tcPr>
          <w:p>
            <w:pPr>
              <w:spacing w:after="20" w:before="0" w:line="240" w:lineRule="auto"/>
            </w:pPr>
            <w:r>
              <w:rPr>
                <w:rFonts w:ascii="Aptos" w:hAnsi="Aptos"/>
                <w:sz w:val="15"/>
              </w:rPr>
              <w:t>Network engineer</w:t>
            </w:r>
          </w:p>
        </w:tc>
        <w:tc>
          <w:tcPr>
            <w:tcW w:type="dxa" w:w="2664"/>
            <w:vAlign w:val="center"/>
            <w:tcMar>
              <w:top w:w="70" w:type="dxa"/>
              <w:start w:w="85" w:type="dxa"/>
              <w:bottom w:w="70" w:type="dxa"/>
              <w:end w:w="85" w:type="dxa"/>
            </w:tcMar>
          </w:tcPr>
          <w:p>
            <w:pPr>
              <w:spacing w:after="20" w:before="0" w:line="240" w:lineRule="auto"/>
            </w:pPr>
            <w:r>
              <w:rPr>
                <w:rFonts w:ascii="Aptos" w:hAnsi="Aptos"/>
                <w:sz w:val="15"/>
              </w:rPr>
              <w:t>0.25–0.5 FTE</w:t>
            </w:r>
          </w:p>
        </w:tc>
        <w:tc>
          <w:tcPr>
            <w:tcW w:type="dxa" w:w="5400"/>
            <w:vAlign w:val="center"/>
            <w:tcMar>
              <w:top w:w="70" w:type="dxa"/>
              <w:start w:w="85" w:type="dxa"/>
              <w:bottom w:w="70" w:type="dxa"/>
              <w:end w:w="85" w:type="dxa"/>
            </w:tcMar>
          </w:tcPr>
          <w:p>
            <w:pPr>
              <w:spacing w:after="20" w:before="0" w:line="240" w:lineRule="auto"/>
            </w:pPr>
            <w:r>
              <w:rPr>
                <w:rFonts w:ascii="Aptos" w:hAnsi="Aptos"/>
                <w:sz w:val="15"/>
              </w:rPr>
              <w:t>SPAN/TAP design, Suricata sensor, network change approvals and packet-loss checks.</w:t>
            </w:r>
          </w:p>
        </w:tc>
      </w:tr>
      <w:tr>
        <w:trPr>
          <w:cantSplit/>
        </w:trPr>
        <w:tc>
          <w:tcPr>
            <w:tcW w:type="dxa" w:w="2448"/>
            <w:vAlign w:val="center"/>
            <w:tcMar>
              <w:top w:w="70" w:type="dxa"/>
              <w:start w:w="85" w:type="dxa"/>
              <w:bottom w:w="70" w:type="dxa"/>
              <w:end w:w="85" w:type="dxa"/>
            </w:tcMar>
            <w:shd w:fill="F4F7FA"/>
          </w:tcPr>
          <w:p>
            <w:pPr>
              <w:spacing w:after="20" w:before="0" w:line="240" w:lineRule="auto"/>
            </w:pPr>
            <w:r>
              <w:rPr>
                <w:rFonts w:ascii="Aptos" w:hAnsi="Aptos"/>
                <w:sz w:val="15"/>
              </w:rPr>
              <w:t>Vulnerability management coordinator</w:t>
            </w:r>
          </w:p>
        </w:tc>
        <w:tc>
          <w:tcPr>
            <w:tcW w:type="dxa" w:w="2664"/>
            <w:vAlign w:val="center"/>
            <w:tcMar>
              <w:top w:w="70" w:type="dxa"/>
              <w:start w:w="85" w:type="dxa"/>
              <w:bottom w:w="70" w:type="dxa"/>
              <w:end w:w="85" w:type="dxa"/>
            </w:tcMar>
            <w:shd w:fill="F4F7FA"/>
          </w:tcPr>
          <w:p>
            <w:pPr>
              <w:spacing w:after="20" w:before="0" w:line="240" w:lineRule="auto"/>
            </w:pPr>
            <w:r>
              <w:rPr>
                <w:rFonts w:ascii="Aptos" w:hAnsi="Aptos"/>
                <w:sz w:val="15"/>
              </w:rPr>
              <w:t>0.25–0.5 FTE</w:t>
            </w:r>
          </w:p>
        </w:tc>
        <w:tc>
          <w:tcPr>
            <w:tcW w:type="dxa" w:w="5400"/>
            <w:vAlign w:val="center"/>
            <w:tcMar>
              <w:top w:w="70" w:type="dxa"/>
              <w:start w:w="85" w:type="dxa"/>
              <w:bottom w:w="70" w:type="dxa"/>
              <w:end w:w="85" w:type="dxa"/>
            </w:tcMar>
            <w:shd w:fill="F4F7FA"/>
          </w:tcPr>
          <w:p>
            <w:pPr>
              <w:spacing w:after="20" w:before="0" w:line="240" w:lineRule="auto"/>
            </w:pPr>
            <w:r>
              <w:rPr>
                <w:rFonts w:ascii="Aptos" w:hAnsi="Aptos"/>
                <w:sz w:val="15"/>
              </w:rPr>
              <w:t>Approved scanning, finding validation, tickets, retest and overdue-risk escalation.</w:t>
            </w:r>
          </w:p>
        </w:tc>
      </w:tr>
      <w:tr>
        <w:trPr>
          <w:cantSplit/>
        </w:trPr>
        <w:tc>
          <w:tcPr>
            <w:tcW w:type="dxa" w:w="2448"/>
            <w:vAlign w:val="center"/>
            <w:tcMar>
              <w:top w:w="70" w:type="dxa"/>
              <w:start w:w="85" w:type="dxa"/>
              <w:bottom w:w="70" w:type="dxa"/>
              <w:end w:w="85" w:type="dxa"/>
            </w:tcMar>
          </w:tcPr>
          <w:p>
            <w:pPr>
              <w:spacing w:after="20" w:before="0" w:line="240" w:lineRule="auto"/>
            </w:pPr>
            <w:r>
              <w:rPr>
                <w:rFonts w:ascii="Aptos" w:hAnsi="Aptos"/>
                <w:sz w:val="15"/>
              </w:rPr>
              <w:t>System / application owners</w:t>
            </w:r>
          </w:p>
        </w:tc>
        <w:tc>
          <w:tcPr>
            <w:tcW w:type="dxa" w:w="2664"/>
            <w:vAlign w:val="center"/>
            <w:tcMar>
              <w:top w:w="70" w:type="dxa"/>
              <w:start w:w="85" w:type="dxa"/>
              <w:bottom w:w="70" w:type="dxa"/>
              <w:end w:w="85" w:type="dxa"/>
            </w:tcMar>
          </w:tcPr>
          <w:p>
            <w:pPr>
              <w:spacing w:after="20" w:before="0" w:line="240" w:lineRule="auto"/>
            </w:pPr>
            <w:r>
              <w:rPr>
                <w:rFonts w:ascii="Aptos" w:hAnsi="Aptos"/>
                <w:sz w:val="15"/>
              </w:rPr>
              <w:t>0.25–0.5 FTE combined, varies</w:t>
            </w:r>
          </w:p>
        </w:tc>
        <w:tc>
          <w:tcPr>
            <w:tcW w:type="dxa" w:w="5400"/>
            <w:vAlign w:val="center"/>
            <w:tcMar>
              <w:top w:w="70" w:type="dxa"/>
              <w:start w:w="85" w:type="dxa"/>
              <w:bottom w:w="70" w:type="dxa"/>
              <w:end w:w="85" w:type="dxa"/>
            </w:tcMar>
          </w:tcPr>
          <w:p>
            <w:pPr>
              <w:spacing w:after="20" w:before="0" w:line="240" w:lineRule="auto"/>
            </w:pPr>
            <w:r>
              <w:rPr>
                <w:rFonts w:ascii="Aptos" w:hAnsi="Aptos"/>
                <w:sz w:val="15"/>
              </w:rPr>
              <w:t>Agent rollout, log configuration, remediation, regression testing and service validation.</w:t>
            </w:r>
          </w:p>
        </w:tc>
      </w:tr>
      <w:tr>
        <w:trPr>
          <w:cantSplit/>
        </w:trPr>
        <w:tc>
          <w:tcPr>
            <w:tcW w:type="dxa" w:w="2448"/>
            <w:vAlign w:val="center"/>
            <w:tcMar>
              <w:top w:w="70" w:type="dxa"/>
              <w:start w:w="85" w:type="dxa"/>
              <w:bottom w:w="70" w:type="dxa"/>
              <w:end w:w="85" w:type="dxa"/>
            </w:tcMar>
            <w:shd w:fill="F4F7FA"/>
          </w:tcPr>
          <w:p>
            <w:pPr>
              <w:spacing w:after="20" w:before="0" w:line="240" w:lineRule="auto"/>
            </w:pPr>
            <w:r>
              <w:rPr>
                <w:rFonts w:ascii="Aptos" w:hAnsi="Aptos"/>
                <w:sz w:val="15"/>
              </w:rPr>
              <w:t>SOC analyst / incident responder</w:t>
            </w:r>
          </w:p>
        </w:tc>
        <w:tc>
          <w:tcPr>
            <w:tcW w:type="dxa" w:w="2664"/>
            <w:vAlign w:val="center"/>
            <w:tcMar>
              <w:top w:w="70" w:type="dxa"/>
              <w:start w:w="85" w:type="dxa"/>
              <w:bottom w:w="70" w:type="dxa"/>
              <w:end w:w="85" w:type="dxa"/>
            </w:tcMar>
            <w:shd w:fill="F4F7FA"/>
          </w:tcPr>
          <w:p>
            <w:pPr>
              <w:spacing w:after="20" w:before="0" w:line="240" w:lineRule="auto"/>
            </w:pPr>
            <w:r>
              <w:rPr>
                <w:rFonts w:ascii="Aptos" w:hAnsi="Aptos"/>
                <w:sz w:val="15"/>
              </w:rPr>
              <w:t>0.5–1.0 FTE or shared roster</w:t>
            </w:r>
          </w:p>
        </w:tc>
        <w:tc>
          <w:tcPr>
            <w:tcW w:type="dxa" w:w="5400"/>
            <w:vAlign w:val="center"/>
            <w:tcMar>
              <w:top w:w="70" w:type="dxa"/>
              <w:start w:w="85" w:type="dxa"/>
              <w:bottom w:w="70" w:type="dxa"/>
              <w:end w:w="85" w:type="dxa"/>
            </w:tcMar>
            <w:shd w:fill="F4F7FA"/>
          </w:tcPr>
          <w:p>
            <w:pPr>
              <w:spacing w:after="20" w:before="0" w:line="240" w:lineRule="auto"/>
            </w:pPr>
            <w:r>
              <w:rPr>
                <w:rFonts w:ascii="Aptos" w:hAnsi="Aptos"/>
                <w:sz w:val="15"/>
              </w:rPr>
              <w:t>Alert triage, evidence preservation, incident coordination and playbook exercises.</w:t>
            </w:r>
          </w:p>
        </w:tc>
      </w:tr>
      <w:tr>
        <w:trPr>
          <w:cantSplit/>
        </w:trPr>
        <w:tc>
          <w:tcPr>
            <w:tcW w:type="dxa" w:w="2448"/>
            <w:vAlign w:val="center"/>
            <w:tcMar>
              <w:top w:w="70" w:type="dxa"/>
              <w:start w:w="85" w:type="dxa"/>
              <w:bottom w:w="70" w:type="dxa"/>
              <w:end w:w="85" w:type="dxa"/>
            </w:tcMar>
          </w:tcPr>
          <w:p>
            <w:pPr>
              <w:spacing w:after="20" w:before="0" w:line="240" w:lineRule="auto"/>
            </w:pPr>
            <w:r>
              <w:rPr>
                <w:rFonts w:ascii="Aptos" w:hAnsi="Aptos"/>
                <w:sz w:val="15"/>
              </w:rPr>
              <w:t>Privacy / compliance / procurement</w:t>
            </w:r>
          </w:p>
        </w:tc>
        <w:tc>
          <w:tcPr>
            <w:tcW w:type="dxa" w:w="2664"/>
            <w:vAlign w:val="center"/>
            <w:tcMar>
              <w:top w:w="70" w:type="dxa"/>
              <w:start w:w="85" w:type="dxa"/>
              <w:bottom w:w="70" w:type="dxa"/>
              <w:end w:w="85" w:type="dxa"/>
            </w:tcMar>
          </w:tcPr>
          <w:p>
            <w:pPr>
              <w:spacing w:after="20" w:before="0" w:line="240" w:lineRule="auto"/>
            </w:pPr>
            <w:r>
              <w:rPr>
                <w:rFonts w:ascii="Aptos" w:hAnsi="Aptos"/>
                <w:sz w:val="15"/>
              </w:rPr>
              <w:t>Advisory, as required</w:t>
            </w:r>
          </w:p>
        </w:tc>
        <w:tc>
          <w:tcPr>
            <w:tcW w:type="dxa" w:w="5400"/>
            <w:vAlign w:val="center"/>
            <w:tcMar>
              <w:top w:w="70" w:type="dxa"/>
              <w:start w:w="85" w:type="dxa"/>
              <w:bottom w:w="70" w:type="dxa"/>
              <w:end w:w="85" w:type="dxa"/>
            </w:tcMar>
          </w:tcPr>
          <w:p>
            <w:pPr>
              <w:spacing w:after="20" w:before="0" w:line="240" w:lineRule="auto"/>
            </w:pPr>
            <w:r>
              <w:rPr>
                <w:rFonts w:ascii="Aptos" w:hAnsi="Aptos"/>
                <w:sz w:val="15"/>
              </w:rPr>
              <w:t>Data minimisation, retention, contract review, applicable obligations and support choices.</w:t>
            </w:r>
          </w:p>
        </w:tc>
      </w:tr>
    </w:tbl>
    <w:p>
      <w:pPr>
        <w:spacing w:after="20"/>
      </w:pPr>
    </w:p>
    <w:p>
      <w:pPr>
        <w:pStyle w:val="Heading2"/>
        <w:keepNext/>
      </w:pPr>
      <w:r>
        <w:t>7.3 Budget model (relative, not quoted prices)</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3389"/>
        <w:gridCol w:w="3389"/>
        <w:gridCol w:w="3389"/>
      </w:tblGrid>
      <w:tr>
        <w:trPr>
          <w:cantSplit/>
          <w:tblHeader w:val="true"/>
        </w:trPr>
        <w:tc>
          <w:tcPr>
            <w:tcW w:type="dxa" w:w="2736"/>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Budget item</w:t>
            </w:r>
          </w:p>
        </w:tc>
        <w:tc>
          <w:tcPr>
            <w:tcW w:type="dxa" w:w="2304"/>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Relative cost band</w:t>
            </w:r>
          </w:p>
        </w:tc>
        <w:tc>
          <w:tcPr>
            <w:tcW w:type="dxa" w:w="5472"/>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Notes</w:t>
            </w:r>
          </w:p>
        </w:tc>
      </w:tr>
      <w:tr>
        <w:trPr>
          <w:cantSplit/>
        </w:trPr>
        <w:tc>
          <w:tcPr>
            <w:tcW w:type="dxa" w:w="2736"/>
            <w:vAlign w:val="center"/>
            <w:tcMar>
              <w:top w:w="70" w:type="dxa"/>
              <w:start w:w="85" w:type="dxa"/>
              <w:bottom w:w="70" w:type="dxa"/>
              <w:end w:w="85" w:type="dxa"/>
            </w:tcMar>
          </w:tcPr>
          <w:p>
            <w:pPr>
              <w:spacing w:after="20" w:before="0" w:line="240" w:lineRule="auto"/>
            </w:pPr>
            <w:r>
              <w:rPr>
                <w:rFonts w:ascii="Aptos" w:hAnsi="Aptos"/>
                <w:sz w:val="15"/>
              </w:rPr>
              <w:t>Community software licences</w:t>
            </w:r>
          </w:p>
        </w:tc>
        <w:tc>
          <w:tcPr>
            <w:tcW w:type="dxa" w:w="2304"/>
            <w:vAlign w:val="center"/>
            <w:tcMar>
              <w:top w:w="70" w:type="dxa"/>
              <w:start w:w="85" w:type="dxa"/>
              <w:bottom w:w="70" w:type="dxa"/>
              <w:end w:w="85" w:type="dxa"/>
            </w:tcMar>
          </w:tcPr>
          <w:p>
            <w:pPr>
              <w:spacing w:after="20" w:before="0" w:line="240" w:lineRule="auto"/>
            </w:pPr>
            <w:r>
              <w:rPr>
                <w:rFonts w:ascii="Aptos" w:hAnsi="Aptos"/>
                <w:sz w:val="15"/>
              </w:rPr>
              <w:t>Low</w:t>
            </w:r>
          </w:p>
        </w:tc>
        <w:tc>
          <w:tcPr>
            <w:tcW w:type="dxa" w:w="5472"/>
            <w:vAlign w:val="center"/>
            <w:tcMar>
              <w:top w:w="70" w:type="dxa"/>
              <w:start w:w="85" w:type="dxa"/>
              <w:bottom w:w="70" w:type="dxa"/>
              <w:end w:w="85" w:type="dxa"/>
            </w:tcMar>
          </w:tcPr>
          <w:p>
            <w:pPr>
              <w:spacing w:after="20" w:before="0" w:line="240" w:lineRule="auto"/>
            </w:pPr>
            <w:r>
              <w:rPr>
                <w:rFonts w:ascii="Aptos" w:hAnsi="Aptos"/>
                <w:sz w:val="15"/>
              </w:rPr>
              <w:t>Open-source edition software is available; verify licence obligations and use-case suitability.</w:t>
            </w:r>
          </w:p>
        </w:tc>
      </w:tr>
      <w:tr>
        <w:trPr>
          <w:cantSplit/>
        </w:trPr>
        <w:tc>
          <w:tcPr>
            <w:tcW w:type="dxa" w:w="2736"/>
            <w:vAlign w:val="center"/>
            <w:tcMar>
              <w:top w:w="70" w:type="dxa"/>
              <w:start w:w="85" w:type="dxa"/>
              <w:bottom w:w="70" w:type="dxa"/>
              <w:end w:w="85" w:type="dxa"/>
            </w:tcMar>
            <w:shd w:fill="F4F7FA"/>
          </w:tcPr>
          <w:p>
            <w:pPr>
              <w:spacing w:after="20" w:before="0" w:line="240" w:lineRule="auto"/>
            </w:pPr>
            <w:r>
              <w:rPr>
                <w:rFonts w:ascii="Aptos" w:hAnsi="Aptos"/>
                <w:sz w:val="15"/>
              </w:rPr>
              <w:t>Hosting, storage and backup</w:t>
            </w:r>
          </w:p>
        </w:tc>
        <w:tc>
          <w:tcPr>
            <w:tcW w:type="dxa" w:w="2304"/>
            <w:vAlign w:val="center"/>
            <w:tcMar>
              <w:top w:w="70" w:type="dxa"/>
              <w:start w:w="85" w:type="dxa"/>
              <w:bottom w:w="70" w:type="dxa"/>
              <w:end w:w="85" w:type="dxa"/>
            </w:tcMar>
            <w:shd w:fill="F4F7FA"/>
          </w:tcPr>
          <w:p>
            <w:pPr>
              <w:spacing w:after="20" w:before="0" w:line="240" w:lineRule="auto"/>
            </w:pPr>
            <w:r>
              <w:rPr>
                <w:rFonts w:ascii="Aptos" w:hAnsi="Aptos"/>
                <w:sz w:val="15"/>
              </w:rPr>
              <w:t>Medium; potentially high at scale</w:t>
            </w:r>
          </w:p>
        </w:tc>
        <w:tc>
          <w:tcPr>
            <w:tcW w:type="dxa" w:w="5472"/>
            <w:vAlign w:val="center"/>
            <w:tcMar>
              <w:top w:w="70" w:type="dxa"/>
              <w:start w:w="85" w:type="dxa"/>
              <w:bottom w:w="70" w:type="dxa"/>
              <w:end w:w="85" w:type="dxa"/>
            </w:tcMar>
            <w:shd w:fill="F4F7FA"/>
          </w:tcPr>
          <w:p>
            <w:pPr>
              <w:spacing w:after="20" w:before="0" w:line="240" w:lineRule="auto"/>
            </w:pPr>
            <w:r>
              <w:rPr>
                <w:rFonts w:ascii="Aptos" w:hAnsi="Aptos"/>
                <w:sz w:val="15"/>
              </w:rPr>
              <w:t>Driven by log events/second, retention, replica/HA needs, scan data and recovery requirements.</w:t>
            </w:r>
          </w:p>
        </w:tc>
      </w:tr>
      <w:tr>
        <w:trPr>
          <w:cantSplit/>
        </w:trPr>
        <w:tc>
          <w:tcPr>
            <w:tcW w:type="dxa" w:w="2736"/>
            <w:vAlign w:val="center"/>
            <w:tcMar>
              <w:top w:w="70" w:type="dxa"/>
              <w:start w:w="85" w:type="dxa"/>
              <w:bottom w:w="70" w:type="dxa"/>
              <w:end w:w="85" w:type="dxa"/>
            </w:tcMar>
          </w:tcPr>
          <w:p>
            <w:pPr>
              <w:spacing w:after="20" w:before="0" w:line="240" w:lineRule="auto"/>
            </w:pPr>
            <w:r>
              <w:rPr>
                <w:rFonts w:ascii="Aptos" w:hAnsi="Aptos"/>
                <w:sz w:val="15"/>
              </w:rPr>
              <w:t>Network sensor infrastructure</w:t>
            </w:r>
          </w:p>
        </w:tc>
        <w:tc>
          <w:tcPr>
            <w:tcW w:type="dxa" w:w="2304"/>
            <w:vAlign w:val="center"/>
            <w:tcMar>
              <w:top w:w="70" w:type="dxa"/>
              <w:start w:w="85" w:type="dxa"/>
              <w:bottom w:w="70" w:type="dxa"/>
              <w:end w:w="85" w:type="dxa"/>
            </w:tcMar>
          </w:tcPr>
          <w:p>
            <w:pPr>
              <w:spacing w:after="20" w:before="0" w:line="240" w:lineRule="auto"/>
            </w:pPr>
            <w:r>
              <w:rPr>
                <w:rFonts w:ascii="Aptos" w:hAnsi="Aptos"/>
                <w:sz w:val="15"/>
              </w:rPr>
              <w:t>Low to medium; high at high throughput</w:t>
            </w:r>
          </w:p>
        </w:tc>
        <w:tc>
          <w:tcPr>
            <w:tcW w:type="dxa" w:w="5472"/>
            <w:vAlign w:val="center"/>
            <w:tcMar>
              <w:top w:w="70" w:type="dxa"/>
              <w:start w:w="85" w:type="dxa"/>
              <w:bottom w:w="70" w:type="dxa"/>
              <w:end w:w="85" w:type="dxa"/>
            </w:tcMar>
          </w:tcPr>
          <w:p>
            <w:pPr>
              <w:spacing w:after="20" w:before="0" w:line="240" w:lineRule="auto"/>
            </w:pPr>
            <w:r>
              <w:rPr>
                <w:rFonts w:ascii="Aptos" w:hAnsi="Aptos"/>
                <w:sz w:val="15"/>
              </w:rPr>
              <w:t>SPAN/TAP access, sensor hardware, NICs and traffic load must be validated.</w:t>
            </w:r>
          </w:p>
        </w:tc>
      </w:tr>
      <w:tr>
        <w:trPr>
          <w:cantSplit/>
        </w:trPr>
        <w:tc>
          <w:tcPr>
            <w:tcW w:type="dxa" w:w="2736"/>
            <w:vAlign w:val="center"/>
            <w:tcMar>
              <w:top w:w="70" w:type="dxa"/>
              <w:start w:w="85" w:type="dxa"/>
              <w:bottom w:w="70" w:type="dxa"/>
              <w:end w:w="85" w:type="dxa"/>
            </w:tcMar>
            <w:shd w:fill="F4F7FA"/>
          </w:tcPr>
          <w:p>
            <w:pPr>
              <w:spacing w:after="20" w:before="0" w:line="240" w:lineRule="auto"/>
            </w:pPr>
            <w:r>
              <w:rPr>
                <w:rFonts w:ascii="Aptos" w:hAnsi="Aptos"/>
                <w:sz w:val="15"/>
              </w:rPr>
              <w:t>Support, training and specialist services</w:t>
            </w:r>
          </w:p>
        </w:tc>
        <w:tc>
          <w:tcPr>
            <w:tcW w:type="dxa" w:w="2304"/>
            <w:vAlign w:val="center"/>
            <w:tcMar>
              <w:top w:w="70" w:type="dxa"/>
              <w:start w:w="85" w:type="dxa"/>
              <w:bottom w:w="70" w:type="dxa"/>
              <w:end w:w="85" w:type="dxa"/>
            </w:tcMar>
            <w:shd w:fill="F4F7FA"/>
          </w:tcPr>
          <w:p>
            <w:pPr>
              <w:spacing w:after="20" w:before="0" w:line="240" w:lineRule="auto"/>
            </w:pPr>
            <w:r>
              <w:rPr>
                <w:rFonts w:ascii="Aptos" w:hAnsi="Aptos"/>
                <w:sz w:val="15"/>
              </w:rPr>
              <w:t>Medium</w:t>
            </w:r>
          </w:p>
        </w:tc>
        <w:tc>
          <w:tcPr>
            <w:tcW w:type="dxa" w:w="5472"/>
            <w:vAlign w:val="center"/>
            <w:tcMar>
              <w:top w:w="70" w:type="dxa"/>
              <w:start w:w="85" w:type="dxa"/>
              <w:bottom w:w="70" w:type="dxa"/>
              <w:end w:w="85" w:type="dxa"/>
            </w:tcMar>
            <w:shd w:fill="F4F7FA"/>
          </w:tcPr>
          <w:p>
            <w:pPr>
              <w:spacing w:after="20" w:before="0" w:line="240" w:lineRule="auto"/>
            </w:pPr>
            <w:r>
              <w:rPr>
                <w:rFonts w:ascii="Aptos" w:hAnsi="Aptos"/>
                <w:sz w:val="15"/>
              </w:rPr>
              <w:t>Optional enterprise feed/support, incident response retainer, training and implementation support.</w:t>
            </w:r>
          </w:p>
        </w:tc>
      </w:tr>
      <w:tr>
        <w:trPr>
          <w:cantSplit/>
        </w:trPr>
        <w:tc>
          <w:tcPr>
            <w:tcW w:type="dxa" w:w="2736"/>
            <w:vAlign w:val="center"/>
            <w:tcMar>
              <w:top w:w="70" w:type="dxa"/>
              <w:start w:w="85" w:type="dxa"/>
              <w:bottom w:w="70" w:type="dxa"/>
              <w:end w:w="85" w:type="dxa"/>
            </w:tcMar>
          </w:tcPr>
          <w:p>
            <w:pPr>
              <w:spacing w:after="20" w:before="0" w:line="240" w:lineRule="auto"/>
            </w:pPr>
            <w:r>
              <w:rPr>
                <w:rFonts w:ascii="Aptos" w:hAnsi="Aptos"/>
                <w:sz w:val="15"/>
              </w:rPr>
              <w:t>Operational staffing</w:t>
            </w:r>
          </w:p>
        </w:tc>
        <w:tc>
          <w:tcPr>
            <w:tcW w:type="dxa" w:w="2304"/>
            <w:vAlign w:val="center"/>
            <w:tcMar>
              <w:top w:w="70" w:type="dxa"/>
              <w:start w:w="85" w:type="dxa"/>
              <w:bottom w:w="70" w:type="dxa"/>
              <w:end w:w="85" w:type="dxa"/>
            </w:tcMar>
          </w:tcPr>
          <w:p>
            <w:pPr>
              <w:spacing w:after="20" w:before="0" w:line="240" w:lineRule="auto"/>
            </w:pPr>
            <w:r>
              <w:rPr>
                <w:rFonts w:ascii="Aptos" w:hAnsi="Aptos"/>
                <w:sz w:val="15"/>
              </w:rPr>
              <w:t>Medium to high recurring cost</w:t>
            </w:r>
          </w:p>
        </w:tc>
        <w:tc>
          <w:tcPr>
            <w:tcW w:type="dxa" w:w="5472"/>
            <w:vAlign w:val="center"/>
            <w:tcMar>
              <w:top w:w="70" w:type="dxa"/>
              <w:start w:w="85" w:type="dxa"/>
              <w:bottom w:w="70" w:type="dxa"/>
              <w:end w:w="85" w:type="dxa"/>
            </w:tcMar>
          </w:tcPr>
          <w:p>
            <w:pPr>
              <w:spacing w:after="20" w:before="0" w:line="240" w:lineRule="auto"/>
            </w:pPr>
            <w:r>
              <w:rPr>
                <w:rFonts w:ascii="Aptos" w:hAnsi="Aptos"/>
                <w:sz w:val="15"/>
              </w:rPr>
              <w:t>Alert triage, patch remediation and tool upkeep are ongoing; understaffing can negate tool benefits.</w:t>
            </w:r>
          </w:p>
        </w:tc>
      </w:tr>
      <w:tr>
        <w:trPr>
          <w:cantSplit/>
        </w:trPr>
        <w:tc>
          <w:tcPr>
            <w:tcW w:type="dxa" w:w="2736"/>
            <w:vAlign w:val="center"/>
            <w:tcMar>
              <w:top w:w="70" w:type="dxa"/>
              <w:start w:w="85" w:type="dxa"/>
              <w:bottom w:w="70" w:type="dxa"/>
              <w:end w:w="85" w:type="dxa"/>
            </w:tcMar>
            <w:shd w:fill="F4F7FA"/>
          </w:tcPr>
          <w:p>
            <w:pPr>
              <w:spacing w:after="20" w:before="0" w:line="240" w:lineRule="auto"/>
            </w:pPr>
            <w:r>
              <w:rPr>
                <w:rFonts w:ascii="Aptos" w:hAnsi="Aptos"/>
                <w:sz w:val="15"/>
              </w:rPr>
              <w:t>Integration and process engineering</w:t>
            </w:r>
          </w:p>
        </w:tc>
        <w:tc>
          <w:tcPr>
            <w:tcW w:type="dxa" w:w="2304"/>
            <w:vAlign w:val="center"/>
            <w:tcMar>
              <w:top w:w="70" w:type="dxa"/>
              <w:start w:w="85" w:type="dxa"/>
              <w:bottom w:w="70" w:type="dxa"/>
              <w:end w:w="85" w:type="dxa"/>
            </w:tcMar>
            <w:shd w:fill="F4F7FA"/>
          </w:tcPr>
          <w:p>
            <w:pPr>
              <w:spacing w:after="20" w:before="0" w:line="240" w:lineRule="auto"/>
            </w:pPr>
            <w:r>
              <w:rPr>
                <w:rFonts w:ascii="Aptos" w:hAnsi="Aptos"/>
                <w:sz w:val="15"/>
              </w:rPr>
              <w:t>Medium</w:t>
            </w:r>
          </w:p>
        </w:tc>
        <w:tc>
          <w:tcPr>
            <w:tcW w:type="dxa" w:w="5472"/>
            <w:vAlign w:val="center"/>
            <w:tcMar>
              <w:top w:w="70" w:type="dxa"/>
              <w:start w:w="85" w:type="dxa"/>
              <w:bottom w:w="70" w:type="dxa"/>
              <w:end w:w="85" w:type="dxa"/>
            </w:tcMar>
            <w:shd w:fill="F4F7FA"/>
          </w:tcPr>
          <w:p>
            <w:pPr>
              <w:spacing w:after="20" w:before="0" w:line="240" w:lineRule="auto"/>
            </w:pPr>
            <w:r>
              <w:rPr>
                <w:rFonts w:ascii="Aptos" w:hAnsi="Aptos"/>
                <w:sz w:val="15"/>
              </w:rPr>
              <w:t>API/export normalisation, ticketing integration, testing, documentation and maintenance.</w:t>
            </w:r>
          </w:p>
        </w:tc>
      </w:tr>
    </w:tbl>
    <w:p>
      <w:pPr>
        <w:spacing w:after="20"/>
      </w:pPr>
    </w:p>
    <w:p>
      <w:pPr>
        <w:pStyle w:val="Heading1"/>
        <w:keepNext/>
      </w:pPr>
      <w:r>
        <w:t>8. Risks, limitations and mitigations</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2541"/>
        <w:gridCol w:w="2541"/>
        <w:gridCol w:w="2541"/>
        <w:gridCol w:w="2541"/>
      </w:tblGrid>
      <w:tr>
        <w:trPr>
          <w:cantSplit/>
          <w:tblHeader w:val="true"/>
        </w:trPr>
        <w:tc>
          <w:tcPr>
            <w:tcW w:type="dxa" w:w="2088"/>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Risk</w:t>
            </w:r>
          </w:p>
        </w:tc>
        <w:tc>
          <w:tcPr>
            <w:tcW w:type="dxa" w:w="180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Likelihood / impact (initial estimate)</w:t>
            </w:r>
          </w:p>
        </w:tc>
        <w:tc>
          <w:tcPr>
            <w:tcW w:type="dxa" w:w="4032"/>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Mitigation</w:t>
            </w:r>
          </w:p>
        </w:tc>
        <w:tc>
          <w:tcPr>
            <w:tcW w:type="dxa" w:w="2592"/>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Owner / evidence</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Aptos" w:hAnsi="Aptos"/>
                <w:sz w:val="14"/>
              </w:rPr>
              <w:t>Alert fatigue and false positives</w:t>
            </w:r>
          </w:p>
        </w:tc>
        <w:tc>
          <w:tcPr>
            <w:tcW w:type="dxa" w:w="1800"/>
            <w:vAlign w:val="center"/>
            <w:tcMar>
              <w:top w:w="70" w:type="dxa"/>
              <w:start w:w="85" w:type="dxa"/>
              <w:bottom w:w="70" w:type="dxa"/>
              <w:end w:w="85" w:type="dxa"/>
            </w:tcMar>
          </w:tcPr>
          <w:p>
            <w:pPr>
              <w:spacing w:after="20" w:before="0" w:line="240" w:lineRule="auto"/>
            </w:pPr>
            <w:r>
              <w:rPr>
                <w:rFonts w:ascii="Aptos" w:hAnsi="Aptos"/>
                <w:sz w:val="14"/>
              </w:rPr>
              <w:t>High / Medium–High</w:t>
            </w:r>
          </w:p>
        </w:tc>
        <w:tc>
          <w:tcPr>
            <w:tcW w:type="dxa" w:w="4032"/>
            <w:vAlign w:val="center"/>
            <w:tcMar>
              <w:top w:w="70" w:type="dxa"/>
              <w:start w:w="85" w:type="dxa"/>
              <w:bottom w:w="70" w:type="dxa"/>
              <w:end w:w="85" w:type="dxa"/>
            </w:tcMar>
          </w:tcPr>
          <w:p>
            <w:pPr>
              <w:spacing w:after="20" w:before="0" w:line="240" w:lineRule="auto"/>
            </w:pPr>
            <w:r>
              <w:rPr>
                <w:rFonts w:ascii="Aptos" w:hAnsi="Aptos"/>
                <w:sz w:val="14"/>
              </w:rPr>
              <w:t>Pilot rules; set severity thresholds; tune with known-good traffic; use service-aware allowlists; review weekly.</w:t>
            </w:r>
          </w:p>
        </w:tc>
        <w:tc>
          <w:tcPr>
            <w:tcW w:type="dxa" w:w="2592"/>
            <w:vAlign w:val="center"/>
            <w:tcMar>
              <w:top w:w="70" w:type="dxa"/>
              <w:start w:w="85" w:type="dxa"/>
              <w:bottom w:w="70" w:type="dxa"/>
              <w:end w:w="85" w:type="dxa"/>
            </w:tcMar>
          </w:tcPr>
          <w:p>
            <w:pPr>
              <w:spacing w:after="20" w:before="0" w:line="240" w:lineRule="auto"/>
            </w:pPr>
            <w:r>
              <w:rPr>
                <w:rFonts w:ascii="Aptos" w:hAnsi="Aptos"/>
                <w:sz w:val="14"/>
              </w:rPr>
              <w:t>SOC lead; alert precision and backlog.</w:t>
            </w:r>
          </w:p>
        </w:tc>
      </w:tr>
      <w:tr>
        <w:trPr>
          <w:cantSplit/>
        </w:trPr>
        <w:tc>
          <w:tcPr>
            <w:tcW w:type="dxa" w:w="2088"/>
            <w:vAlign w:val="center"/>
            <w:tcMar>
              <w:top w:w="70" w:type="dxa"/>
              <w:start w:w="85" w:type="dxa"/>
              <w:bottom w:w="70" w:type="dxa"/>
              <w:end w:w="85" w:type="dxa"/>
            </w:tcMar>
            <w:shd w:fill="F4F7FA"/>
          </w:tcPr>
          <w:p>
            <w:pPr>
              <w:spacing w:after="20" w:before="0" w:line="240" w:lineRule="auto"/>
            </w:pPr>
            <w:r>
              <w:rPr>
                <w:rFonts w:ascii="Aptos" w:hAnsi="Aptos"/>
                <w:sz w:val="14"/>
              </w:rPr>
              <w:t>Blind spots from missing logs or poor sensor placement</w:t>
            </w:r>
          </w:p>
        </w:tc>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4"/>
              </w:rPr>
              <w:t>Medium / High</w:t>
            </w:r>
          </w:p>
        </w:tc>
        <w:tc>
          <w:tcPr>
            <w:tcW w:type="dxa" w:w="4032"/>
            <w:vAlign w:val="center"/>
            <w:tcMar>
              <w:top w:w="70" w:type="dxa"/>
              <w:start w:w="85" w:type="dxa"/>
              <w:bottom w:w="70" w:type="dxa"/>
              <w:end w:w="85" w:type="dxa"/>
            </w:tcMar>
            <w:shd w:fill="F4F7FA"/>
          </w:tcPr>
          <w:p>
            <w:pPr>
              <w:spacing w:after="20" w:before="0" w:line="240" w:lineRule="auto"/>
            </w:pPr>
            <w:r>
              <w:rPr>
                <w:rFonts w:ascii="Aptos" w:hAnsi="Aptos"/>
                <w:sz w:val="14"/>
              </w:rPr>
              <w:t>Maintain asset/source coverage matrix; test span traffic; monitor agent/sensor health; document encrypted traffic limits.</w:t>
            </w:r>
          </w:p>
        </w:tc>
        <w:tc>
          <w:tcPr>
            <w:tcW w:type="dxa" w:w="2592"/>
            <w:vAlign w:val="center"/>
            <w:tcMar>
              <w:top w:w="70" w:type="dxa"/>
              <w:start w:w="85" w:type="dxa"/>
              <w:bottom w:w="70" w:type="dxa"/>
              <w:end w:w="85" w:type="dxa"/>
            </w:tcMar>
            <w:shd w:fill="F4F7FA"/>
          </w:tcPr>
          <w:p>
            <w:pPr>
              <w:spacing w:after="20" w:before="0" w:line="240" w:lineRule="auto"/>
            </w:pPr>
            <w:r>
              <w:rPr>
                <w:rFonts w:ascii="Aptos" w:hAnsi="Aptos"/>
                <w:sz w:val="14"/>
              </w:rPr>
              <w:t>Network and platform leads; coverage report, packet drops.</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Aptos" w:hAnsi="Aptos"/>
                <w:sz w:val="14"/>
              </w:rPr>
              <w:t>Vulnerability scan disrupts a fragile or critical service</w:t>
            </w:r>
          </w:p>
        </w:tc>
        <w:tc>
          <w:tcPr>
            <w:tcW w:type="dxa" w:w="1800"/>
            <w:vAlign w:val="center"/>
            <w:tcMar>
              <w:top w:w="70" w:type="dxa"/>
              <w:start w:w="85" w:type="dxa"/>
              <w:bottom w:w="70" w:type="dxa"/>
              <w:end w:w="85" w:type="dxa"/>
            </w:tcMar>
          </w:tcPr>
          <w:p>
            <w:pPr>
              <w:spacing w:after="20" w:before="0" w:line="240" w:lineRule="auto"/>
            </w:pPr>
            <w:r>
              <w:rPr>
                <w:rFonts w:ascii="Aptos" w:hAnsi="Aptos"/>
                <w:sz w:val="14"/>
              </w:rPr>
              <w:t>Low–Medium / High</w:t>
            </w:r>
          </w:p>
        </w:tc>
        <w:tc>
          <w:tcPr>
            <w:tcW w:type="dxa" w:w="4032"/>
            <w:vAlign w:val="center"/>
            <w:tcMar>
              <w:top w:w="70" w:type="dxa"/>
              <w:start w:w="85" w:type="dxa"/>
              <w:bottom w:w="70" w:type="dxa"/>
              <w:end w:w="85" w:type="dxa"/>
            </w:tcMar>
          </w:tcPr>
          <w:p>
            <w:pPr>
              <w:spacing w:after="20" w:before="0" w:line="240" w:lineRule="auto"/>
            </w:pPr>
            <w:r>
              <w:rPr>
                <w:rFonts w:ascii="Aptos" w:hAnsi="Aptos"/>
                <w:sz w:val="14"/>
              </w:rPr>
              <w:t>Written authorisation, staged scans, maintenance windows, rate limits, exclusions, monitoring and emergency stop contact.</w:t>
            </w:r>
          </w:p>
        </w:tc>
        <w:tc>
          <w:tcPr>
            <w:tcW w:type="dxa" w:w="2592"/>
            <w:vAlign w:val="center"/>
            <w:tcMar>
              <w:top w:w="70" w:type="dxa"/>
              <w:start w:w="85" w:type="dxa"/>
              <w:bottom w:w="70" w:type="dxa"/>
              <w:end w:w="85" w:type="dxa"/>
            </w:tcMar>
          </w:tcPr>
          <w:p>
            <w:pPr>
              <w:spacing w:after="20" w:before="0" w:line="240" w:lineRule="auto"/>
            </w:pPr>
            <w:r>
              <w:rPr>
                <w:rFonts w:ascii="Aptos" w:hAnsi="Aptos"/>
                <w:sz w:val="14"/>
              </w:rPr>
              <w:t>Vulnerability coordinator; signed rules of engagement.</w:t>
            </w:r>
          </w:p>
        </w:tc>
      </w:tr>
      <w:tr>
        <w:trPr>
          <w:cantSplit/>
        </w:trPr>
        <w:tc>
          <w:tcPr>
            <w:tcW w:type="dxa" w:w="2088"/>
            <w:vAlign w:val="center"/>
            <w:tcMar>
              <w:top w:w="70" w:type="dxa"/>
              <w:start w:w="85" w:type="dxa"/>
              <w:bottom w:w="70" w:type="dxa"/>
              <w:end w:w="85" w:type="dxa"/>
            </w:tcMar>
            <w:shd w:fill="F4F7FA"/>
          </w:tcPr>
          <w:p>
            <w:pPr>
              <w:spacing w:after="20" w:before="0" w:line="240" w:lineRule="auto"/>
            </w:pPr>
            <w:r>
              <w:rPr>
                <w:rFonts w:ascii="Aptos" w:hAnsi="Aptos"/>
                <w:sz w:val="14"/>
              </w:rPr>
              <w:t>Incorrect parser or time normalisation leads to missed correlation</w:t>
            </w:r>
          </w:p>
        </w:tc>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4"/>
              </w:rPr>
              <w:t>Medium / High</w:t>
            </w:r>
          </w:p>
        </w:tc>
        <w:tc>
          <w:tcPr>
            <w:tcW w:type="dxa" w:w="4032"/>
            <w:vAlign w:val="center"/>
            <w:tcMar>
              <w:top w:w="70" w:type="dxa"/>
              <w:start w:w="85" w:type="dxa"/>
              <w:bottom w:w="70" w:type="dxa"/>
              <w:end w:w="85" w:type="dxa"/>
            </w:tcMar>
            <w:shd w:fill="F4F7FA"/>
          </w:tcPr>
          <w:p>
            <w:pPr>
              <w:spacing w:after="20" w:before="0" w:line="240" w:lineRule="auto"/>
            </w:pPr>
            <w:r>
              <w:rPr>
                <w:rFonts w:ascii="Aptos" w:hAnsi="Aptos"/>
                <w:sz w:val="14"/>
              </w:rPr>
              <w:t>Test sample events, timestamps, duplicates, field maps and timezone; retain raw event for investigation.</w:t>
            </w:r>
          </w:p>
        </w:tc>
        <w:tc>
          <w:tcPr>
            <w:tcW w:type="dxa" w:w="2592"/>
            <w:vAlign w:val="center"/>
            <w:tcMar>
              <w:top w:w="70" w:type="dxa"/>
              <w:start w:w="85" w:type="dxa"/>
              <w:bottom w:w="70" w:type="dxa"/>
              <w:end w:w="85" w:type="dxa"/>
            </w:tcMar>
            <w:shd w:fill="F4F7FA"/>
          </w:tcPr>
          <w:p>
            <w:pPr>
              <w:spacing w:after="20" w:before="0" w:line="240" w:lineRule="auto"/>
            </w:pPr>
            <w:r>
              <w:rPr>
                <w:rFonts w:ascii="Aptos" w:hAnsi="Aptos"/>
                <w:sz w:val="14"/>
              </w:rPr>
              <w:t>Security engineer; integration acceptance tests.</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Aptos" w:hAnsi="Aptos"/>
                <w:sz w:val="14"/>
              </w:rPr>
              <w:t>Security stack becomes a high-value target</w:t>
            </w:r>
          </w:p>
        </w:tc>
        <w:tc>
          <w:tcPr>
            <w:tcW w:type="dxa" w:w="1800"/>
            <w:vAlign w:val="center"/>
            <w:tcMar>
              <w:top w:w="70" w:type="dxa"/>
              <w:start w:w="85" w:type="dxa"/>
              <w:bottom w:w="70" w:type="dxa"/>
              <w:end w:w="85" w:type="dxa"/>
            </w:tcMar>
          </w:tcPr>
          <w:p>
            <w:pPr>
              <w:spacing w:after="20" w:before="0" w:line="240" w:lineRule="auto"/>
            </w:pPr>
            <w:r>
              <w:rPr>
                <w:rFonts w:ascii="Aptos" w:hAnsi="Aptos"/>
                <w:sz w:val="14"/>
              </w:rPr>
              <w:t>Medium / High</w:t>
            </w:r>
          </w:p>
        </w:tc>
        <w:tc>
          <w:tcPr>
            <w:tcW w:type="dxa" w:w="4032"/>
            <w:vAlign w:val="center"/>
            <w:tcMar>
              <w:top w:w="70" w:type="dxa"/>
              <w:start w:w="85" w:type="dxa"/>
              <w:bottom w:w="70" w:type="dxa"/>
              <w:end w:w="85" w:type="dxa"/>
            </w:tcMar>
          </w:tcPr>
          <w:p>
            <w:pPr>
              <w:spacing w:after="20" w:before="0" w:line="240" w:lineRule="auto"/>
            </w:pPr>
            <w:r>
              <w:rPr>
                <w:rFonts w:ascii="Aptos" w:hAnsi="Aptos"/>
                <w:sz w:val="14"/>
              </w:rPr>
              <w:t>Dedicated management segment, MFA, least privilege, patching, encrypted backups, admin audit logs and restore testing.</w:t>
            </w:r>
          </w:p>
        </w:tc>
        <w:tc>
          <w:tcPr>
            <w:tcW w:type="dxa" w:w="2592"/>
            <w:vAlign w:val="center"/>
            <w:tcMar>
              <w:top w:w="70" w:type="dxa"/>
              <w:start w:w="85" w:type="dxa"/>
              <w:bottom w:w="70" w:type="dxa"/>
              <w:end w:w="85" w:type="dxa"/>
            </w:tcMar>
          </w:tcPr>
          <w:p>
            <w:pPr>
              <w:spacing w:after="20" w:before="0" w:line="240" w:lineRule="auto"/>
            </w:pPr>
            <w:r>
              <w:rPr>
                <w:rFonts w:ascii="Aptos" w:hAnsi="Aptos"/>
                <w:sz w:val="14"/>
              </w:rPr>
              <w:t>Platform owner; hardening checklist and restore report.</w:t>
            </w:r>
          </w:p>
        </w:tc>
      </w:tr>
      <w:tr>
        <w:trPr>
          <w:cantSplit/>
        </w:trPr>
        <w:tc>
          <w:tcPr>
            <w:tcW w:type="dxa" w:w="2088"/>
            <w:vAlign w:val="center"/>
            <w:tcMar>
              <w:top w:w="70" w:type="dxa"/>
              <w:start w:w="85" w:type="dxa"/>
              <w:bottom w:w="70" w:type="dxa"/>
              <w:end w:w="85" w:type="dxa"/>
            </w:tcMar>
            <w:shd w:fill="F4F7FA"/>
          </w:tcPr>
          <w:p>
            <w:pPr>
              <w:spacing w:after="20" w:before="0" w:line="240" w:lineRule="auto"/>
            </w:pPr>
            <w:r>
              <w:rPr>
                <w:rFonts w:ascii="Aptos" w:hAnsi="Aptos"/>
                <w:sz w:val="14"/>
              </w:rPr>
              <w:t>Sensitive citizen data exposed through logs/reports</w:t>
            </w:r>
          </w:p>
        </w:tc>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4"/>
              </w:rPr>
              <w:t>Medium / High</w:t>
            </w:r>
          </w:p>
        </w:tc>
        <w:tc>
          <w:tcPr>
            <w:tcW w:type="dxa" w:w="4032"/>
            <w:vAlign w:val="center"/>
            <w:tcMar>
              <w:top w:w="70" w:type="dxa"/>
              <w:start w:w="85" w:type="dxa"/>
              <w:bottom w:w="70" w:type="dxa"/>
              <w:end w:w="85" w:type="dxa"/>
            </w:tcMar>
            <w:shd w:fill="F4F7FA"/>
          </w:tcPr>
          <w:p>
            <w:pPr>
              <w:spacing w:after="20" w:before="0" w:line="240" w:lineRule="auto"/>
            </w:pPr>
            <w:r>
              <w:rPr>
                <w:rFonts w:ascii="Aptos" w:hAnsi="Aptos"/>
                <w:sz w:val="14"/>
              </w:rPr>
              <w:t>Data minimisation, masking where feasible, role-based access, retention limits and secure transfer/storage.</w:t>
            </w:r>
          </w:p>
        </w:tc>
        <w:tc>
          <w:tcPr>
            <w:tcW w:type="dxa" w:w="2592"/>
            <w:vAlign w:val="center"/>
            <w:tcMar>
              <w:top w:w="70" w:type="dxa"/>
              <w:start w:w="85" w:type="dxa"/>
              <w:bottom w:w="70" w:type="dxa"/>
              <w:end w:w="85" w:type="dxa"/>
            </w:tcMar>
            <w:shd w:fill="F4F7FA"/>
          </w:tcPr>
          <w:p>
            <w:pPr>
              <w:spacing w:after="20" w:before="0" w:line="240" w:lineRule="auto"/>
            </w:pPr>
            <w:r>
              <w:rPr>
                <w:rFonts w:ascii="Aptos" w:hAnsi="Aptos"/>
                <w:sz w:val="14"/>
              </w:rPr>
              <w:t>Privacy and records owner; access reviews.</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Aptos" w:hAnsi="Aptos"/>
                <w:sz w:val="14"/>
              </w:rPr>
              <w:t>Tool alert is not acted on promptly</w:t>
            </w:r>
          </w:p>
        </w:tc>
        <w:tc>
          <w:tcPr>
            <w:tcW w:type="dxa" w:w="1800"/>
            <w:vAlign w:val="center"/>
            <w:tcMar>
              <w:top w:w="70" w:type="dxa"/>
              <w:start w:w="85" w:type="dxa"/>
              <w:bottom w:w="70" w:type="dxa"/>
              <w:end w:w="85" w:type="dxa"/>
            </w:tcMar>
          </w:tcPr>
          <w:p>
            <w:pPr>
              <w:spacing w:after="20" w:before="0" w:line="240" w:lineRule="auto"/>
            </w:pPr>
            <w:r>
              <w:rPr>
                <w:rFonts w:ascii="Aptos" w:hAnsi="Aptos"/>
                <w:sz w:val="14"/>
              </w:rPr>
              <w:t>Medium / High</w:t>
            </w:r>
          </w:p>
        </w:tc>
        <w:tc>
          <w:tcPr>
            <w:tcW w:type="dxa" w:w="4032"/>
            <w:vAlign w:val="center"/>
            <w:tcMar>
              <w:top w:w="70" w:type="dxa"/>
              <w:start w:w="85" w:type="dxa"/>
              <w:bottom w:w="70" w:type="dxa"/>
              <w:end w:w="85" w:type="dxa"/>
            </w:tcMar>
          </w:tcPr>
          <w:p>
            <w:pPr>
              <w:spacing w:after="20" w:before="0" w:line="240" w:lineRule="auto"/>
            </w:pPr>
            <w:r>
              <w:rPr>
                <w:rFonts w:ascii="Aptos" w:hAnsi="Aptos"/>
                <w:sz w:val="14"/>
              </w:rPr>
              <w:t>Named on-call owner, severity SLAs, escalation tree, tickets and exercises; track overdue critical/high cases.</w:t>
            </w:r>
          </w:p>
        </w:tc>
        <w:tc>
          <w:tcPr>
            <w:tcW w:type="dxa" w:w="2592"/>
            <w:vAlign w:val="center"/>
            <w:tcMar>
              <w:top w:w="70" w:type="dxa"/>
              <w:start w:w="85" w:type="dxa"/>
              <w:bottom w:w="70" w:type="dxa"/>
              <w:end w:w="85" w:type="dxa"/>
            </w:tcMar>
          </w:tcPr>
          <w:p>
            <w:pPr>
              <w:spacing w:after="20" w:before="0" w:line="240" w:lineRule="auto"/>
            </w:pPr>
            <w:r>
              <w:rPr>
                <w:rFonts w:ascii="Aptos" w:hAnsi="Aptos"/>
                <w:sz w:val="14"/>
              </w:rPr>
              <w:t>SOC and service owner; SLA dashboard.</w:t>
            </w:r>
          </w:p>
        </w:tc>
      </w:tr>
      <w:tr>
        <w:trPr>
          <w:cantSplit/>
        </w:trPr>
        <w:tc>
          <w:tcPr>
            <w:tcW w:type="dxa" w:w="2088"/>
            <w:vAlign w:val="center"/>
            <w:tcMar>
              <w:top w:w="70" w:type="dxa"/>
              <w:start w:w="85" w:type="dxa"/>
              <w:bottom w:w="70" w:type="dxa"/>
              <w:end w:w="85" w:type="dxa"/>
            </w:tcMar>
            <w:shd w:fill="F4F7FA"/>
          </w:tcPr>
          <w:p>
            <w:pPr>
              <w:spacing w:after="20" w:before="0" w:line="240" w:lineRule="auto"/>
            </w:pPr>
            <w:r>
              <w:rPr>
                <w:rFonts w:ascii="Aptos" w:hAnsi="Aptos"/>
                <w:sz w:val="14"/>
              </w:rPr>
              <w:t>Unsupported custom integration fails after upgrade</w:t>
            </w:r>
          </w:p>
        </w:tc>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4"/>
              </w:rPr>
              <w:t>Medium / Medium–High</w:t>
            </w:r>
          </w:p>
        </w:tc>
        <w:tc>
          <w:tcPr>
            <w:tcW w:type="dxa" w:w="4032"/>
            <w:vAlign w:val="center"/>
            <w:tcMar>
              <w:top w:w="70" w:type="dxa"/>
              <w:start w:w="85" w:type="dxa"/>
              <w:bottom w:w="70" w:type="dxa"/>
              <w:end w:w="85" w:type="dxa"/>
            </w:tcMar>
            <w:shd w:fill="F4F7FA"/>
          </w:tcPr>
          <w:p>
            <w:pPr>
              <w:spacing w:after="20" w:before="0" w:line="240" w:lineRule="auto"/>
            </w:pPr>
            <w:r>
              <w:rPr>
                <w:rFonts w:ascii="Aptos" w:hAnsi="Aptos"/>
                <w:sz w:val="14"/>
              </w:rPr>
              <w:t>Version pinning, staging tests, documented APIs, code review, health alerts and fallback manual export.</w:t>
            </w:r>
          </w:p>
        </w:tc>
        <w:tc>
          <w:tcPr>
            <w:tcW w:type="dxa" w:w="2592"/>
            <w:vAlign w:val="center"/>
            <w:tcMar>
              <w:top w:w="70" w:type="dxa"/>
              <w:start w:w="85" w:type="dxa"/>
              <w:bottom w:w="70" w:type="dxa"/>
              <w:end w:w="85" w:type="dxa"/>
            </w:tcMar>
            <w:shd w:fill="F4F7FA"/>
          </w:tcPr>
          <w:p>
            <w:pPr>
              <w:spacing w:after="20" w:before="0" w:line="240" w:lineRule="auto"/>
            </w:pPr>
            <w:r>
              <w:rPr>
                <w:rFonts w:ascii="Aptos" w:hAnsi="Aptos"/>
                <w:sz w:val="14"/>
              </w:rPr>
              <w:t>Integration owner; versioned tests/runbook.</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Aptos" w:hAnsi="Aptos"/>
                <w:sz w:val="14"/>
              </w:rPr>
              <w:t>Open-source support/skills gap</w:t>
            </w:r>
          </w:p>
        </w:tc>
        <w:tc>
          <w:tcPr>
            <w:tcW w:type="dxa" w:w="1800"/>
            <w:vAlign w:val="center"/>
            <w:tcMar>
              <w:top w:w="70" w:type="dxa"/>
              <w:start w:w="85" w:type="dxa"/>
              <w:bottom w:w="70" w:type="dxa"/>
              <w:end w:w="85" w:type="dxa"/>
            </w:tcMar>
          </w:tcPr>
          <w:p>
            <w:pPr>
              <w:spacing w:after="20" w:before="0" w:line="240" w:lineRule="auto"/>
            </w:pPr>
            <w:r>
              <w:rPr>
                <w:rFonts w:ascii="Aptos" w:hAnsi="Aptos"/>
                <w:sz w:val="14"/>
              </w:rPr>
              <w:t>Medium / Medium</w:t>
            </w:r>
          </w:p>
        </w:tc>
        <w:tc>
          <w:tcPr>
            <w:tcW w:type="dxa" w:w="4032"/>
            <w:vAlign w:val="center"/>
            <w:tcMar>
              <w:top w:w="70" w:type="dxa"/>
              <w:start w:w="85" w:type="dxa"/>
              <w:bottom w:w="70" w:type="dxa"/>
              <w:end w:w="85" w:type="dxa"/>
            </w:tcMar>
          </w:tcPr>
          <w:p>
            <w:pPr>
              <w:spacing w:after="20" w:before="0" w:line="240" w:lineRule="auto"/>
            </w:pPr>
            <w:r>
              <w:rPr>
                <w:rFonts w:ascii="Aptos" w:hAnsi="Aptos"/>
                <w:sz w:val="14"/>
              </w:rPr>
              <w:t>Training, support decision criteria, maintenance ownership, internal documentation and contingency support.</w:t>
            </w:r>
          </w:p>
        </w:tc>
        <w:tc>
          <w:tcPr>
            <w:tcW w:type="dxa" w:w="2592"/>
            <w:vAlign w:val="center"/>
            <w:tcMar>
              <w:top w:w="70" w:type="dxa"/>
              <w:start w:w="85" w:type="dxa"/>
              <w:bottom w:w="70" w:type="dxa"/>
              <w:end w:w="85" w:type="dxa"/>
            </w:tcMar>
          </w:tcPr>
          <w:p>
            <w:pPr>
              <w:spacing w:after="20" w:before="0" w:line="240" w:lineRule="auto"/>
            </w:pPr>
            <w:r>
              <w:rPr>
                <w:rFonts w:ascii="Aptos" w:hAnsi="Aptos"/>
                <w:sz w:val="14"/>
              </w:rPr>
              <w:t>Programme sponsor; skills/support plan.</w:t>
            </w:r>
          </w:p>
        </w:tc>
      </w:tr>
      <w:tr>
        <w:trPr>
          <w:cantSplit/>
        </w:trPr>
        <w:tc>
          <w:tcPr>
            <w:tcW w:type="dxa" w:w="2088"/>
            <w:vAlign w:val="center"/>
            <w:tcMar>
              <w:top w:w="70" w:type="dxa"/>
              <w:start w:w="85" w:type="dxa"/>
              <w:bottom w:w="70" w:type="dxa"/>
              <w:end w:w="85" w:type="dxa"/>
            </w:tcMar>
            <w:shd w:fill="F4F7FA"/>
          </w:tcPr>
          <w:p>
            <w:pPr>
              <w:spacing w:after="20" w:before="0" w:line="240" w:lineRule="auto"/>
            </w:pPr>
            <w:r>
              <w:rPr>
                <w:rFonts w:ascii="Aptos" w:hAnsi="Aptos"/>
                <w:sz w:val="14"/>
              </w:rPr>
              <w:t>Inline IPS blocks legitimate traffic</w:t>
            </w:r>
          </w:p>
        </w:tc>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4"/>
              </w:rPr>
              <w:t>Low in passive pilot / High if enabled</w:t>
            </w:r>
          </w:p>
        </w:tc>
        <w:tc>
          <w:tcPr>
            <w:tcW w:type="dxa" w:w="4032"/>
            <w:vAlign w:val="center"/>
            <w:tcMar>
              <w:top w:w="70" w:type="dxa"/>
              <w:start w:w="85" w:type="dxa"/>
              <w:bottom w:w="70" w:type="dxa"/>
              <w:end w:w="85" w:type="dxa"/>
            </w:tcMar>
            <w:shd w:fill="F4F7FA"/>
          </w:tcPr>
          <w:p>
            <w:pPr>
              <w:spacing w:after="20" w:before="0" w:line="240" w:lineRule="auto"/>
            </w:pPr>
            <w:r>
              <w:rPr>
                <w:rFonts w:ascii="Aptos" w:hAnsi="Aptos"/>
                <w:sz w:val="14"/>
              </w:rPr>
              <w:t>Keep passive by default; test policy; staged change, narrow initial rules, approved rollback, real-time health monitoring.</w:t>
            </w:r>
          </w:p>
        </w:tc>
        <w:tc>
          <w:tcPr>
            <w:tcW w:type="dxa" w:w="2592"/>
            <w:vAlign w:val="center"/>
            <w:tcMar>
              <w:top w:w="70" w:type="dxa"/>
              <w:start w:w="85" w:type="dxa"/>
              <w:bottom w:w="70" w:type="dxa"/>
              <w:end w:w="85" w:type="dxa"/>
            </w:tcMar>
            <w:shd w:fill="F4F7FA"/>
          </w:tcPr>
          <w:p>
            <w:pPr>
              <w:spacing w:after="20" w:before="0" w:line="240" w:lineRule="auto"/>
            </w:pPr>
            <w:r>
              <w:rPr>
                <w:rFonts w:ascii="Aptos" w:hAnsi="Aptos"/>
                <w:sz w:val="14"/>
              </w:rPr>
              <w:t>Network change authority; rollback test.</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Aptos" w:hAnsi="Aptos"/>
                <w:sz w:val="14"/>
              </w:rPr>
              <w:t>Scanner feed or content not current</w:t>
            </w:r>
          </w:p>
        </w:tc>
        <w:tc>
          <w:tcPr>
            <w:tcW w:type="dxa" w:w="1800"/>
            <w:vAlign w:val="center"/>
            <w:tcMar>
              <w:top w:w="70" w:type="dxa"/>
              <w:start w:w="85" w:type="dxa"/>
              <w:bottom w:w="70" w:type="dxa"/>
              <w:end w:w="85" w:type="dxa"/>
            </w:tcMar>
          </w:tcPr>
          <w:p>
            <w:pPr>
              <w:spacing w:after="20" w:before="0" w:line="240" w:lineRule="auto"/>
            </w:pPr>
            <w:r>
              <w:rPr>
                <w:rFonts w:ascii="Aptos" w:hAnsi="Aptos"/>
                <w:sz w:val="14"/>
              </w:rPr>
              <w:t>Medium / High</w:t>
            </w:r>
          </w:p>
        </w:tc>
        <w:tc>
          <w:tcPr>
            <w:tcW w:type="dxa" w:w="4032"/>
            <w:vAlign w:val="center"/>
            <w:tcMar>
              <w:top w:w="70" w:type="dxa"/>
              <w:start w:w="85" w:type="dxa"/>
              <w:bottom w:w="70" w:type="dxa"/>
              <w:end w:w="85" w:type="dxa"/>
            </w:tcMar>
          </w:tcPr>
          <w:p>
            <w:pPr>
              <w:spacing w:after="20" w:before="0" w:line="240" w:lineRule="auto"/>
            </w:pPr>
            <w:r>
              <w:rPr>
                <w:rFonts w:ascii="Aptos" w:hAnsi="Aptos"/>
                <w:sz w:val="14"/>
              </w:rPr>
              <w:t>Monitor feed-sync status; verify update operations; track product and vulnerability-content lifecycle.</w:t>
            </w:r>
          </w:p>
        </w:tc>
        <w:tc>
          <w:tcPr>
            <w:tcW w:type="dxa" w:w="2592"/>
            <w:vAlign w:val="center"/>
            <w:tcMar>
              <w:top w:w="70" w:type="dxa"/>
              <w:start w:w="85" w:type="dxa"/>
              <w:bottom w:w="70" w:type="dxa"/>
              <w:end w:w="85" w:type="dxa"/>
            </w:tcMar>
          </w:tcPr>
          <w:p>
            <w:pPr>
              <w:spacing w:after="20" w:before="0" w:line="240" w:lineRule="auto"/>
            </w:pPr>
            <w:r>
              <w:rPr>
                <w:rFonts w:ascii="Aptos" w:hAnsi="Aptos"/>
                <w:sz w:val="14"/>
              </w:rPr>
              <w:t>Vulnerability coordinator; feed health check.</w:t>
            </w:r>
          </w:p>
        </w:tc>
      </w:tr>
      <w:tr>
        <w:trPr>
          <w:cantSplit/>
        </w:trPr>
        <w:tc>
          <w:tcPr>
            <w:tcW w:type="dxa" w:w="2088"/>
            <w:vAlign w:val="center"/>
            <w:tcMar>
              <w:top w:w="70" w:type="dxa"/>
              <w:start w:w="85" w:type="dxa"/>
              <w:bottom w:w="70" w:type="dxa"/>
              <w:end w:w="85" w:type="dxa"/>
            </w:tcMar>
            <w:shd w:fill="F4F7FA"/>
          </w:tcPr>
          <w:p>
            <w:pPr>
              <w:spacing w:after="20" w:before="0" w:line="240" w:lineRule="auto"/>
            </w:pPr>
            <w:r>
              <w:rPr>
                <w:rFonts w:ascii="Aptos" w:hAnsi="Aptos"/>
                <w:sz w:val="14"/>
              </w:rPr>
              <w:t>Unclear licensing or procurement obligations</w:t>
            </w:r>
          </w:p>
        </w:tc>
        <w:tc>
          <w:tcPr>
            <w:tcW w:type="dxa" w:w="1800"/>
            <w:vAlign w:val="center"/>
            <w:tcMar>
              <w:top w:w="70" w:type="dxa"/>
              <w:start w:w="85" w:type="dxa"/>
              <w:bottom w:w="70" w:type="dxa"/>
              <w:end w:w="85" w:type="dxa"/>
            </w:tcMar>
            <w:shd w:fill="F4F7FA"/>
          </w:tcPr>
          <w:p>
            <w:pPr>
              <w:spacing w:after="20" w:before="0" w:line="240" w:lineRule="auto"/>
            </w:pPr>
            <w:r>
              <w:rPr>
                <w:rFonts w:ascii="Aptos" w:hAnsi="Aptos"/>
                <w:sz w:val="14"/>
              </w:rPr>
              <w:t>Low–Medium / Medium</w:t>
            </w:r>
          </w:p>
        </w:tc>
        <w:tc>
          <w:tcPr>
            <w:tcW w:type="dxa" w:w="4032"/>
            <w:vAlign w:val="center"/>
            <w:tcMar>
              <w:top w:w="70" w:type="dxa"/>
              <w:start w:w="85" w:type="dxa"/>
              <w:bottom w:w="70" w:type="dxa"/>
              <w:end w:w="85" w:type="dxa"/>
            </w:tcMar>
            <w:shd w:fill="F4F7FA"/>
          </w:tcPr>
          <w:p>
            <w:pPr>
              <w:spacing w:after="20" w:before="0" w:line="240" w:lineRule="auto"/>
            </w:pPr>
            <w:r>
              <w:rPr>
                <w:rFonts w:ascii="Aptos" w:hAnsi="Aptos"/>
                <w:sz w:val="14"/>
              </w:rPr>
              <w:t>Review licences, notice obligations, third-party packages, government procurement policy and support contracts.</w:t>
            </w:r>
          </w:p>
        </w:tc>
        <w:tc>
          <w:tcPr>
            <w:tcW w:type="dxa" w:w="2592"/>
            <w:vAlign w:val="center"/>
            <w:tcMar>
              <w:top w:w="70" w:type="dxa"/>
              <w:start w:w="85" w:type="dxa"/>
              <w:bottom w:w="70" w:type="dxa"/>
              <w:end w:w="85" w:type="dxa"/>
            </w:tcMar>
            <w:shd w:fill="F4F7FA"/>
          </w:tcPr>
          <w:p>
            <w:pPr>
              <w:spacing w:after="20" w:before="0" w:line="240" w:lineRule="auto"/>
            </w:pPr>
            <w:r>
              <w:rPr>
                <w:rFonts w:ascii="Aptos" w:hAnsi="Aptos"/>
                <w:sz w:val="14"/>
              </w:rPr>
              <w:t>Procurement/legal; documented review.</w:t>
            </w:r>
          </w:p>
        </w:tc>
      </w:tr>
    </w:tbl>
    <w:p>
      <w:pPr>
        <w:spacing w:after="20"/>
      </w:pPr>
    </w:p>
    <w:p>
      <w:pPr>
        <w:pStyle w:val="Heading2"/>
        <w:keepNext/>
      </w:pPr>
      <w:r>
        <w:t>8.1 Operational acceptance tests</w:t>
      </w:r>
    </w:p>
    <w:p>
      <w:pPr>
        <w:pStyle w:val="ListBullet"/>
        <w:spacing w:after="40"/>
        <w:ind w:left="317" w:hanging="173"/>
      </w:pPr>
      <w:r>
        <w:t>Wazuh receives and parses a chosen authentication event, critical-file change and application log; timestamps and asset identity are correct.</w:t>
      </w:r>
    </w:p>
    <w:p>
      <w:pPr>
        <w:pStyle w:val="ListBullet"/>
        <w:spacing w:after="40"/>
        <w:ind w:left="317" w:hanging="173"/>
      </w:pPr>
      <w:r>
        <w:t>Suricata detects a safe, approved test signature in a lab or controlled test and exports a parseable event; sensor health and packet drops are visible.</w:t>
      </w:r>
    </w:p>
    <w:p>
      <w:pPr>
        <w:pStyle w:val="ListBullet"/>
        <w:spacing w:after="40"/>
        <w:ind w:left="317" w:hanging="173"/>
      </w:pPr>
      <w:r>
        <w:t>Greenbone runs a limited scan only against approved test targets, produces a report, and supports retesting after a test fix.</w:t>
      </w:r>
    </w:p>
    <w:p>
      <w:pPr>
        <w:pStyle w:val="ListBullet"/>
        <w:spacing w:after="40"/>
        <w:ind w:left="317" w:hanging="173"/>
      </w:pPr>
      <w:r>
        <w:t>A high-severity alert creates or can be manually linked to a ticket with evidence, owner, due date, remediation notes and closure reason.</w:t>
      </w:r>
    </w:p>
    <w:p>
      <w:pPr>
        <w:pStyle w:val="ListBullet"/>
        <w:spacing w:after="40"/>
        <w:ind w:left="317" w:hanging="173"/>
      </w:pPr>
      <w:r>
        <w:t>An analyst can retrieve relevant raw logs and explain evidence preservation, escalation and CERT-In reporting steps within the internal exercise.</w:t>
      </w:r>
    </w:p>
    <w:p>
      <w:pPr>
        <w:pStyle w:val="ListBullet"/>
        <w:spacing w:after="40"/>
        <w:ind w:left="317" w:hanging="173"/>
      </w:pPr>
      <w:r>
        <w:t>Backup restoration, access restrictions and integration outage handling have been tested and recorded.</w:t>
      </w:r>
    </w:p>
    <w:p>
      <w:pPr>
        <w:pStyle w:val="Heading1"/>
        <w:keepNext/>
      </w:pPr>
      <w:r>
        <w:t>9. Governance, compliance and KPIs</w:t>
      </w:r>
    </w:p>
    <w:p>
      <w:pPr>
        <w:pStyle w:val="Heading2"/>
        <w:keepNext/>
      </w:pPr>
      <w:r>
        <w:t>9.1 India-relevant governance considerations</w:t>
      </w:r>
    </w:p>
    <w:p>
      <w:r>
        <w:t>The following references are relevant to the design but should not be treated as a legal opinion. Applicability depends on the organisation, service, data processed, sector and current notifications. The organisation should confirm obligations with its legal/compliance function and the official sources before go-live.</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3389"/>
        <w:gridCol w:w="3389"/>
        <w:gridCol w:w="3389"/>
      </w:tblGrid>
      <w:tr>
        <w:trPr>
          <w:cantSplit/>
          <w:tblHeader w:val="true"/>
        </w:trPr>
        <w:tc>
          <w:tcPr>
            <w:tcW w:type="dxa" w:w="252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Reference</w:t>
            </w:r>
          </w:p>
        </w:tc>
        <w:tc>
          <w:tcPr>
            <w:tcW w:type="dxa" w:w="3744"/>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Relevance to tool integration</w:t>
            </w:r>
          </w:p>
        </w:tc>
        <w:tc>
          <w:tcPr>
            <w:tcW w:type="dxa" w:w="4248"/>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Practical implementation implication</w:t>
            </w:r>
          </w:p>
        </w:tc>
      </w:tr>
      <w:tr>
        <w:trPr>
          <w:cantSplit/>
        </w:trPr>
        <w:tc>
          <w:tcPr>
            <w:tcW w:type="dxa" w:w="2520"/>
            <w:vAlign w:val="center"/>
            <w:tcMar>
              <w:top w:w="70" w:type="dxa"/>
              <w:start w:w="85" w:type="dxa"/>
              <w:bottom w:w="70" w:type="dxa"/>
              <w:end w:w="85" w:type="dxa"/>
            </w:tcMar>
          </w:tcPr>
          <w:p>
            <w:pPr>
              <w:spacing w:after="20" w:before="0" w:line="240" w:lineRule="auto"/>
            </w:pPr>
            <w:r>
              <w:rPr>
                <w:rFonts w:ascii="Aptos" w:hAnsi="Aptos"/>
                <w:sz w:val="14"/>
              </w:rPr>
              <w:t>GIGW 3.0 – Guidelines for Indian Government Websites and Apps [5][6]</w:t>
            </w:r>
          </w:p>
        </w:tc>
        <w:tc>
          <w:tcPr>
            <w:tcW w:type="dxa" w:w="3744"/>
            <w:vAlign w:val="center"/>
            <w:tcMar>
              <w:top w:w="70" w:type="dxa"/>
              <w:start w:w="85" w:type="dxa"/>
              <w:bottom w:w="70" w:type="dxa"/>
              <w:end w:w="85" w:type="dxa"/>
            </w:tcMar>
          </w:tcPr>
          <w:p>
            <w:pPr>
              <w:spacing w:after="20" w:before="0" w:line="240" w:lineRule="auto"/>
            </w:pPr>
            <w:r>
              <w:rPr>
                <w:rFonts w:ascii="Aptos" w:hAnsi="Aptos"/>
                <w:sz w:val="14"/>
              </w:rPr>
              <w:t>India-specific lifecycle guidance for government websites/apps, including cybersecurity, quality and accessibility.</w:t>
            </w:r>
          </w:p>
        </w:tc>
        <w:tc>
          <w:tcPr>
            <w:tcW w:type="dxa" w:w="4248"/>
            <w:vAlign w:val="center"/>
            <w:tcMar>
              <w:top w:w="70" w:type="dxa"/>
              <w:start w:w="85" w:type="dxa"/>
              <w:bottom w:w="70" w:type="dxa"/>
              <w:end w:w="85" w:type="dxa"/>
            </w:tcMar>
          </w:tcPr>
          <w:p>
            <w:pPr>
              <w:spacing w:after="20" w:before="0" w:line="240" w:lineRule="auto"/>
            </w:pPr>
            <w:r>
              <w:rPr>
                <w:rFonts w:ascii="Aptos" w:hAnsi="Aptos"/>
                <w:sz w:val="14"/>
              </w:rPr>
              <w:t>Include the security tool process in web/app governance, lifecycle management, risk review and any applicable conformity/certification work.</w:t>
            </w:r>
          </w:p>
        </w:tc>
      </w:tr>
      <w:tr>
        <w:trPr>
          <w:cantSplit/>
        </w:trPr>
        <w:tc>
          <w:tcPr>
            <w:tcW w:type="dxa" w:w="2520"/>
            <w:vAlign w:val="center"/>
            <w:tcMar>
              <w:top w:w="70" w:type="dxa"/>
              <w:start w:w="85" w:type="dxa"/>
              <w:bottom w:w="70" w:type="dxa"/>
              <w:end w:w="85" w:type="dxa"/>
            </w:tcMar>
            <w:shd w:fill="F4F7FA"/>
          </w:tcPr>
          <w:p>
            <w:pPr>
              <w:spacing w:after="20" w:before="0" w:line="240" w:lineRule="auto"/>
            </w:pPr>
            <w:r>
              <w:rPr>
                <w:rFonts w:ascii="Aptos" w:hAnsi="Aptos"/>
                <w:sz w:val="14"/>
              </w:rPr>
              <w:t>CERT-In Directions under Section 70B, dated 28 April 2022 [12][13]</w:t>
            </w:r>
          </w:p>
        </w:tc>
        <w:tc>
          <w:tcPr>
            <w:tcW w:type="dxa" w:w="3744"/>
            <w:vAlign w:val="center"/>
            <w:tcMar>
              <w:top w:w="70" w:type="dxa"/>
              <w:start w:w="85" w:type="dxa"/>
              <w:bottom w:w="70" w:type="dxa"/>
              <w:end w:w="85" w:type="dxa"/>
            </w:tcMar>
            <w:shd w:fill="F4F7FA"/>
          </w:tcPr>
          <w:p>
            <w:pPr>
              <w:spacing w:after="20" w:before="0" w:line="240" w:lineRule="auto"/>
            </w:pPr>
            <w:r>
              <w:rPr>
                <w:rFonts w:ascii="Aptos" w:hAnsi="Aptos"/>
                <w:sz w:val="14"/>
              </w:rPr>
              <w:t>Directions include incident reporting requirements and log-related practices; specified incidents must be reported within six hours of noticing or being brought to notice.</w:t>
            </w:r>
          </w:p>
        </w:tc>
        <w:tc>
          <w:tcPr>
            <w:tcW w:type="dxa" w:w="4248"/>
            <w:vAlign w:val="center"/>
            <w:tcMar>
              <w:top w:w="70" w:type="dxa"/>
              <w:start w:w="85" w:type="dxa"/>
              <w:bottom w:w="70" w:type="dxa"/>
              <w:end w:w="85" w:type="dxa"/>
            </w:tcMar>
            <w:shd w:fill="F4F7FA"/>
          </w:tcPr>
          <w:p>
            <w:pPr>
              <w:spacing w:after="20" w:before="0" w:line="240" w:lineRule="auto"/>
            </w:pPr>
            <w:r>
              <w:rPr>
                <w:rFonts w:ascii="Aptos" w:hAnsi="Aptos"/>
                <w:sz w:val="14"/>
              </w:rPr>
              <w:t>Keep logs available, define a 24x7 escalation owner as required by the service model, and rehearse how to report with information available. Verify applicability and the current official direction/FAQs.</w:t>
            </w:r>
          </w:p>
        </w:tc>
      </w:tr>
      <w:tr>
        <w:trPr>
          <w:cantSplit/>
        </w:trPr>
        <w:tc>
          <w:tcPr>
            <w:tcW w:type="dxa" w:w="2520"/>
            <w:vAlign w:val="center"/>
            <w:tcMar>
              <w:top w:w="70" w:type="dxa"/>
              <w:start w:w="85" w:type="dxa"/>
              <w:bottom w:w="70" w:type="dxa"/>
              <w:end w:w="85" w:type="dxa"/>
            </w:tcMar>
          </w:tcPr>
          <w:p>
            <w:pPr>
              <w:spacing w:after="20" w:before="0" w:line="240" w:lineRule="auto"/>
            </w:pPr>
            <w:r>
              <w:rPr>
                <w:rFonts w:ascii="Aptos" w:hAnsi="Aptos"/>
                <w:sz w:val="14"/>
              </w:rPr>
              <w:t>Digital Personal Data Protection Act, 2023 and DPDP Rules, 2025 [14][15]</w:t>
            </w:r>
          </w:p>
        </w:tc>
        <w:tc>
          <w:tcPr>
            <w:tcW w:type="dxa" w:w="3744"/>
            <w:vAlign w:val="center"/>
            <w:tcMar>
              <w:top w:w="70" w:type="dxa"/>
              <w:start w:w="85" w:type="dxa"/>
              <w:bottom w:w="70" w:type="dxa"/>
              <w:end w:w="85" w:type="dxa"/>
            </w:tcMar>
          </w:tcPr>
          <w:p>
            <w:pPr>
              <w:spacing w:after="20" w:before="0" w:line="240" w:lineRule="auto"/>
            </w:pPr>
            <w:r>
              <w:rPr>
                <w:rFonts w:ascii="Aptos" w:hAnsi="Aptos"/>
                <w:sz w:val="14"/>
              </w:rPr>
              <w:t>Personal-data processing and reasonable security safeguards may be relevant where a service processes digital personal data. Rules have phased commencement.</w:t>
            </w:r>
          </w:p>
        </w:tc>
        <w:tc>
          <w:tcPr>
            <w:tcW w:type="dxa" w:w="4248"/>
            <w:vAlign w:val="center"/>
            <w:tcMar>
              <w:top w:w="70" w:type="dxa"/>
              <w:start w:w="85" w:type="dxa"/>
              <w:bottom w:w="70" w:type="dxa"/>
              <w:end w:w="85" w:type="dxa"/>
            </w:tcMar>
          </w:tcPr>
          <w:p>
            <w:pPr>
              <w:spacing w:after="20" w:before="0" w:line="240" w:lineRule="auto"/>
            </w:pPr>
            <w:r>
              <w:rPr>
                <w:rFonts w:ascii="Aptos" w:hAnsi="Aptos"/>
                <w:sz w:val="14"/>
              </w:rPr>
              <w:t>Apply data minimisation, access control, secure processing, retention discipline and breach-response workflows; verify which provisions are in force on the deployment date.</w:t>
            </w:r>
          </w:p>
        </w:tc>
      </w:tr>
      <w:tr>
        <w:trPr>
          <w:cantSplit/>
        </w:trPr>
        <w:tc>
          <w:tcPr>
            <w:tcW w:type="dxa" w:w="2520"/>
            <w:vAlign w:val="center"/>
            <w:tcMar>
              <w:top w:w="70" w:type="dxa"/>
              <w:start w:w="85" w:type="dxa"/>
              <w:bottom w:w="70" w:type="dxa"/>
              <w:end w:w="85" w:type="dxa"/>
            </w:tcMar>
            <w:shd w:fill="F4F7FA"/>
          </w:tcPr>
          <w:p>
            <w:pPr>
              <w:spacing w:after="20" w:before="0" w:line="240" w:lineRule="auto"/>
            </w:pPr>
            <w:r>
              <w:rPr>
                <w:rFonts w:ascii="Aptos" w:hAnsi="Aptos"/>
                <w:sz w:val="14"/>
              </w:rPr>
              <w:t>NIST Cybersecurity Framework 2.0 [16][17]</w:t>
            </w:r>
          </w:p>
        </w:tc>
        <w:tc>
          <w:tcPr>
            <w:tcW w:type="dxa" w:w="3744"/>
            <w:vAlign w:val="center"/>
            <w:tcMar>
              <w:top w:w="70" w:type="dxa"/>
              <w:start w:w="85" w:type="dxa"/>
              <w:bottom w:w="70" w:type="dxa"/>
              <w:end w:w="85" w:type="dxa"/>
            </w:tcMar>
            <w:shd w:fill="F4F7FA"/>
          </w:tcPr>
          <w:p>
            <w:pPr>
              <w:spacing w:after="20" w:before="0" w:line="240" w:lineRule="auto"/>
            </w:pPr>
            <w:r>
              <w:rPr>
                <w:rFonts w:ascii="Aptos" w:hAnsi="Aptos"/>
                <w:sz w:val="14"/>
              </w:rPr>
              <w:t>Non-prescriptive governance and risk-management framework with Govern, Identify, Protect, Detect, Respond and Recover functions.</w:t>
            </w:r>
          </w:p>
        </w:tc>
        <w:tc>
          <w:tcPr>
            <w:tcW w:type="dxa" w:w="4248"/>
            <w:vAlign w:val="center"/>
            <w:tcMar>
              <w:top w:w="70" w:type="dxa"/>
              <w:start w:w="85" w:type="dxa"/>
              <w:bottom w:w="70" w:type="dxa"/>
              <w:end w:w="85" w:type="dxa"/>
            </w:tcMar>
            <w:shd w:fill="F4F7FA"/>
          </w:tcPr>
          <w:p>
            <w:pPr>
              <w:spacing w:after="20" w:before="0" w:line="240" w:lineRule="auto"/>
            </w:pPr>
            <w:r>
              <w:rPr>
                <w:rFonts w:ascii="Aptos" w:hAnsi="Aptos"/>
                <w:sz w:val="14"/>
              </w:rPr>
              <w:t>Use as an organising model for tool ownership, inventory, safeguards, monitoring, incident response and recovery; it does not replace Indian requirements.</w:t>
            </w:r>
          </w:p>
        </w:tc>
      </w:tr>
      <w:tr>
        <w:trPr>
          <w:cantSplit/>
        </w:trPr>
        <w:tc>
          <w:tcPr>
            <w:tcW w:type="dxa" w:w="2520"/>
            <w:vAlign w:val="center"/>
            <w:tcMar>
              <w:top w:w="70" w:type="dxa"/>
              <w:start w:w="85" w:type="dxa"/>
              <w:bottom w:w="70" w:type="dxa"/>
              <w:end w:w="85" w:type="dxa"/>
            </w:tcMar>
          </w:tcPr>
          <w:p>
            <w:pPr>
              <w:spacing w:after="20" w:before="0" w:line="240" w:lineRule="auto"/>
            </w:pPr>
            <w:r>
              <w:rPr>
                <w:rFonts w:ascii="Aptos" w:hAnsi="Aptos"/>
                <w:sz w:val="14"/>
              </w:rPr>
              <w:t>OWASP API Security Top 10 (2023) [7]</w:t>
            </w:r>
          </w:p>
        </w:tc>
        <w:tc>
          <w:tcPr>
            <w:tcW w:type="dxa" w:w="3744"/>
            <w:vAlign w:val="center"/>
            <w:tcMar>
              <w:top w:w="70" w:type="dxa"/>
              <w:start w:w="85" w:type="dxa"/>
              <w:bottom w:w="70" w:type="dxa"/>
              <w:end w:w="85" w:type="dxa"/>
            </w:tcMar>
          </w:tcPr>
          <w:p>
            <w:pPr>
              <w:spacing w:after="20" w:before="0" w:line="240" w:lineRule="auto"/>
            </w:pPr>
            <w:r>
              <w:rPr>
                <w:rFonts w:ascii="Aptos" w:hAnsi="Aptos"/>
                <w:sz w:val="14"/>
              </w:rPr>
              <w:t>Highlights API risk categories including broken object-level authorisation and broken authentication.</w:t>
            </w:r>
          </w:p>
        </w:tc>
        <w:tc>
          <w:tcPr>
            <w:tcW w:type="dxa" w:w="4248"/>
            <w:vAlign w:val="center"/>
            <w:tcMar>
              <w:top w:w="70" w:type="dxa"/>
              <w:start w:w="85" w:type="dxa"/>
              <w:bottom w:w="70" w:type="dxa"/>
              <w:end w:w="85" w:type="dxa"/>
            </w:tcMar>
          </w:tcPr>
          <w:p>
            <w:pPr>
              <w:spacing w:after="20" w:before="0" w:line="240" w:lineRule="auto"/>
            </w:pPr>
            <w:r>
              <w:rPr>
                <w:rFonts w:ascii="Aptos" w:hAnsi="Aptos"/>
                <w:sz w:val="14"/>
              </w:rPr>
              <w:t>Pair tool telemetry with API security testing, authorisation design reviews, secure development and business-logic testing.</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FFF4DE"/>
            <w:tcMar>
              <w:top w:w="130" w:type="dxa"/>
              <w:start w:w="160" w:type="dxa"/>
              <w:bottom w:w="130" w:type="dxa"/>
              <w:end w:w="160" w:type="dxa"/>
            </w:tcMar>
          </w:tcPr>
          <w:p>
            <w:pPr>
              <w:spacing w:after="60"/>
            </w:pPr>
            <w:r>
              <w:rPr>
                <w:b/>
                <w:color w:val="9B6A12"/>
                <w:sz w:val="20"/>
              </w:rPr>
              <w:t>CERT-In operational note</w:t>
            </w:r>
          </w:p>
          <w:p>
            <w:pPr>
              <w:spacing w:after="0" w:line="252" w:lineRule="auto"/>
            </w:pPr>
            <w:r>
              <w:rPr>
                <w:sz w:val="18"/>
              </w:rPr>
              <w:t>CERT-In’s official directions say reportable cyber incidents must be reported within six hours of noticing them or being brought to notice. Tool alerts must feed an incident assessment and escalation process; do not assume that every raw alert is automatically a reportable incident or that a tool itself fulfils the reporting obligation. [12][13]</w:t>
            </w:r>
          </w:p>
        </w:tc>
      </w:tr>
    </w:tbl>
    <w:p>
      <w:pPr>
        <w:spacing w:after="20"/>
      </w:pPr>
    </w:p>
    <w:p>
      <w:pPr>
        <w:pStyle w:val="Heading2"/>
        <w:keepNext/>
      </w:pPr>
      <w:r>
        <w:t>9.2 Retention and personal-data safeguards</w:t>
      </w:r>
    </w:p>
    <w:p>
      <w:pPr>
        <w:pStyle w:val="ListBullet"/>
        <w:spacing w:after="40"/>
        <w:ind w:left="317" w:hanging="173"/>
      </w:pPr>
      <w:r>
        <w:t>Define log categories, retention periods and legal holds with reference to applicable obligations and operational need; CERT-In directions include specific log-retention requirements for covered entities, so verify the exact current scope and period from the official text.</w:t>
      </w:r>
    </w:p>
    <w:p>
      <w:pPr>
        <w:pStyle w:val="ListBullet"/>
        <w:spacing w:after="40"/>
        <w:ind w:left="317" w:hanging="173"/>
      </w:pPr>
      <w:r>
        <w:t>Keep the minimum information required for security monitoring; mask tokens, passwords, secrets and unnecessary personal fields wherever practical.</w:t>
      </w:r>
    </w:p>
    <w:p>
      <w:pPr>
        <w:pStyle w:val="ListBullet"/>
        <w:spacing w:after="40"/>
        <w:ind w:left="317" w:hanging="173"/>
      </w:pPr>
      <w:r>
        <w:t>Separate access to raw logs, vulnerability reports and investigation artefacts; log all privileged searches and exports where feasible.</w:t>
      </w:r>
    </w:p>
    <w:p>
      <w:pPr>
        <w:pStyle w:val="ListBullet"/>
        <w:spacing w:after="40"/>
        <w:ind w:left="317" w:hanging="173"/>
      </w:pPr>
      <w:r>
        <w:t>Protect backups and exported reports with encryption and access control; establish secure deletion and documented exceptions.</w:t>
      </w:r>
    </w:p>
    <w:p>
      <w:pPr>
        <w:pStyle w:val="ListBullet"/>
        <w:spacing w:after="40"/>
        <w:ind w:left="317" w:hanging="173"/>
      </w:pPr>
      <w:r>
        <w:t>Consider cross-border processing, cloud location, supplier access and any procurement/security requirements before choosing a hosted service.</w:t>
      </w:r>
    </w:p>
    <w:p>
      <w:pPr>
        <w:pStyle w:val="Heading2"/>
        <w:keepNext/>
      </w:pPr>
      <w:r>
        <w:t>9.3 Key performance indicators</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3389"/>
        <w:gridCol w:w="3389"/>
        <w:gridCol w:w="3389"/>
      </w:tblGrid>
      <w:tr>
        <w:trPr>
          <w:cantSplit/>
          <w:tblHeader w:val="true"/>
        </w:trPr>
        <w:tc>
          <w:tcPr>
            <w:tcW w:type="dxa" w:w="2448"/>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KPI</w:t>
            </w:r>
          </w:p>
        </w:tc>
        <w:tc>
          <w:tcPr>
            <w:tcW w:type="dxa" w:w="4608"/>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Definition / target direction</w:t>
            </w:r>
          </w:p>
        </w:tc>
        <w:tc>
          <w:tcPr>
            <w:tcW w:type="dxa" w:w="3456"/>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Suggested starting target</w:t>
            </w:r>
          </w:p>
        </w:tc>
      </w:tr>
      <w:tr>
        <w:trPr>
          <w:cantSplit/>
        </w:trPr>
        <w:tc>
          <w:tcPr>
            <w:tcW w:type="dxa" w:w="2448"/>
            <w:vAlign w:val="center"/>
            <w:tcMar>
              <w:top w:w="70" w:type="dxa"/>
              <w:start w:w="85" w:type="dxa"/>
              <w:bottom w:w="70" w:type="dxa"/>
              <w:end w:w="85" w:type="dxa"/>
            </w:tcMar>
          </w:tcPr>
          <w:p>
            <w:pPr>
              <w:spacing w:after="20" w:before="0" w:line="240" w:lineRule="auto"/>
            </w:pPr>
            <w:r>
              <w:rPr>
                <w:rFonts w:ascii="Aptos" w:hAnsi="Aptos"/>
                <w:sz w:val="14"/>
              </w:rPr>
              <w:t>Critical asset monitoring coverage</w:t>
            </w:r>
          </w:p>
        </w:tc>
        <w:tc>
          <w:tcPr>
            <w:tcW w:type="dxa" w:w="4608"/>
            <w:vAlign w:val="center"/>
            <w:tcMar>
              <w:top w:w="70" w:type="dxa"/>
              <w:start w:w="85" w:type="dxa"/>
              <w:bottom w:w="70" w:type="dxa"/>
              <w:end w:w="85" w:type="dxa"/>
            </w:tcMar>
          </w:tcPr>
          <w:p>
            <w:pPr>
              <w:spacing w:after="20" w:before="0" w:line="240" w:lineRule="auto"/>
            </w:pPr>
            <w:r>
              <w:rPr>
                <w:rFonts w:ascii="Aptos" w:hAnsi="Aptos"/>
                <w:sz w:val="14"/>
              </w:rPr>
              <w:t>Share of critical in-scope assets with working log/agent/sensor coverage.</w:t>
            </w:r>
          </w:p>
        </w:tc>
        <w:tc>
          <w:tcPr>
            <w:tcW w:type="dxa" w:w="3456"/>
            <w:vAlign w:val="center"/>
            <w:tcMar>
              <w:top w:w="70" w:type="dxa"/>
              <w:start w:w="85" w:type="dxa"/>
              <w:bottom w:w="70" w:type="dxa"/>
              <w:end w:w="85" w:type="dxa"/>
            </w:tcMar>
          </w:tcPr>
          <w:p>
            <w:pPr>
              <w:spacing w:after="20" w:before="0" w:line="240" w:lineRule="auto"/>
            </w:pPr>
            <w:r>
              <w:rPr>
                <w:rFonts w:ascii="Aptos" w:hAnsi="Aptos"/>
                <w:sz w:val="14"/>
              </w:rPr>
              <w:t>At least 95% of agreed pilot assets; all exceptions documented.</w:t>
            </w:r>
          </w:p>
        </w:tc>
      </w:tr>
      <w:tr>
        <w:trPr>
          <w:cantSplit/>
        </w:trPr>
        <w:tc>
          <w:tcPr>
            <w:tcW w:type="dxa" w:w="2448"/>
            <w:vAlign w:val="center"/>
            <w:tcMar>
              <w:top w:w="70" w:type="dxa"/>
              <w:start w:w="85" w:type="dxa"/>
              <w:bottom w:w="70" w:type="dxa"/>
              <w:end w:w="85" w:type="dxa"/>
            </w:tcMar>
            <w:shd w:fill="F4F7FA"/>
          </w:tcPr>
          <w:p>
            <w:pPr>
              <w:spacing w:after="20" w:before="0" w:line="240" w:lineRule="auto"/>
            </w:pPr>
            <w:r>
              <w:rPr>
                <w:rFonts w:ascii="Aptos" w:hAnsi="Aptos"/>
                <w:sz w:val="14"/>
              </w:rPr>
              <w:t>Log source health</w:t>
            </w:r>
          </w:p>
        </w:tc>
        <w:tc>
          <w:tcPr>
            <w:tcW w:type="dxa" w:w="4608"/>
            <w:vAlign w:val="center"/>
            <w:tcMar>
              <w:top w:w="70" w:type="dxa"/>
              <w:start w:w="85" w:type="dxa"/>
              <w:bottom w:w="70" w:type="dxa"/>
              <w:end w:w="85" w:type="dxa"/>
            </w:tcMar>
            <w:shd w:fill="F4F7FA"/>
          </w:tcPr>
          <w:p>
            <w:pPr>
              <w:spacing w:after="20" w:before="0" w:line="240" w:lineRule="auto"/>
            </w:pPr>
            <w:r>
              <w:rPr>
                <w:rFonts w:ascii="Aptos" w:hAnsi="Aptos"/>
                <w:sz w:val="14"/>
              </w:rPr>
              <w:t>Share of expected sources reporting within defined heartbeat/window.</w:t>
            </w:r>
          </w:p>
        </w:tc>
        <w:tc>
          <w:tcPr>
            <w:tcW w:type="dxa" w:w="3456"/>
            <w:vAlign w:val="center"/>
            <w:tcMar>
              <w:top w:w="70" w:type="dxa"/>
              <w:start w:w="85" w:type="dxa"/>
              <w:bottom w:w="70" w:type="dxa"/>
              <w:end w:w="85" w:type="dxa"/>
            </w:tcMar>
            <w:shd w:fill="F4F7FA"/>
          </w:tcPr>
          <w:p>
            <w:pPr>
              <w:spacing w:after="20" w:before="0" w:line="240" w:lineRule="auto"/>
            </w:pPr>
            <w:r>
              <w:rPr>
                <w:rFonts w:ascii="Aptos" w:hAnsi="Aptos"/>
                <w:sz w:val="14"/>
              </w:rPr>
              <w:t>At least 95% of sources healthy; alert on missing critical source.</w:t>
            </w:r>
          </w:p>
        </w:tc>
      </w:tr>
      <w:tr>
        <w:trPr>
          <w:cantSplit/>
        </w:trPr>
        <w:tc>
          <w:tcPr>
            <w:tcW w:type="dxa" w:w="2448"/>
            <w:vAlign w:val="center"/>
            <w:tcMar>
              <w:top w:w="70" w:type="dxa"/>
              <w:start w:w="85" w:type="dxa"/>
              <w:bottom w:w="70" w:type="dxa"/>
              <w:end w:w="85" w:type="dxa"/>
            </w:tcMar>
          </w:tcPr>
          <w:p>
            <w:pPr>
              <w:spacing w:after="20" w:before="0" w:line="240" w:lineRule="auto"/>
            </w:pPr>
            <w:r>
              <w:rPr>
                <w:rFonts w:ascii="Aptos" w:hAnsi="Aptos"/>
                <w:sz w:val="14"/>
              </w:rPr>
              <w:t>Mean time to acknowledge (MTTA)</w:t>
            </w:r>
          </w:p>
        </w:tc>
        <w:tc>
          <w:tcPr>
            <w:tcW w:type="dxa" w:w="4608"/>
            <w:vAlign w:val="center"/>
            <w:tcMar>
              <w:top w:w="70" w:type="dxa"/>
              <w:start w:w="85" w:type="dxa"/>
              <w:bottom w:w="70" w:type="dxa"/>
              <w:end w:w="85" w:type="dxa"/>
            </w:tcMar>
          </w:tcPr>
          <w:p>
            <w:pPr>
              <w:spacing w:after="20" w:before="0" w:line="240" w:lineRule="auto"/>
            </w:pPr>
            <w:r>
              <w:rPr>
                <w:rFonts w:ascii="Aptos" w:hAnsi="Aptos"/>
                <w:sz w:val="14"/>
              </w:rPr>
              <w:t>Time from alert creation to human acknowledgement.</w:t>
            </w:r>
          </w:p>
        </w:tc>
        <w:tc>
          <w:tcPr>
            <w:tcW w:type="dxa" w:w="3456"/>
            <w:vAlign w:val="center"/>
            <w:tcMar>
              <w:top w:w="70" w:type="dxa"/>
              <w:start w:w="85" w:type="dxa"/>
              <w:bottom w:w="70" w:type="dxa"/>
              <w:end w:w="85" w:type="dxa"/>
            </w:tcMar>
          </w:tcPr>
          <w:p>
            <w:pPr>
              <w:spacing w:after="20" w:before="0" w:line="240" w:lineRule="auto"/>
            </w:pPr>
            <w:r>
              <w:rPr>
                <w:rFonts w:ascii="Aptos" w:hAnsi="Aptos"/>
                <w:sz w:val="14"/>
              </w:rPr>
              <w:t>Critical alerts acknowledged within the internally approved on-call SLA.</w:t>
            </w:r>
          </w:p>
        </w:tc>
      </w:tr>
      <w:tr>
        <w:trPr>
          <w:cantSplit/>
        </w:trPr>
        <w:tc>
          <w:tcPr>
            <w:tcW w:type="dxa" w:w="2448"/>
            <w:vAlign w:val="center"/>
            <w:tcMar>
              <w:top w:w="70" w:type="dxa"/>
              <w:start w:w="85" w:type="dxa"/>
              <w:bottom w:w="70" w:type="dxa"/>
              <w:end w:w="85" w:type="dxa"/>
            </w:tcMar>
            <w:shd w:fill="F4F7FA"/>
          </w:tcPr>
          <w:p>
            <w:pPr>
              <w:spacing w:after="20" w:before="0" w:line="240" w:lineRule="auto"/>
            </w:pPr>
            <w:r>
              <w:rPr>
                <w:rFonts w:ascii="Aptos" w:hAnsi="Aptos"/>
                <w:sz w:val="14"/>
              </w:rPr>
              <w:t>Mean time to contain (MTTC)</w:t>
            </w:r>
          </w:p>
        </w:tc>
        <w:tc>
          <w:tcPr>
            <w:tcW w:type="dxa" w:w="4608"/>
            <w:vAlign w:val="center"/>
            <w:tcMar>
              <w:top w:w="70" w:type="dxa"/>
              <w:start w:w="85" w:type="dxa"/>
              <w:bottom w:w="70" w:type="dxa"/>
              <w:end w:w="85" w:type="dxa"/>
            </w:tcMar>
            <w:shd w:fill="F4F7FA"/>
          </w:tcPr>
          <w:p>
            <w:pPr>
              <w:spacing w:after="20" w:before="0" w:line="240" w:lineRule="auto"/>
            </w:pPr>
            <w:r>
              <w:rPr>
                <w:rFonts w:ascii="Aptos" w:hAnsi="Aptos"/>
                <w:sz w:val="14"/>
              </w:rPr>
              <w:t>Time from confirmed incident to effective containment.</w:t>
            </w:r>
          </w:p>
        </w:tc>
        <w:tc>
          <w:tcPr>
            <w:tcW w:type="dxa" w:w="3456"/>
            <w:vAlign w:val="center"/>
            <w:tcMar>
              <w:top w:w="70" w:type="dxa"/>
              <w:start w:w="85" w:type="dxa"/>
              <w:bottom w:w="70" w:type="dxa"/>
              <w:end w:w="85" w:type="dxa"/>
            </w:tcMar>
            <w:shd w:fill="F4F7FA"/>
          </w:tcPr>
          <w:p>
            <w:pPr>
              <w:spacing w:after="20" w:before="0" w:line="240" w:lineRule="auto"/>
            </w:pPr>
            <w:r>
              <w:rPr>
                <w:rFonts w:ascii="Aptos" w:hAnsi="Aptos"/>
                <w:sz w:val="14"/>
              </w:rPr>
              <w:t>Set by service criticality; establish baseline during pilot and improve quarterly.</w:t>
            </w:r>
          </w:p>
        </w:tc>
      </w:tr>
      <w:tr>
        <w:trPr>
          <w:cantSplit/>
        </w:trPr>
        <w:tc>
          <w:tcPr>
            <w:tcW w:type="dxa" w:w="2448"/>
            <w:vAlign w:val="center"/>
            <w:tcMar>
              <w:top w:w="70" w:type="dxa"/>
              <w:start w:w="85" w:type="dxa"/>
              <w:bottom w:w="70" w:type="dxa"/>
              <w:end w:w="85" w:type="dxa"/>
            </w:tcMar>
          </w:tcPr>
          <w:p>
            <w:pPr>
              <w:spacing w:after="20" w:before="0" w:line="240" w:lineRule="auto"/>
            </w:pPr>
            <w:r>
              <w:rPr>
                <w:rFonts w:ascii="Aptos" w:hAnsi="Aptos"/>
                <w:sz w:val="14"/>
              </w:rPr>
              <w:t>Critical/high vulnerability SLA</w:t>
            </w:r>
          </w:p>
        </w:tc>
        <w:tc>
          <w:tcPr>
            <w:tcW w:type="dxa" w:w="4608"/>
            <w:vAlign w:val="center"/>
            <w:tcMar>
              <w:top w:w="70" w:type="dxa"/>
              <w:start w:w="85" w:type="dxa"/>
              <w:bottom w:w="70" w:type="dxa"/>
              <w:end w:w="85" w:type="dxa"/>
            </w:tcMar>
          </w:tcPr>
          <w:p>
            <w:pPr>
              <w:spacing w:after="20" w:before="0" w:line="240" w:lineRule="auto"/>
            </w:pPr>
            <w:r>
              <w:rPr>
                <w:rFonts w:ascii="Aptos" w:hAnsi="Aptos"/>
                <w:sz w:val="14"/>
              </w:rPr>
              <w:t>Share of critical/high findings remediated or formally risk-accepted by deadline.</w:t>
            </w:r>
          </w:p>
        </w:tc>
        <w:tc>
          <w:tcPr>
            <w:tcW w:type="dxa" w:w="3456"/>
            <w:vAlign w:val="center"/>
            <w:tcMar>
              <w:top w:w="70" w:type="dxa"/>
              <w:start w:w="85" w:type="dxa"/>
              <w:bottom w:w="70" w:type="dxa"/>
              <w:end w:w="85" w:type="dxa"/>
            </w:tcMar>
          </w:tcPr>
          <w:p>
            <w:pPr>
              <w:spacing w:after="20" w:before="0" w:line="240" w:lineRule="auto"/>
            </w:pPr>
            <w:r>
              <w:rPr>
                <w:rFonts w:ascii="Aptos" w:hAnsi="Aptos"/>
                <w:sz w:val="14"/>
              </w:rPr>
              <w:t>100% of critical findings assigned; target remediation by approved SLA.</w:t>
            </w:r>
          </w:p>
        </w:tc>
      </w:tr>
      <w:tr>
        <w:trPr>
          <w:cantSplit/>
        </w:trPr>
        <w:tc>
          <w:tcPr>
            <w:tcW w:type="dxa" w:w="2448"/>
            <w:vAlign w:val="center"/>
            <w:tcMar>
              <w:top w:w="70" w:type="dxa"/>
              <w:start w:w="85" w:type="dxa"/>
              <w:bottom w:w="70" w:type="dxa"/>
              <w:end w:w="85" w:type="dxa"/>
            </w:tcMar>
            <w:shd w:fill="F4F7FA"/>
          </w:tcPr>
          <w:p>
            <w:pPr>
              <w:spacing w:after="20" w:before="0" w:line="240" w:lineRule="auto"/>
            </w:pPr>
            <w:r>
              <w:rPr>
                <w:rFonts w:ascii="Aptos" w:hAnsi="Aptos"/>
                <w:sz w:val="14"/>
              </w:rPr>
              <w:t>Retest closure rate</w:t>
            </w:r>
          </w:p>
        </w:tc>
        <w:tc>
          <w:tcPr>
            <w:tcW w:type="dxa" w:w="4608"/>
            <w:vAlign w:val="center"/>
            <w:tcMar>
              <w:top w:w="70" w:type="dxa"/>
              <w:start w:w="85" w:type="dxa"/>
              <w:bottom w:w="70" w:type="dxa"/>
              <w:end w:w="85" w:type="dxa"/>
            </w:tcMar>
            <w:shd w:fill="F4F7FA"/>
          </w:tcPr>
          <w:p>
            <w:pPr>
              <w:spacing w:after="20" w:before="0" w:line="240" w:lineRule="auto"/>
            </w:pPr>
            <w:r>
              <w:rPr>
                <w:rFonts w:ascii="Aptos" w:hAnsi="Aptos"/>
                <w:sz w:val="14"/>
              </w:rPr>
              <w:t>Share of closed vulnerabilities verified by scan/review.</w:t>
            </w:r>
          </w:p>
        </w:tc>
        <w:tc>
          <w:tcPr>
            <w:tcW w:type="dxa" w:w="3456"/>
            <w:vAlign w:val="center"/>
            <w:tcMar>
              <w:top w:w="70" w:type="dxa"/>
              <w:start w:w="85" w:type="dxa"/>
              <w:bottom w:w="70" w:type="dxa"/>
              <w:end w:w="85" w:type="dxa"/>
            </w:tcMar>
            <w:shd w:fill="F4F7FA"/>
          </w:tcPr>
          <w:p>
            <w:pPr>
              <w:spacing w:after="20" w:before="0" w:line="240" w:lineRule="auto"/>
            </w:pPr>
            <w:r>
              <w:rPr>
                <w:rFonts w:ascii="Aptos" w:hAnsi="Aptos"/>
                <w:sz w:val="14"/>
              </w:rPr>
              <w:t>At least 90% of sampled closed findings verified.</w:t>
            </w:r>
          </w:p>
        </w:tc>
      </w:tr>
      <w:tr>
        <w:trPr>
          <w:cantSplit/>
        </w:trPr>
        <w:tc>
          <w:tcPr>
            <w:tcW w:type="dxa" w:w="2448"/>
            <w:vAlign w:val="center"/>
            <w:tcMar>
              <w:top w:w="70" w:type="dxa"/>
              <w:start w:w="85" w:type="dxa"/>
              <w:bottom w:w="70" w:type="dxa"/>
              <w:end w:w="85" w:type="dxa"/>
            </w:tcMar>
          </w:tcPr>
          <w:p>
            <w:pPr>
              <w:spacing w:after="20" w:before="0" w:line="240" w:lineRule="auto"/>
            </w:pPr>
            <w:r>
              <w:rPr>
                <w:rFonts w:ascii="Aptos" w:hAnsi="Aptos"/>
                <w:sz w:val="14"/>
              </w:rPr>
              <w:t>False-positive review rate</w:t>
            </w:r>
          </w:p>
        </w:tc>
        <w:tc>
          <w:tcPr>
            <w:tcW w:type="dxa" w:w="4608"/>
            <w:vAlign w:val="center"/>
            <w:tcMar>
              <w:top w:w="70" w:type="dxa"/>
              <w:start w:w="85" w:type="dxa"/>
              <w:bottom w:w="70" w:type="dxa"/>
              <w:end w:w="85" w:type="dxa"/>
            </w:tcMar>
          </w:tcPr>
          <w:p>
            <w:pPr>
              <w:spacing w:after="20" w:before="0" w:line="240" w:lineRule="auto"/>
            </w:pPr>
            <w:r>
              <w:rPr>
                <w:rFonts w:ascii="Aptos" w:hAnsi="Aptos"/>
                <w:sz w:val="14"/>
              </w:rPr>
              <w:t>Share of sampled alerts adjudicated as false positive/noise.</w:t>
            </w:r>
          </w:p>
        </w:tc>
        <w:tc>
          <w:tcPr>
            <w:tcW w:type="dxa" w:w="3456"/>
            <w:vAlign w:val="center"/>
            <w:tcMar>
              <w:top w:w="70" w:type="dxa"/>
              <w:start w:w="85" w:type="dxa"/>
              <w:bottom w:w="70" w:type="dxa"/>
              <w:end w:w="85" w:type="dxa"/>
            </w:tcMar>
          </w:tcPr>
          <w:p>
            <w:pPr>
              <w:spacing w:after="20" w:before="0" w:line="240" w:lineRule="auto"/>
            </w:pPr>
            <w:r>
              <w:rPr>
                <w:rFonts w:ascii="Aptos" w:hAnsi="Aptos"/>
                <w:sz w:val="14"/>
              </w:rPr>
              <w:t>Trend down over time without reducing tested detection coverage.</w:t>
            </w:r>
          </w:p>
        </w:tc>
      </w:tr>
      <w:tr>
        <w:trPr>
          <w:cantSplit/>
        </w:trPr>
        <w:tc>
          <w:tcPr>
            <w:tcW w:type="dxa" w:w="2448"/>
            <w:vAlign w:val="center"/>
            <w:tcMar>
              <w:top w:w="70" w:type="dxa"/>
              <w:start w:w="85" w:type="dxa"/>
              <w:bottom w:w="70" w:type="dxa"/>
              <w:end w:w="85" w:type="dxa"/>
            </w:tcMar>
            <w:shd w:fill="F4F7FA"/>
          </w:tcPr>
          <w:p>
            <w:pPr>
              <w:spacing w:after="20" w:before="0" w:line="240" w:lineRule="auto"/>
            </w:pPr>
            <w:r>
              <w:rPr>
                <w:rFonts w:ascii="Aptos" w:hAnsi="Aptos"/>
                <w:sz w:val="14"/>
              </w:rPr>
              <w:t>Response exercise performance</w:t>
            </w:r>
          </w:p>
        </w:tc>
        <w:tc>
          <w:tcPr>
            <w:tcW w:type="dxa" w:w="4608"/>
            <w:vAlign w:val="center"/>
            <w:tcMar>
              <w:top w:w="70" w:type="dxa"/>
              <w:start w:w="85" w:type="dxa"/>
              <w:bottom w:w="70" w:type="dxa"/>
              <w:end w:w="85" w:type="dxa"/>
            </w:tcMar>
            <w:shd w:fill="F4F7FA"/>
          </w:tcPr>
          <w:p>
            <w:pPr>
              <w:spacing w:after="20" w:before="0" w:line="240" w:lineRule="auto"/>
            </w:pPr>
            <w:r>
              <w:rPr>
                <w:rFonts w:ascii="Aptos" w:hAnsi="Aptos"/>
                <w:sz w:val="14"/>
              </w:rPr>
              <w:t>Completeness of contact, evidence, decision, reporting and recovery steps.</w:t>
            </w:r>
          </w:p>
        </w:tc>
        <w:tc>
          <w:tcPr>
            <w:tcW w:type="dxa" w:w="3456"/>
            <w:vAlign w:val="center"/>
            <w:tcMar>
              <w:top w:w="70" w:type="dxa"/>
              <w:start w:w="85" w:type="dxa"/>
              <w:bottom w:w="70" w:type="dxa"/>
              <w:end w:w="85" w:type="dxa"/>
            </w:tcMar>
            <w:shd w:fill="F4F7FA"/>
          </w:tcPr>
          <w:p>
            <w:pPr>
              <w:spacing w:after="20" w:before="0" w:line="240" w:lineRule="auto"/>
            </w:pPr>
            <w:r>
              <w:rPr>
                <w:rFonts w:ascii="Aptos" w:hAnsi="Aptos"/>
                <w:sz w:val="14"/>
              </w:rPr>
              <w:t>Complete one tabletop exercise per quarter during early adoption.</w:t>
            </w:r>
          </w:p>
        </w:tc>
      </w:tr>
    </w:tbl>
    <w:p>
      <w:pPr>
        <w:spacing w:after="20"/>
      </w:pPr>
    </w:p>
    <w:p>
      <w:pPr>
        <w:pStyle w:val="SmallNote"/>
      </w:pPr>
      <w:r>
        <w:t>Targets are proposed starting points for service-owner approval, not universal industry benchmarks. Baselines should be measured during the pilot and targets refined to reflect criticality and staffing.</w:t>
      </w:r>
    </w:p>
    <w:p>
      <w:pPr>
        <w:pStyle w:val="Heading1"/>
        <w:keepNext/>
      </w:pPr>
      <w:r>
        <w:t>10. Feasibility analysis</w:t>
      </w:r>
    </w:p>
    <w:p>
      <w:pPr>
        <w:pStyle w:val="Heading2"/>
        <w:keepNext/>
      </w:pPr>
      <w:r>
        <w:t>10.1 Technical feasibility</w:t>
      </w:r>
    </w:p>
    <w:p>
      <w:r>
        <w:t>The toolset is technically feasible for many small-to-medium environments because all three have community/open-source deployment paths and documented interfaces. Wazuh is the natural central monitoring layer, Suricata provides network telemetry, and Greenbone adds active vulnerability assessment. Feasibility is strongest where the organisation can allocate stable virtual or physical resources, provide network traffic visibility, maintain an accurate asset inventory and support a common ticketing workflow. High-volume environments require representative capacity testing and a deliberate design for retention, resilience and distributed sensors.</w:t>
      </w:r>
    </w:p>
    <w:p>
      <w:pPr>
        <w:pStyle w:val="Heading2"/>
        <w:keepNext/>
      </w:pPr>
      <w:r>
        <w:t>10.2 Operational feasibility</w:t>
      </w:r>
    </w:p>
    <w:p>
      <w:r>
        <w:t>Operational feasibility is conditional on people and process. The organisation needs owners to maintain each platform, analysts to review alerts, application teams to remediate findings, and incident responders who can make service-impact decisions. A tool stack can fail despite functioning software if there is no on-call coverage, weak ownership, poor rule tuning or an unresolved patch backlog. Use pilot acceptance criteria, runbooks, training and weekly tuning sessions before broad rollout.</w:t>
      </w:r>
    </w:p>
    <w:p>
      <w:pPr>
        <w:pStyle w:val="Heading2"/>
        <w:keepNext/>
      </w:pPr>
      <w:r>
        <w:t>10.3 Financial and procurement feasibility</w:t>
      </w:r>
    </w:p>
    <w:p>
      <w:r>
        <w:t>The community editions can reduce licence cost, making a proof of concept attractive where budgets are constrained. Total cost of ownership still includes infrastructure, event storage, backups, sensor placement, scanning windows, ongoing skills, vulnerability-feed needs, support, and integration maintenance. Public-sector procurement should review open-source licence obligations, package provenance, software updates, support arrangements and any applicable hosting or security requirements. Paid support should be assessed against operational criticality and internal capability rather than assumed necessary or unnecessary.</w:t>
      </w:r>
    </w:p>
    <w:p>
      <w:pPr>
        <w:pStyle w:val="Heading2"/>
        <w:keepNext/>
      </w:pPr>
      <w:r>
        <w:t>10.4 Feasibility conclusion</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3389"/>
        <w:gridCol w:w="3389"/>
        <w:gridCol w:w="3389"/>
      </w:tblGrid>
      <w:tr>
        <w:trPr>
          <w:cantSplit/>
          <w:tblHeader w:val="true"/>
        </w:trPr>
        <w:tc>
          <w:tcPr>
            <w:tcW w:type="dxa" w:w="1944"/>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Dimension</w:t>
            </w:r>
          </w:p>
        </w:tc>
        <w:tc>
          <w:tcPr>
            <w:tcW w:type="dxa" w:w="2952"/>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Assessment</w:t>
            </w:r>
          </w:p>
        </w:tc>
        <w:tc>
          <w:tcPr>
            <w:tcW w:type="dxa" w:w="5616"/>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Conditions for success</w:t>
            </w:r>
          </w:p>
        </w:tc>
      </w:tr>
      <w:tr>
        <w:trPr>
          <w:cantSplit/>
        </w:trPr>
        <w:tc>
          <w:tcPr>
            <w:tcW w:type="dxa" w:w="1944"/>
            <w:vAlign w:val="center"/>
            <w:tcMar>
              <w:top w:w="70" w:type="dxa"/>
              <w:start w:w="85" w:type="dxa"/>
              <w:bottom w:w="70" w:type="dxa"/>
              <w:end w:w="85" w:type="dxa"/>
            </w:tcMar>
          </w:tcPr>
          <w:p>
            <w:pPr>
              <w:spacing w:after="20" w:before="0" w:line="240" w:lineRule="auto"/>
            </w:pPr>
            <w:r>
              <w:rPr>
                <w:rFonts w:ascii="Aptos" w:hAnsi="Aptos"/>
                <w:sz w:val="15"/>
              </w:rPr>
              <w:t>Technical</w:t>
            </w:r>
          </w:p>
        </w:tc>
        <w:tc>
          <w:tcPr>
            <w:tcW w:type="dxa" w:w="2952"/>
            <w:vAlign w:val="center"/>
            <w:tcMar>
              <w:top w:w="70" w:type="dxa"/>
              <w:start w:w="85" w:type="dxa"/>
              <w:bottom w:w="70" w:type="dxa"/>
              <w:end w:w="85" w:type="dxa"/>
            </w:tcMar>
          </w:tcPr>
          <w:p>
            <w:pPr>
              <w:spacing w:after="20" w:before="0" w:line="240" w:lineRule="auto"/>
            </w:pPr>
            <w:r>
              <w:rPr>
                <w:rFonts w:ascii="Aptos" w:hAnsi="Aptos"/>
                <w:sz w:val="15"/>
              </w:rPr>
              <w:t>Feasible with staged deployment</w:t>
            </w:r>
          </w:p>
        </w:tc>
        <w:tc>
          <w:tcPr>
            <w:tcW w:type="dxa" w:w="5616"/>
            <w:vAlign w:val="center"/>
            <w:tcMar>
              <w:top w:w="70" w:type="dxa"/>
              <w:start w:w="85" w:type="dxa"/>
              <w:bottom w:w="70" w:type="dxa"/>
              <w:end w:w="85" w:type="dxa"/>
            </w:tcMar>
          </w:tcPr>
          <w:p>
            <w:pPr>
              <w:spacing w:after="20" w:before="0" w:line="240" w:lineRule="auto"/>
            </w:pPr>
            <w:r>
              <w:rPr>
                <w:rFonts w:ascii="Aptos" w:hAnsi="Aptos"/>
                <w:sz w:val="15"/>
              </w:rPr>
              <w:t>Documented interfaces, capacity validation, correct sensor placement and tested parsing.</w:t>
            </w:r>
          </w:p>
        </w:tc>
      </w:tr>
      <w:tr>
        <w:trPr>
          <w:cantSplit/>
        </w:trPr>
        <w:tc>
          <w:tcPr>
            <w:tcW w:type="dxa" w:w="1944"/>
            <w:vAlign w:val="center"/>
            <w:tcMar>
              <w:top w:w="70" w:type="dxa"/>
              <w:start w:w="85" w:type="dxa"/>
              <w:bottom w:w="70" w:type="dxa"/>
              <w:end w:w="85" w:type="dxa"/>
            </w:tcMar>
            <w:shd w:fill="F4F7FA"/>
          </w:tcPr>
          <w:p>
            <w:pPr>
              <w:spacing w:after="20" w:before="0" w:line="240" w:lineRule="auto"/>
            </w:pPr>
            <w:r>
              <w:rPr>
                <w:rFonts w:ascii="Aptos" w:hAnsi="Aptos"/>
                <w:sz w:val="15"/>
              </w:rPr>
              <w:t>Operational</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5"/>
              </w:rPr>
              <w:t>Feasible but staff-dependent</w:t>
            </w:r>
          </w:p>
        </w:tc>
        <w:tc>
          <w:tcPr>
            <w:tcW w:type="dxa" w:w="5616"/>
            <w:vAlign w:val="center"/>
            <w:tcMar>
              <w:top w:w="70" w:type="dxa"/>
              <w:start w:w="85" w:type="dxa"/>
              <w:bottom w:w="70" w:type="dxa"/>
              <w:end w:w="85" w:type="dxa"/>
            </w:tcMar>
            <w:shd w:fill="F4F7FA"/>
          </w:tcPr>
          <w:p>
            <w:pPr>
              <w:spacing w:after="20" w:before="0" w:line="240" w:lineRule="auto"/>
            </w:pPr>
            <w:r>
              <w:rPr>
                <w:rFonts w:ascii="Aptos" w:hAnsi="Aptos"/>
                <w:sz w:val="15"/>
              </w:rPr>
              <w:t>Named platform owners, SOC process, ticketing, on-call escalation, patch teams and exercises.</w:t>
            </w:r>
          </w:p>
        </w:tc>
      </w:tr>
      <w:tr>
        <w:trPr>
          <w:cantSplit/>
        </w:trPr>
        <w:tc>
          <w:tcPr>
            <w:tcW w:type="dxa" w:w="1944"/>
            <w:vAlign w:val="center"/>
            <w:tcMar>
              <w:top w:w="70" w:type="dxa"/>
              <w:start w:w="85" w:type="dxa"/>
              <w:bottom w:w="70" w:type="dxa"/>
              <w:end w:w="85" w:type="dxa"/>
            </w:tcMar>
          </w:tcPr>
          <w:p>
            <w:pPr>
              <w:spacing w:after="20" w:before="0" w:line="240" w:lineRule="auto"/>
            </w:pPr>
            <w:r>
              <w:rPr>
                <w:rFonts w:ascii="Aptos" w:hAnsi="Aptos"/>
                <w:sz w:val="15"/>
              </w:rPr>
              <w:t>Financial</w:t>
            </w:r>
          </w:p>
        </w:tc>
        <w:tc>
          <w:tcPr>
            <w:tcW w:type="dxa" w:w="2952"/>
            <w:vAlign w:val="center"/>
            <w:tcMar>
              <w:top w:w="70" w:type="dxa"/>
              <w:start w:w="85" w:type="dxa"/>
              <w:bottom w:w="70" w:type="dxa"/>
              <w:end w:w="85" w:type="dxa"/>
            </w:tcMar>
          </w:tcPr>
          <w:p>
            <w:pPr>
              <w:spacing w:after="20" w:before="0" w:line="240" w:lineRule="auto"/>
            </w:pPr>
            <w:r>
              <w:rPr>
                <w:rFonts w:ascii="Aptos" w:hAnsi="Aptos"/>
                <w:sz w:val="15"/>
              </w:rPr>
              <w:t>Potentially cost-effective; total cost varies</w:t>
            </w:r>
          </w:p>
        </w:tc>
        <w:tc>
          <w:tcPr>
            <w:tcW w:type="dxa" w:w="5616"/>
            <w:vAlign w:val="center"/>
            <w:tcMar>
              <w:top w:w="70" w:type="dxa"/>
              <w:start w:w="85" w:type="dxa"/>
              <w:bottom w:w="70" w:type="dxa"/>
              <w:end w:w="85" w:type="dxa"/>
            </w:tcMar>
          </w:tcPr>
          <w:p>
            <w:pPr>
              <w:spacing w:after="20" w:before="0" w:line="240" w:lineRule="auto"/>
            </w:pPr>
            <w:r>
              <w:rPr>
                <w:rFonts w:ascii="Aptos" w:hAnsi="Aptos"/>
                <w:sz w:val="15"/>
              </w:rPr>
              <w:t>Budget for people, infrastructure, support, training, storage and maintenance.</w:t>
            </w:r>
          </w:p>
        </w:tc>
      </w:tr>
      <w:tr>
        <w:trPr>
          <w:cantSplit/>
        </w:trPr>
        <w:tc>
          <w:tcPr>
            <w:tcW w:type="dxa" w:w="1944"/>
            <w:vAlign w:val="center"/>
            <w:tcMar>
              <w:top w:w="70" w:type="dxa"/>
              <w:start w:w="85" w:type="dxa"/>
              <w:bottom w:w="70" w:type="dxa"/>
              <w:end w:w="85" w:type="dxa"/>
            </w:tcMar>
            <w:shd w:fill="F4F7FA"/>
          </w:tcPr>
          <w:p>
            <w:pPr>
              <w:spacing w:after="20" w:before="0" w:line="240" w:lineRule="auto"/>
            </w:pPr>
            <w:r>
              <w:rPr>
                <w:rFonts w:ascii="Aptos" w:hAnsi="Aptos"/>
                <w:sz w:val="15"/>
              </w:rPr>
              <w:t>Compliance / privacy</w:t>
            </w:r>
          </w:p>
        </w:tc>
        <w:tc>
          <w:tcPr>
            <w:tcW w:type="dxa" w:w="2952"/>
            <w:vAlign w:val="center"/>
            <w:tcMar>
              <w:top w:w="70" w:type="dxa"/>
              <w:start w:w="85" w:type="dxa"/>
              <w:bottom w:w="70" w:type="dxa"/>
              <w:end w:w="85" w:type="dxa"/>
            </w:tcMar>
            <w:shd w:fill="F4F7FA"/>
          </w:tcPr>
          <w:p>
            <w:pPr>
              <w:spacing w:after="20" w:before="0" w:line="240" w:lineRule="auto"/>
            </w:pPr>
            <w:r>
              <w:rPr>
                <w:rFonts w:ascii="Aptos" w:hAnsi="Aptos"/>
                <w:sz w:val="15"/>
              </w:rPr>
              <w:t>Feasible with governance integration</w:t>
            </w:r>
          </w:p>
        </w:tc>
        <w:tc>
          <w:tcPr>
            <w:tcW w:type="dxa" w:w="5616"/>
            <w:vAlign w:val="center"/>
            <w:tcMar>
              <w:top w:w="70" w:type="dxa"/>
              <w:start w:w="85" w:type="dxa"/>
              <w:bottom w:w="70" w:type="dxa"/>
              <w:end w:w="85" w:type="dxa"/>
            </w:tcMar>
            <w:shd w:fill="F4F7FA"/>
          </w:tcPr>
          <w:p>
            <w:pPr>
              <w:spacing w:after="20" w:before="0" w:line="240" w:lineRule="auto"/>
            </w:pPr>
            <w:r>
              <w:rPr>
                <w:rFonts w:ascii="Aptos" w:hAnsi="Aptos"/>
                <w:sz w:val="15"/>
              </w:rPr>
              <w:t>Confirm current applicability, retention, incident reporting, privacy safeguards and procurement obligations.</w:t>
            </w:r>
          </w:p>
        </w:tc>
      </w:tr>
      <w:tr>
        <w:trPr>
          <w:cantSplit/>
        </w:trPr>
        <w:tc>
          <w:tcPr>
            <w:tcW w:type="dxa" w:w="1944"/>
            <w:vAlign w:val="center"/>
            <w:tcMar>
              <w:top w:w="70" w:type="dxa"/>
              <w:start w:w="85" w:type="dxa"/>
              <w:bottom w:w="70" w:type="dxa"/>
              <w:end w:w="85" w:type="dxa"/>
            </w:tcMar>
          </w:tcPr>
          <w:p>
            <w:pPr>
              <w:spacing w:after="20" w:before="0" w:line="240" w:lineRule="auto"/>
            </w:pPr>
            <w:r>
              <w:rPr>
                <w:rFonts w:ascii="Aptos" w:hAnsi="Aptos"/>
                <w:sz w:val="15"/>
              </w:rPr>
              <w:t>Service continuity</w:t>
            </w:r>
          </w:p>
        </w:tc>
        <w:tc>
          <w:tcPr>
            <w:tcW w:type="dxa" w:w="2952"/>
            <w:vAlign w:val="center"/>
            <w:tcMar>
              <w:top w:w="70" w:type="dxa"/>
              <w:start w:w="85" w:type="dxa"/>
              <w:bottom w:w="70" w:type="dxa"/>
              <w:end w:w="85" w:type="dxa"/>
            </w:tcMar>
          </w:tcPr>
          <w:p>
            <w:pPr>
              <w:spacing w:after="20" w:before="0" w:line="240" w:lineRule="auto"/>
            </w:pPr>
            <w:r>
              <w:rPr>
                <w:rFonts w:ascii="Aptos" w:hAnsi="Aptos"/>
                <w:sz w:val="15"/>
              </w:rPr>
              <w:t>Moderate risk during deployment; manageable</w:t>
            </w:r>
          </w:p>
        </w:tc>
        <w:tc>
          <w:tcPr>
            <w:tcW w:type="dxa" w:w="5616"/>
            <w:vAlign w:val="center"/>
            <w:tcMar>
              <w:top w:w="70" w:type="dxa"/>
              <w:start w:w="85" w:type="dxa"/>
              <w:bottom w:w="70" w:type="dxa"/>
              <w:end w:w="85" w:type="dxa"/>
            </w:tcMar>
          </w:tcPr>
          <w:p>
            <w:pPr>
              <w:spacing w:after="20" w:before="0" w:line="240" w:lineRule="auto"/>
            </w:pPr>
            <w:r>
              <w:rPr>
                <w:rFonts w:ascii="Aptos" w:hAnsi="Aptos"/>
                <w:sz w:val="15"/>
              </w:rPr>
              <w:t>Passive-first monitoring, approved scanning windows, change control and rollback plans.</w:t>
            </w:r>
          </w:p>
        </w:tc>
      </w:tr>
    </w:tbl>
    <w:p>
      <w:pPr>
        <w:spacing w:after="20"/>
      </w:pPr>
    </w:p>
    <w:p>
      <w:pPr>
        <w:pStyle w:val="Heading1"/>
        <w:keepNext/>
      </w:pPr>
      <w:r>
        <w:t>11. Final recommendations and action plan</w:t>
      </w:r>
    </w:p>
    <w:p>
      <w:pPr>
        <w:spacing w:after="60"/>
        <w:ind w:left="403" w:hanging="346"/>
      </w:pPr>
      <w:r>
        <w:t>1. Approve a limited pilot covering representative critical services before selecting final production capacity or committing to broad rollout.</w:t>
      </w:r>
    </w:p>
    <w:p>
      <w:pPr>
        <w:spacing w:after="60"/>
        <w:ind w:left="403" w:hanging="346"/>
      </w:pPr>
      <w:r>
        <w:t>2. Use Wazuh as the central analyst workspace, Suricata in passive IDS mode for network visibility, and Greenbone/OpenVAS for scheduled authorised vulnerability scans.</w:t>
      </w:r>
    </w:p>
    <w:p>
      <w:pPr>
        <w:spacing w:after="60"/>
        <w:ind w:left="403" w:hanging="346"/>
      </w:pPr>
      <w:r>
        <w:t>3. Create one authoritative asset inventory and assign every critical service, log source and vulnerability finding to an accountable owner.</w:t>
      </w:r>
    </w:p>
    <w:p>
      <w:pPr>
        <w:spacing w:after="60"/>
        <w:ind w:left="403" w:hanging="346"/>
      </w:pPr>
      <w:r>
        <w:t>4. Implement alert-to-ticket and vulnerability-to-remediation workflows. Custom parsing or report-import work must be documented, versioned, reviewed and tested after upgrades.</w:t>
      </w:r>
    </w:p>
    <w:p>
      <w:pPr>
        <w:spacing w:after="60"/>
        <w:ind w:left="403" w:hanging="346"/>
      </w:pPr>
      <w:r>
        <w:t>5. Agree on severity definitions, internal response SLAs, after-hours escalation, evidence preservation and CERT-In reporting responsibilities before go-live.</w:t>
      </w:r>
    </w:p>
    <w:p>
      <w:pPr>
        <w:spacing w:after="60"/>
        <w:ind w:left="403" w:hanging="346"/>
      </w:pPr>
      <w:r>
        <w:t>6. Protect the security tools as high-value systems using least privilege, MFA where supported, segmentation, patching, secret management, audit logging and tested backups.</w:t>
      </w:r>
    </w:p>
    <w:p>
      <w:pPr>
        <w:spacing w:after="60"/>
        <w:ind w:left="403" w:hanging="346"/>
      </w:pPr>
      <w:r>
        <w:t>7. Do not enable inline blocking or broad automated containment until false positives, service dependencies, change approvals and rollback procedures have passed controlled tests.</w:t>
      </w:r>
    </w:p>
    <w:p>
      <w:pPr>
        <w:spacing w:after="60"/>
        <w:ind w:left="403" w:hanging="346"/>
      </w:pPr>
      <w:r>
        <w:t>8. Run a quarterly review of asset coverage, detection quality, critical/high vulnerability closure, storage growth, incident exercises and residual risk.</w:t>
      </w:r>
    </w:p>
    <w:tbl>
      <w:tblPr>
        <w:tblW w:type="auto" w:w="0"/>
        <w:tblLook w:firstColumn="1" w:firstRow="1" w:lastColumn="0" w:lastRow="0" w:noHBand="0" w:noVBand="1" w:val="04A0"/>
      </w:tblPr>
      <w:tblGrid>
        <w:gridCol w:w="10166"/>
      </w:tblGrid>
      <w:tr>
        <w:trPr>
          <w:cantSplit/>
        </w:trPr>
        <w:tc>
          <w:tcPr>
            <w:tcW w:type="dxa" w:w="10166"/>
            <w:shd w:fill="E6F5F2"/>
            <w:tcMar>
              <w:top w:w="130" w:type="dxa"/>
              <w:start w:w="160" w:type="dxa"/>
              <w:bottom w:w="130" w:type="dxa"/>
              <w:end w:w="160" w:type="dxa"/>
            </w:tcMar>
          </w:tcPr>
          <w:p>
            <w:pPr>
              <w:spacing w:after="60"/>
            </w:pPr>
            <w:r>
              <w:rPr>
                <w:b/>
                <w:color w:val="178F8A"/>
                <w:sz w:val="20"/>
              </w:rPr>
              <w:t>Final position</w:t>
            </w:r>
          </w:p>
          <w:p>
            <w:pPr>
              <w:spacing w:after="0" w:line="252" w:lineRule="auto"/>
            </w:pPr>
            <w:r>
              <w:rPr>
                <w:sz w:val="18"/>
              </w:rPr>
              <w:t>The proposed stack is a feasible starting point for a risk-based e-governance security programme because it combines network visibility, central event analysis and vulnerability discovery. Its value will come from reliable integration and disciplined operations—not from the product names alone. Pilot first, measure outcomes, protect service availability and expand only when the organisation can sustain the resulting alerts and remediation workload.</w:t>
            </w:r>
          </w:p>
        </w:tc>
      </w:tr>
    </w:tbl>
    <w:p>
      <w:pPr>
        <w:spacing w:after="20"/>
      </w:pPr>
    </w:p>
    <w:p>
      <w:pPr>
        <w:pStyle w:val="Heading1"/>
        <w:keepNext/>
      </w:pPr>
      <w:r>
        <w:t>Appendix A. Sample event-to-action workflow</w:t>
      </w:r>
    </w:p>
    <w:p>
      <w:r>
        <w:drawing>
          <wp:inline xmlns:a="http://schemas.openxmlformats.org/drawingml/2006/main" xmlns:pic="http://schemas.openxmlformats.org/drawingml/2006/picture">
            <wp:extent cx="6263640" cy="1813882"/>
            <wp:docPr id="3" name="Picture 3" title="Operational event-to-action workflow" descr="Six-stage operational flow: collect network and host logs, detect with rules and signatures, correlate events with asset and vulnerability context, analyst triage, respond by containment/remediation/recovery, then retest and improve controls."/>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263640" cy="1813882"/>
                    </a:xfrm>
                    <a:prstGeom prst="rect"/>
                  </pic:spPr>
                </pic:pic>
              </a:graphicData>
            </a:graphic>
          </wp:inline>
        </w:drawing>
      </w:r>
    </w:p>
    <w:p>
      <w:pPr>
        <w:pStyle w:val="SmallNote"/>
      </w:pPr>
      <w:r>
        <w:t>Figure 3. An alert is a signal for assessment, not automatic proof of compromise. Actions with material service impact require the approval defined in the incident playbook.</w:t>
      </w:r>
    </w:p>
    <w:tbl>
      <w:tblPr>
        <w:tblStyle w:val="TableGrid"/>
        <w:tblW w:type="auto" w:w="0"/>
        <w:jc w:val="center"/>
        <w:tblLayout w:type="fixed"/>
        <w:tblLook w:firstColumn="1" w:firstRow="1" w:lastColumn="0" w:lastRow="0" w:noHBand="0" w:noVBand="1" w:val="04A0"/>
        <w:tblBorders>
          <w:top w:val="single" w:sz="4" w:color="D5DEE8"/>
          <w:left w:val="single" w:sz="4" w:color="D5DEE8"/>
          <w:bottom w:val="single" w:sz="4" w:color="D5DEE8"/>
          <w:right w:val="single" w:sz="4" w:color="D5DEE8"/>
          <w:insideH w:val="single" w:sz="4" w:color="D5DEE8"/>
          <w:insideV w:val="single" w:sz="4" w:color="D5DEE8"/>
        </w:tblBorders>
      </w:tblPr>
      <w:tblGrid>
        <w:gridCol w:w="3389"/>
        <w:gridCol w:w="3389"/>
        <w:gridCol w:w="3389"/>
      </w:tblGrid>
      <w:tr>
        <w:trPr>
          <w:cantSplit/>
          <w:tblHeader w:val="true"/>
        </w:trPr>
        <w:tc>
          <w:tcPr>
            <w:tcW w:type="dxa" w:w="1512"/>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Stage</w:t>
            </w:r>
          </w:p>
        </w:tc>
        <w:tc>
          <w:tcPr>
            <w:tcW w:type="dxa" w:w="432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Required questions</w:t>
            </w:r>
          </w:p>
        </w:tc>
        <w:tc>
          <w:tcPr>
            <w:tcW w:type="dxa" w:w="4680"/>
            <w:vAlign w:val="center"/>
            <w:tcMar>
              <w:top w:w="70" w:type="dxa"/>
              <w:start w:w="85" w:type="dxa"/>
              <w:bottom w:w="70" w:type="dxa"/>
              <w:end w:w="85" w:type="dxa"/>
            </w:tcMar>
            <w:shd w:fill="142B4A"/>
          </w:tcPr>
          <w:p>
            <w:pPr>
              <w:spacing w:after="20" w:before="0" w:line="240" w:lineRule="auto"/>
            </w:pPr>
            <w:r>
              <w:rPr>
                <w:rFonts w:ascii="Aptos" w:hAnsi="Aptos"/>
                <w:b/>
                <w:color w:val="FFFFFF"/>
                <w:sz w:val="16"/>
              </w:rPr>
              <w:t>Evidence to retain</w:t>
            </w:r>
          </w:p>
        </w:tc>
      </w:tr>
      <w:tr>
        <w:trPr>
          <w:cantSplit/>
        </w:trPr>
        <w:tc>
          <w:tcPr>
            <w:tcW w:type="dxa" w:w="1512"/>
            <w:vAlign w:val="center"/>
            <w:tcMar>
              <w:top w:w="70" w:type="dxa"/>
              <w:start w:w="85" w:type="dxa"/>
              <w:bottom w:w="70" w:type="dxa"/>
              <w:end w:w="85" w:type="dxa"/>
            </w:tcMar>
          </w:tcPr>
          <w:p>
            <w:pPr>
              <w:spacing w:after="20" w:before="0" w:line="240" w:lineRule="auto"/>
            </w:pPr>
            <w:r>
              <w:rPr>
                <w:rFonts w:ascii="Aptos" w:hAnsi="Aptos"/>
                <w:sz w:val="15"/>
              </w:rPr>
              <w:t>Collect</w:t>
            </w:r>
          </w:p>
        </w:tc>
        <w:tc>
          <w:tcPr>
            <w:tcW w:type="dxa" w:w="4320"/>
            <w:vAlign w:val="center"/>
            <w:tcMar>
              <w:top w:w="70" w:type="dxa"/>
              <w:start w:w="85" w:type="dxa"/>
              <w:bottom w:w="70" w:type="dxa"/>
              <w:end w:w="85" w:type="dxa"/>
            </w:tcMar>
          </w:tcPr>
          <w:p>
            <w:pPr>
              <w:spacing w:after="20" w:before="0" w:line="240" w:lineRule="auto"/>
            </w:pPr>
            <w:r>
              <w:rPr>
                <w:rFonts w:ascii="Aptos" w:hAnsi="Aptos"/>
                <w:sz w:val="15"/>
              </w:rPr>
              <w:t>Which service, asset and sensor generated the event? Is the time correct?</w:t>
            </w:r>
          </w:p>
        </w:tc>
        <w:tc>
          <w:tcPr>
            <w:tcW w:type="dxa" w:w="4680"/>
            <w:vAlign w:val="center"/>
            <w:tcMar>
              <w:top w:w="70" w:type="dxa"/>
              <w:start w:w="85" w:type="dxa"/>
              <w:bottom w:w="70" w:type="dxa"/>
              <w:end w:w="85" w:type="dxa"/>
            </w:tcMar>
          </w:tcPr>
          <w:p>
            <w:pPr>
              <w:spacing w:after="20" w:before="0" w:line="240" w:lineRule="auto"/>
            </w:pPr>
            <w:r>
              <w:rPr>
                <w:rFonts w:ascii="Aptos" w:hAnsi="Aptos"/>
                <w:sz w:val="15"/>
              </w:rPr>
              <w:t>Original log/event, source, timestamp, asset ID, sensor/agent health.</w:t>
            </w:r>
          </w:p>
        </w:tc>
      </w:tr>
      <w:tr>
        <w:trPr>
          <w:cantSplit/>
        </w:trPr>
        <w:tc>
          <w:tcPr>
            <w:tcW w:type="dxa" w:w="1512"/>
            <w:vAlign w:val="center"/>
            <w:tcMar>
              <w:top w:w="70" w:type="dxa"/>
              <w:start w:w="85" w:type="dxa"/>
              <w:bottom w:w="70" w:type="dxa"/>
              <w:end w:w="85" w:type="dxa"/>
            </w:tcMar>
            <w:shd w:fill="F4F7FA"/>
          </w:tcPr>
          <w:p>
            <w:pPr>
              <w:spacing w:after="20" w:before="0" w:line="240" w:lineRule="auto"/>
            </w:pPr>
            <w:r>
              <w:rPr>
                <w:rFonts w:ascii="Aptos" w:hAnsi="Aptos"/>
                <w:sz w:val="15"/>
              </w:rPr>
              <w:t>Detect</w:t>
            </w:r>
          </w:p>
        </w:tc>
        <w:tc>
          <w:tcPr>
            <w:tcW w:type="dxa" w:w="4320"/>
            <w:vAlign w:val="center"/>
            <w:tcMar>
              <w:top w:w="70" w:type="dxa"/>
              <w:start w:w="85" w:type="dxa"/>
              <w:bottom w:w="70" w:type="dxa"/>
              <w:end w:w="85" w:type="dxa"/>
            </w:tcMar>
            <w:shd w:fill="F4F7FA"/>
          </w:tcPr>
          <w:p>
            <w:pPr>
              <w:spacing w:after="20" w:before="0" w:line="240" w:lineRule="auto"/>
            </w:pPr>
            <w:r>
              <w:rPr>
                <w:rFonts w:ascii="Aptos" w:hAnsi="Aptos"/>
                <w:sz w:val="15"/>
              </w:rPr>
              <w:t>Which rule/signature fired? Was the input parsed as expected?</w:t>
            </w:r>
          </w:p>
        </w:tc>
        <w:tc>
          <w:tcPr>
            <w:tcW w:type="dxa" w:w="4680"/>
            <w:vAlign w:val="center"/>
            <w:tcMar>
              <w:top w:w="70" w:type="dxa"/>
              <w:start w:w="85" w:type="dxa"/>
              <w:bottom w:w="70" w:type="dxa"/>
              <w:end w:w="85" w:type="dxa"/>
            </w:tcMar>
            <w:shd w:fill="F4F7FA"/>
          </w:tcPr>
          <w:p>
            <w:pPr>
              <w:spacing w:after="20" w:before="0" w:line="240" w:lineRule="auto"/>
            </w:pPr>
            <w:r>
              <w:rPr>
                <w:rFonts w:ascii="Aptos" w:hAnsi="Aptos"/>
                <w:sz w:val="15"/>
              </w:rPr>
              <w:t>Rule ID, signature/CVE if available, raw event and normalised fields.</w:t>
            </w:r>
          </w:p>
        </w:tc>
      </w:tr>
      <w:tr>
        <w:trPr>
          <w:cantSplit/>
        </w:trPr>
        <w:tc>
          <w:tcPr>
            <w:tcW w:type="dxa" w:w="1512"/>
            <w:vAlign w:val="center"/>
            <w:tcMar>
              <w:top w:w="70" w:type="dxa"/>
              <w:start w:w="85" w:type="dxa"/>
              <w:bottom w:w="70" w:type="dxa"/>
              <w:end w:w="85" w:type="dxa"/>
            </w:tcMar>
          </w:tcPr>
          <w:p>
            <w:pPr>
              <w:spacing w:after="20" w:before="0" w:line="240" w:lineRule="auto"/>
            </w:pPr>
            <w:r>
              <w:rPr>
                <w:rFonts w:ascii="Aptos" w:hAnsi="Aptos"/>
                <w:sz w:val="15"/>
              </w:rPr>
              <w:t>Correlate</w:t>
            </w:r>
          </w:p>
        </w:tc>
        <w:tc>
          <w:tcPr>
            <w:tcW w:type="dxa" w:w="4320"/>
            <w:vAlign w:val="center"/>
            <w:tcMar>
              <w:top w:w="70" w:type="dxa"/>
              <w:start w:w="85" w:type="dxa"/>
              <w:bottom w:w="70" w:type="dxa"/>
              <w:end w:w="85" w:type="dxa"/>
            </w:tcMar>
          </w:tcPr>
          <w:p>
            <w:pPr>
              <w:spacing w:after="20" w:before="0" w:line="240" w:lineRule="auto"/>
            </w:pPr>
            <w:r>
              <w:rPr>
                <w:rFonts w:ascii="Aptos" w:hAnsi="Aptos"/>
                <w:sz w:val="15"/>
              </w:rPr>
              <w:t>Is the asset exposed? Is there an applicable recent vulnerability finding?</w:t>
            </w:r>
          </w:p>
        </w:tc>
        <w:tc>
          <w:tcPr>
            <w:tcW w:type="dxa" w:w="4680"/>
            <w:vAlign w:val="center"/>
            <w:tcMar>
              <w:top w:w="70" w:type="dxa"/>
              <w:start w:w="85" w:type="dxa"/>
              <w:bottom w:w="70" w:type="dxa"/>
              <w:end w:w="85" w:type="dxa"/>
            </w:tcMar>
          </w:tcPr>
          <w:p>
            <w:pPr>
              <w:spacing w:after="20" w:before="0" w:line="240" w:lineRule="auto"/>
            </w:pPr>
            <w:r>
              <w:rPr>
                <w:rFonts w:ascii="Aptos" w:hAnsi="Aptos"/>
                <w:sz w:val="15"/>
              </w:rPr>
              <w:t>Asset context, last approved scan, change history and related events.</w:t>
            </w:r>
          </w:p>
        </w:tc>
      </w:tr>
      <w:tr>
        <w:trPr>
          <w:cantSplit/>
        </w:trPr>
        <w:tc>
          <w:tcPr>
            <w:tcW w:type="dxa" w:w="1512"/>
            <w:vAlign w:val="center"/>
            <w:tcMar>
              <w:top w:w="70" w:type="dxa"/>
              <w:start w:w="85" w:type="dxa"/>
              <w:bottom w:w="70" w:type="dxa"/>
              <w:end w:w="85" w:type="dxa"/>
            </w:tcMar>
            <w:shd w:fill="F4F7FA"/>
          </w:tcPr>
          <w:p>
            <w:pPr>
              <w:spacing w:after="20" w:before="0" w:line="240" w:lineRule="auto"/>
            </w:pPr>
            <w:r>
              <w:rPr>
                <w:rFonts w:ascii="Aptos" w:hAnsi="Aptos"/>
                <w:sz w:val="15"/>
              </w:rPr>
              <w:t>Triage</w:t>
            </w:r>
          </w:p>
        </w:tc>
        <w:tc>
          <w:tcPr>
            <w:tcW w:type="dxa" w:w="4320"/>
            <w:vAlign w:val="center"/>
            <w:tcMar>
              <w:top w:w="70" w:type="dxa"/>
              <w:start w:w="85" w:type="dxa"/>
              <w:bottom w:w="70" w:type="dxa"/>
              <w:end w:w="85" w:type="dxa"/>
            </w:tcMar>
            <w:shd w:fill="F4F7FA"/>
          </w:tcPr>
          <w:p>
            <w:pPr>
              <w:spacing w:after="20" w:before="0" w:line="240" w:lineRule="auto"/>
            </w:pPr>
            <w:r>
              <w:rPr>
                <w:rFonts w:ascii="Aptos" w:hAnsi="Aptos"/>
                <w:sz w:val="15"/>
              </w:rPr>
              <w:t>Is the alert true, false positive or unresolved? What is the likely impact?</w:t>
            </w:r>
          </w:p>
        </w:tc>
        <w:tc>
          <w:tcPr>
            <w:tcW w:type="dxa" w:w="4680"/>
            <w:vAlign w:val="center"/>
            <w:tcMar>
              <w:top w:w="70" w:type="dxa"/>
              <w:start w:w="85" w:type="dxa"/>
              <w:bottom w:w="70" w:type="dxa"/>
              <w:end w:w="85" w:type="dxa"/>
            </w:tcMar>
            <w:shd w:fill="F4F7FA"/>
          </w:tcPr>
          <w:p>
            <w:pPr>
              <w:spacing w:after="20" w:before="0" w:line="240" w:lineRule="auto"/>
            </w:pPr>
            <w:r>
              <w:rPr>
                <w:rFonts w:ascii="Aptos" w:hAnsi="Aptos"/>
                <w:sz w:val="15"/>
              </w:rPr>
              <w:t>Analyst notes, decision timestamp, severity rationale and approver.</w:t>
            </w:r>
          </w:p>
        </w:tc>
      </w:tr>
      <w:tr>
        <w:trPr>
          <w:cantSplit/>
        </w:trPr>
        <w:tc>
          <w:tcPr>
            <w:tcW w:type="dxa" w:w="1512"/>
            <w:vAlign w:val="center"/>
            <w:tcMar>
              <w:top w:w="70" w:type="dxa"/>
              <w:start w:w="85" w:type="dxa"/>
              <w:bottom w:w="70" w:type="dxa"/>
              <w:end w:w="85" w:type="dxa"/>
            </w:tcMar>
          </w:tcPr>
          <w:p>
            <w:pPr>
              <w:spacing w:after="20" w:before="0" w:line="240" w:lineRule="auto"/>
            </w:pPr>
            <w:r>
              <w:rPr>
                <w:rFonts w:ascii="Aptos" w:hAnsi="Aptos"/>
                <w:sz w:val="15"/>
              </w:rPr>
              <w:t>Respond</w:t>
            </w:r>
          </w:p>
        </w:tc>
        <w:tc>
          <w:tcPr>
            <w:tcW w:type="dxa" w:w="4320"/>
            <w:vAlign w:val="center"/>
            <w:tcMar>
              <w:top w:w="70" w:type="dxa"/>
              <w:start w:w="85" w:type="dxa"/>
              <w:bottom w:w="70" w:type="dxa"/>
              <w:end w:w="85" w:type="dxa"/>
            </w:tcMar>
          </w:tcPr>
          <w:p>
            <w:pPr>
              <w:spacing w:after="20" w:before="0" w:line="240" w:lineRule="auto"/>
            </w:pPr>
            <w:r>
              <w:rPr>
                <w:rFonts w:ascii="Aptos" w:hAnsi="Aptos"/>
                <w:sz w:val="15"/>
              </w:rPr>
              <w:t>Can the action isolate/block/patch safely? Are reporting deadlines involved?</w:t>
            </w:r>
          </w:p>
        </w:tc>
        <w:tc>
          <w:tcPr>
            <w:tcW w:type="dxa" w:w="4680"/>
            <w:vAlign w:val="center"/>
            <w:tcMar>
              <w:top w:w="70" w:type="dxa"/>
              <w:start w:w="85" w:type="dxa"/>
              <w:bottom w:w="70" w:type="dxa"/>
              <w:end w:w="85" w:type="dxa"/>
            </w:tcMar>
          </w:tcPr>
          <w:p>
            <w:pPr>
              <w:spacing w:after="20" w:before="0" w:line="240" w:lineRule="auto"/>
            </w:pPr>
            <w:r>
              <w:rPr>
                <w:rFonts w:ascii="Aptos" w:hAnsi="Aptos"/>
                <w:sz w:val="15"/>
              </w:rPr>
              <w:t>Approval, actions, command/change record, communications and evidence chain.</w:t>
            </w:r>
          </w:p>
        </w:tc>
      </w:tr>
      <w:tr>
        <w:trPr>
          <w:cantSplit/>
        </w:trPr>
        <w:tc>
          <w:tcPr>
            <w:tcW w:type="dxa" w:w="1512"/>
            <w:vAlign w:val="center"/>
            <w:tcMar>
              <w:top w:w="70" w:type="dxa"/>
              <w:start w:w="85" w:type="dxa"/>
              <w:bottom w:w="70" w:type="dxa"/>
              <w:end w:w="85" w:type="dxa"/>
            </w:tcMar>
            <w:shd w:fill="F4F7FA"/>
          </w:tcPr>
          <w:p>
            <w:pPr>
              <w:spacing w:after="20" w:before="0" w:line="240" w:lineRule="auto"/>
            </w:pPr>
            <w:r>
              <w:rPr>
                <w:rFonts w:ascii="Aptos" w:hAnsi="Aptos"/>
                <w:sz w:val="15"/>
              </w:rPr>
              <w:t>Recover / improve</w:t>
            </w:r>
          </w:p>
        </w:tc>
        <w:tc>
          <w:tcPr>
            <w:tcW w:type="dxa" w:w="4320"/>
            <w:vAlign w:val="center"/>
            <w:tcMar>
              <w:top w:w="70" w:type="dxa"/>
              <w:start w:w="85" w:type="dxa"/>
              <w:bottom w:w="70" w:type="dxa"/>
              <w:end w:w="85" w:type="dxa"/>
            </w:tcMar>
            <w:shd w:fill="F4F7FA"/>
          </w:tcPr>
          <w:p>
            <w:pPr>
              <w:spacing w:after="20" w:before="0" w:line="240" w:lineRule="auto"/>
            </w:pPr>
            <w:r>
              <w:rPr>
                <w:rFonts w:ascii="Aptos" w:hAnsi="Aptos"/>
                <w:sz w:val="15"/>
              </w:rPr>
              <w:t>Is the service healthy? Is the vulnerability closed? What must change?</w:t>
            </w:r>
          </w:p>
        </w:tc>
        <w:tc>
          <w:tcPr>
            <w:tcW w:type="dxa" w:w="4680"/>
            <w:vAlign w:val="center"/>
            <w:tcMar>
              <w:top w:w="70" w:type="dxa"/>
              <w:start w:w="85" w:type="dxa"/>
              <w:bottom w:w="70" w:type="dxa"/>
              <w:end w:w="85" w:type="dxa"/>
            </w:tcMar>
            <w:shd w:fill="F4F7FA"/>
          </w:tcPr>
          <w:p>
            <w:pPr>
              <w:spacing w:after="20" w:before="0" w:line="240" w:lineRule="auto"/>
            </w:pPr>
            <w:r>
              <w:rPr>
                <w:rFonts w:ascii="Aptos" w:hAnsi="Aptos"/>
                <w:sz w:val="15"/>
              </w:rPr>
              <w:t>Retest, recovery validation, lessons learned, rule changes and closure record.</w:t>
            </w:r>
          </w:p>
        </w:tc>
      </w:tr>
    </w:tbl>
    <w:p>
      <w:pPr>
        <w:spacing w:after="20"/>
      </w:pPr>
    </w:p>
    <w:p>
      <w:pPr>
        <w:pStyle w:val="Heading1"/>
        <w:keepNext/>
      </w:pPr>
      <w:r>
        <w:t>Appendix B. Submission description (200+ words)</w:t>
      </w:r>
    </w:p>
    <w:p>
      <w:r>
        <w:t>This report evaluates and recommends a practical cybersecurity toolset for protecting digital services in an Indian e-governance environment. It examines three complementary tools: Wazuh for central security monitoring and event analysis, Suricata for network intrusion detection/prevention and network security monitoring, and Greenbone Community Edition/OpenVAS for vulnerability assessment. The report explains each tool’s role, important features, advantages, limitations, licensing position, integration options, operational requirements and major cost drivers. It avoids treating any single tool as a complete security solution and explains why asset inventory, secure configuration, staff capability, incident handling and remediation ownership are essential for effective outcomes.</w:t>
      </w:r>
    </w:p>
    <w:p>
      <w:r>
        <w:t>A comparative matrix evaluates the tools across monitoring scope, network detection, vulnerability discovery, integration effort, scalability and total cost considerations. An indicative capability-fit chart helps show that the tools are complementary rather than interchangeable. A proposed architecture describes how endpoint and application telemetry, Suricata EVE JSON events, and Greenbone findings can be brought into a common investigation and remediation workflow. The report distinguishes documented integration options from custom engineering that may be required, particularly for importing scanner reports into ticketing or central monitoring platforms.</w:t>
      </w:r>
    </w:p>
    <w:p>
      <w:r>
        <w:t>The implementation roadmap breaks the work into staged phases covering governance and scope, lab preparation, a limited pilot, integration, broader rollout, response exercises and independent review. It includes illustrative role allocation, a relative cost model, operational acceptance tests, an integration risk register and measurable key performance indicators. Risk controls address alert fatigue, missing telemetry, unsafe vulnerability scans, sensitive log data, security-platform hardening, unsupported integrations and accidental service blocking.</w:t>
      </w:r>
    </w:p>
    <w:p>
      <w:r>
        <w:t>The report also considers India-relevant references, including GIGW 3.0, CERT-In directions, the Digital Personal Data Protection framework, NIST Cybersecurity Framework 2.0 and OWASP API Security guidance. It emphasises that applicability and commencement dates must be confirmed from current official sources. Overall, the report provides actionable guidance for piloting and integrating the tools while maintaining service availability, protecting citizen information, improving vulnerability remediation and supporting a measurable, risk-based security programme.</w:t>
      </w:r>
    </w:p>
    <w:p>
      <w:pPr>
        <w:pStyle w:val="SmallNote"/>
      </w:pPr>
      <w:r>
        <w:t>Approximate word count: 338 words. Copy the full description above into the Week 2 submission portal if it has a separate description field.</w:t>
      </w:r>
    </w:p>
    <w:p>
      <w:r>
        <w:br w:type="page"/>
      </w:r>
    </w:p>
    <w:p>
      <w:pPr>
        <w:pStyle w:val="Heading1"/>
        <w:keepNext/>
      </w:pPr>
      <w:r>
        <w:t>References</w:t>
      </w:r>
    </w:p>
    <w:p>
      <w:pPr>
        <w:pStyle w:val="SmallNote"/>
      </w:pPr>
      <w:r>
        <w:t>Official documentation and standards consulted for tool capabilities and India-relevant context. Access date for online sources: 20 October 2026.</w:t>
      </w:r>
    </w:p>
    <w:p>
      <w:pPr>
        <w:spacing w:after="20" w:line="228" w:lineRule="auto"/>
        <w:ind w:left="288" w:hanging="288"/>
      </w:pPr>
      <w:r>
        <w:rPr>
          <w:sz w:val="17"/>
        </w:rPr>
        <w:t xml:space="preserve">[1] Wazuh, “Installation guide” (architecture and open-source licensing). </w:t>
      </w:r>
      <w:hyperlink r:id="rId14">
        <w:r>
          <w:rPr>
            <w:color w:val="2364AA"/>
            <w:u w:val="single"/>
            <w:sz w:val="17"/>
          </w:rPr>
          <w:t>https://documentation.wazuh.com/current/installation-guide/index.html</w:t>
        </w:r>
      </w:hyperlink>
    </w:p>
    <w:p>
      <w:pPr>
        <w:spacing w:after="20" w:line="228" w:lineRule="auto"/>
        <w:ind w:left="288" w:hanging="288"/>
      </w:pPr>
      <w:r>
        <w:rPr>
          <w:sz w:val="17"/>
        </w:rPr>
        <w:t xml:space="preserve">[2] Open Information Security Foundation, Suricata documentation, “What is Suricata”. </w:t>
      </w:r>
      <w:hyperlink r:id="rId15">
        <w:r>
          <w:rPr>
            <w:color w:val="2364AA"/>
            <w:u w:val="single"/>
            <w:sz w:val="17"/>
          </w:rPr>
          <w:t>https://docs.suricata.io/en/latest/what-is-suricata.html</w:t>
        </w:r>
      </w:hyperlink>
    </w:p>
    <w:p>
      <w:pPr>
        <w:spacing w:after="20" w:line="228" w:lineRule="auto"/>
        <w:ind w:left="288" w:hanging="288"/>
      </w:pPr>
      <w:r>
        <w:rPr>
          <w:sz w:val="17"/>
        </w:rPr>
        <w:t xml:space="preserve">[3] Greenbone Community Documentation, “Architecture”. </w:t>
      </w:r>
      <w:hyperlink r:id="rId16">
        <w:r>
          <w:rPr>
            <w:color w:val="2364AA"/>
            <w:u w:val="single"/>
            <w:sz w:val="17"/>
          </w:rPr>
          <w:t>https://greenbone.github.io/docs/latest/architecture.html</w:t>
        </w:r>
      </w:hyperlink>
    </w:p>
    <w:p>
      <w:pPr>
        <w:spacing w:after="20" w:line="228" w:lineRule="auto"/>
        <w:ind w:left="288" w:hanging="288"/>
      </w:pPr>
      <w:r>
        <w:rPr>
          <w:sz w:val="17"/>
        </w:rPr>
        <w:t xml:space="preserve">[4] Greenbone, “License Information”. </w:t>
      </w:r>
      <w:hyperlink r:id="rId17">
        <w:r>
          <w:rPr>
            <w:color w:val="2364AA"/>
            <w:u w:val="single"/>
            <w:sz w:val="17"/>
          </w:rPr>
          <w:t>https://www.greenbone.net/en/license-information/</w:t>
        </w:r>
      </w:hyperlink>
    </w:p>
    <w:p>
      <w:pPr>
        <w:spacing w:after="20" w:line="228" w:lineRule="auto"/>
        <w:ind w:left="288" w:hanging="288"/>
      </w:pPr>
      <w:r>
        <w:rPr>
          <w:sz w:val="17"/>
        </w:rPr>
        <w:t xml:space="preserve">[5] Guidelines for Indian Government Websites and Apps (GIGW), official portal. </w:t>
      </w:r>
      <w:hyperlink r:id="rId18">
        <w:r>
          <w:rPr>
            <w:color w:val="2364AA"/>
            <w:u w:val="single"/>
            <w:sz w:val="17"/>
          </w:rPr>
          <w:t>https://guidelines.india.gov.in/</w:t>
        </w:r>
      </w:hyperlink>
    </w:p>
    <w:p>
      <w:pPr>
        <w:spacing w:after="20" w:line="228" w:lineRule="auto"/>
        <w:ind w:left="288" w:hanging="288"/>
      </w:pPr>
      <w:r>
        <w:rPr>
          <w:sz w:val="17"/>
        </w:rPr>
        <w:t xml:space="preserve">[6] GIGW 3.0, “Scope and Objective”. </w:t>
      </w:r>
      <w:hyperlink r:id="rId19">
        <w:r>
          <w:rPr>
            <w:color w:val="2364AA"/>
            <w:u w:val="single"/>
            <w:sz w:val="17"/>
          </w:rPr>
          <w:t>https://guidelines.india.gov.in/scope-and-objective/</w:t>
        </w:r>
      </w:hyperlink>
    </w:p>
    <w:p>
      <w:pPr>
        <w:spacing w:after="20" w:line="228" w:lineRule="auto"/>
        <w:ind w:left="288" w:hanging="288"/>
      </w:pPr>
      <w:r>
        <w:rPr>
          <w:sz w:val="17"/>
        </w:rPr>
        <w:t xml:space="preserve">[7] OWASP, “OWASP API Security Top 10 – 2023”. </w:t>
      </w:r>
      <w:hyperlink r:id="rId20">
        <w:r>
          <w:rPr>
            <w:color w:val="2364AA"/>
            <w:u w:val="single"/>
            <w:sz w:val="17"/>
          </w:rPr>
          <w:t>https://api-security.owasp.org/editions/2023/en/0x11-t10/</w:t>
        </w:r>
      </w:hyperlink>
    </w:p>
    <w:p>
      <w:pPr>
        <w:spacing w:after="20" w:line="228" w:lineRule="auto"/>
        <w:ind w:left="288" w:hanging="288"/>
      </w:pPr>
      <w:r>
        <w:rPr>
          <w:sz w:val="17"/>
        </w:rPr>
        <w:t xml:space="preserve">[8] Wazuh documentation, “Data analysis”. </w:t>
      </w:r>
      <w:hyperlink r:id="rId21">
        <w:r>
          <w:rPr>
            <w:color w:val="2364AA"/>
            <w:u w:val="single"/>
            <w:sz w:val="17"/>
          </w:rPr>
          <w:t>https://documentation.wazuh.com/current/user-manual/ruleset/</w:t>
        </w:r>
      </w:hyperlink>
    </w:p>
    <w:p>
      <w:pPr>
        <w:spacing w:after="20" w:line="228" w:lineRule="auto"/>
        <w:ind w:left="288" w:hanging="288"/>
      </w:pPr>
      <w:r>
        <w:rPr>
          <w:sz w:val="17"/>
        </w:rPr>
        <w:t xml:space="preserve">[9] Wazuh documentation, “Wazuh agent”. </w:t>
      </w:r>
      <w:hyperlink r:id="rId22">
        <w:r>
          <w:rPr>
            <w:color w:val="2364AA"/>
            <w:u w:val="single"/>
            <w:sz w:val="17"/>
          </w:rPr>
          <w:t>https://documentation.wazuh.com/current/user-manual/agent/index.html</w:t>
        </w:r>
      </w:hyperlink>
    </w:p>
    <w:p>
      <w:pPr>
        <w:spacing w:after="20" w:line="228" w:lineRule="auto"/>
        <w:ind w:left="288" w:hanging="288"/>
      </w:pPr>
      <w:r>
        <w:rPr>
          <w:sz w:val="17"/>
        </w:rPr>
        <w:t xml:space="preserve">[10] Suricata documentation, “EVE JSON Output”. </w:t>
      </w:r>
      <w:hyperlink r:id="rId23">
        <w:r>
          <w:rPr>
            <w:color w:val="2364AA"/>
            <w:u w:val="single"/>
            <w:sz w:val="17"/>
          </w:rPr>
          <w:t>https://docs.suricata.io/en/latest/output/eve/eve-json-output.html</w:t>
        </w:r>
      </w:hyperlink>
    </w:p>
    <w:p>
      <w:pPr>
        <w:spacing w:after="20" w:line="228" w:lineRule="auto"/>
        <w:ind w:left="288" w:hanging="288"/>
      </w:pPr>
      <w:r>
        <w:rPr>
          <w:sz w:val="17"/>
        </w:rPr>
        <w:t xml:space="preserve">[11] Greenbone Community Documentation, “OpenVAS / GVM architecture and background”. </w:t>
      </w:r>
      <w:hyperlink r:id="rId24">
        <w:r>
          <w:rPr>
            <w:color w:val="2364AA"/>
            <w:u w:val="single"/>
            <w:sz w:val="17"/>
          </w:rPr>
          <w:t>https://greenbone.github.io/docs/latest/background</w:t>
        </w:r>
      </w:hyperlink>
    </w:p>
    <w:p>
      <w:pPr>
        <w:spacing w:after="20" w:line="228" w:lineRule="auto"/>
        <w:ind w:left="288" w:hanging="288"/>
      </w:pPr>
      <w:r>
        <w:rPr>
          <w:sz w:val="17"/>
        </w:rPr>
        <w:t xml:space="preserve">[12] Indian Computer Emergency Response Team (CERT-In), Directions under Section 70B, dated 28 April 2022. </w:t>
      </w:r>
      <w:hyperlink r:id="rId25">
        <w:r>
          <w:rPr>
            <w:color w:val="2364AA"/>
            <w:u w:val="single"/>
            <w:sz w:val="17"/>
          </w:rPr>
          <w:t>https://www.cert-in.org.in/PDF/CERT-In_Directions_70B_28.04.2022.pdf</w:t>
        </w:r>
      </w:hyperlink>
    </w:p>
    <w:p>
      <w:pPr>
        <w:spacing w:after="20" w:line="228" w:lineRule="auto"/>
        <w:ind w:left="288" w:hanging="288"/>
      </w:pPr>
      <w:r>
        <w:rPr>
          <w:sz w:val="17"/>
        </w:rPr>
        <w:t xml:space="preserve">[13] CERT-In, FAQs on Cyber Security Directions of 28 April 2022. </w:t>
      </w:r>
      <w:hyperlink r:id="rId26">
        <w:r>
          <w:rPr>
            <w:color w:val="2364AA"/>
            <w:u w:val="single"/>
            <w:sz w:val="17"/>
          </w:rPr>
          <w:t>https://www.cert-in.org.in/PDF/FAQs_on_CyberSecurityDirections_May2022.pdf</w:t>
        </w:r>
      </w:hyperlink>
    </w:p>
    <w:p>
      <w:pPr>
        <w:spacing w:after="20" w:line="228" w:lineRule="auto"/>
        <w:ind w:left="288" w:hanging="288"/>
      </w:pPr>
      <w:r>
        <w:rPr>
          <w:sz w:val="17"/>
        </w:rPr>
        <w:t xml:space="preserve">[14] Ministry of Electronics and Information Technology, Digital Personal Data Protection Rules, 2025 portal. </w:t>
      </w:r>
      <w:hyperlink r:id="rId27">
        <w:r>
          <w:rPr>
            <w:color w:val="2364AA"/>
            <w:u w:val="single"/>
            <w:sz w:val="17"/>
          </w:rPr>
          <w:t>https://www.meity.gov.in/documents/act-and-policies/digital-personal-data-protection-rules-2025-gDOxUjMtQWa</w:t>
        </w:r>
      </w:hyperlink>
    </w:p>
    <w:p>
      <w:pPr>
        <w:spacing w:after="20" w:line="228" w:lineRule="auto"/>
        <w:ind w:left="288" w:hanging="288"/>
      </w:pPr>
      <w:r>
        <w:rPr>
          <w:sz w:val="17"/>
        </w:rPr>
        <w:t xml:space="preserve">[15] Gazette of India / MeitY, Digital Personal Data Protection Rules, 2025, G.S.R. 846(E), 14 November 2025. </w:t>
      </w:r>
      <w:hyperlink r:id="rId28">
        <w:r>
          <w:rPr>
            <w:color w:val="2364AA"/>
            <w:u w:val="single"/>
            <w:sz w:val="17"/>
          </w:rPr>
          <w:t>https://www.meity.gov.in/static/uploads/2025/11/53450e6e5dc0bfa85ebd78686cadad39.pdf</w:t>
        </w:r>
      </w:hyperlink>
    </w:p>
    <w:p>
      <w:pPr>
        <w:spacing w:after="20" w:line="228" w:lineRule="auto"/>
        <w:ind w:left="288" w:hanging="288"/>
      </w:pPr>
      <w:r>
        <w:rPr>
          <w:sz w:val="17"/>
        </w:rPr>
        <w:t xml:space="preserve">[16] National Institute of Standards and Technology (NIST), Cybersecurity Framework 2.0 FAQs. </w:t>
      </w:r>
      <w:hyperlink r:id="rId29">
        <w:r>
          <w:rPr>
            <w:color w:val="2364AA"/>
            <w:u w:val="single"/>
            <w:sz w:val="17"/>
          </w:rPr>
          <w:t>https://www.nist.gov/cyberframework/faqs</w:t>
        </w:r>
      </w:hyperlink>
    </w:p>
    <w:p>
      <w:pPr>
        <w:spacing w:after="20" w:line="228" w:lineRule="auto"/>
        <w:ind w:left="288" w:hanging="288"/>
      </w:pPr>
      <w:r>
        <w:rPr>
          <w:sz w:val="17"/>
        </w:rPr>
        <w:t xml:space="preserve">[17] NIST, “NIST Releases Version 2.0 of Landmark Cybersecurity Framework”, 26 February 2024. </w:t>
      </w:r>
      <w:hyperlink r:id="rId30">
        <w:r>
          <w:rPr>
            <w:color w:val="2364AA"/>
            <w:u w:val="single"/>
            <w:sz w:val="17"/>
          </w:rPr>
          <w:t>https://www.nist.gov/news-events/news/2024/02/nist-releases-version-20-landmark-cybersecurity-framework</w:t>
        </w:r>
      </w:hyperlink>
    </w:p>
    <w:p>
      <w:pPr>
        <w:pStyle w:val="Heading2"/>
        <w:keepNext/>
      </w:pPr>
      <w:r>
        <w:t>Use and interpretation note</w:t>
      </w:r>
    </w:p>
    <w:p>
      <w:pPr>
        <w:spacing w:after="20" w:line="235" w:lineRule="auto"/>
      </w:pPr>
      <w:r>
        <w:rPr>
          <w:sz w:val="17"/>
        </w:rPr>
        <w:t>This report is a planning and educational document. Tool features, supported versions, licensing terms, vulnerability feeds and legal obligations can change. Before procurement or production deployment, verify the current official product documentation, test the selected versions in a representative environment, and obtain internal legal, privacy, security and service-owner approval. Findings generated by tools require human validation and follow-up; absence of an alert or vulnerability result is not proof of absence of risk.</w:t>
      </w: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Security Tool Analysis &amp; Integration  •  Strategic implementation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8F8A"/>
        <w:sz w:val="16"/>
      </w:rPr>
      <w:t>E-GOVERNANCE CYBERSECURITY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D27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eastAsia="Aptos Display"/>
      <w:b/>
      <w:bCs/>
      <w:color w:val="142B4A"/>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eastAsia="Aptos Display"/>
      <w:b/>
      <w:bCs/>
      <w:color w:val="2364AA"/>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w:hAnsi="Aptos" w:eastAsia="Aptos"/>
      <w:b/>
      <w:bCs/>
      <w:color w:val="178F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2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178F8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umentation.wazuh.com/current/installation-guide/index.html" TargetMode="External"/><Relationship Id="rId15" Type="http://schemas.openxmlformats.org/officeDocument/2006/relationships/hyperlink" Target="https://docs.suricata.io/en/latest/what-is-suricata.html" TargetMode="External"/><Relationship Id="rId16" Type="http://schemas.openxmlformats.org/officeDocument/2006/relationships/hyperlink" Target="https://greenbone.github.io/docs/latest/architecture.html" TargetMode="External"/><Relationship Id="rId17" Type="http://schemas.openxmlformats.org/officeDocument/2006/relationships/hyperlink" Target="https://www.greenbone.net/en/license-information/" TargetMode="External"/><Relationship Id="rId18" Type="http://schemas.openxmlformats.org/officeDocument/2006/relationships/hyperlink" Target="https://guidelines.india.gov.in/" TargetMode="External"/><Relationship Id="rId19" Type="http://schemas.openxmlformats.org/officeDocument/2006/relationships/hyperlink" Target="https://guidelines.india.gov.in/scope-and-objective/" TargetMode="External"/><Relationship Id="rId20" Type="http://schemas.openxmlformats.org/officeDocument/2006/relationships/hyperlink" Target="https://api-security.owasp.org/editions/2023/en/0x11-t10/" TargetMode="External"/><Relationship Id="rId21" Type="http://schemas.openxmlformats.org/officeDocument/2006/relationships/hyperlink" Target="https://documentation.wazuh.com/current/user-manual/ruleset/" TargetMode="External"/><Relationship Id="rId22" Type="http://schemas.openxmlformats.org/officeDocument/2006/relationships/hyperlink" Target="https://documentation.wazuh.com/current/user-manual/agent/index.html" TargetMode="External"/><Relationship Id="rId23" Type="http://schemas.openxmlformats.org/officeDocument/2006/relationships/hyperlink" Target="https://docs.suricata.io/en/latest/output/eve/eve-json-output.html" TargetMode="External"/><Relationship Id="rId24" Type="http://schemas.openxmlformats.org/officeDocument/2006/relationships/hyperlink" Target="https://greenbone.github.io/docs/latest/background" TargetMode="External"/><Relationship Id="rId25" Type="http://schemas.openxmlformats.org/officeDocument/2006/relationships/hyperlink" Target="https://www.cert-in.org.in/PDF/CERT-In_Directions_70B_28.04.2022.pdf" TargetMode="External"/><Relationship Id="rId26" Type="http://schemas.openxmlformats.org/officeDocument/2006/relationships/hyperlink" Target="https://www.cert-in.org.in/PDF/FAQs_on_CyberSecurityDirections_May2022.pdf" TargetMode="External"/><Relationship Id="rId27" Type="http://schemas.openxmlformats.org/officeDocument/2006/relationships/hyperlink" Target="https://www.meity.gov.in/documents/act-and-policies/digital-personal-data-protection-rules-2025-gDOxUjMtQWa" TargetMode="External"/><Relationship Id="rId28" Type="http://schemas.openxmlformats.org/officeDocument/2006/relationships/hyperlink" Target="https://www.meity.gov.in/static/uploads/2025/11/53450e6e5dc0bfa85ebd78686cadad39.pdf" TargetMode="External"/><Relationship Id="rId29" Type="http://schemas.openxmlformats.org/officeDocument/2006/relationships/hyperlink" Target="https://www.nist.gov/cyberframework/faqs" TargetMode="External"/><Relationship Id="rId30" Type="http://schemas.openxmlformats.org/officeDocument/2006/relationships/hyperlink" Target="https://www.nist.gov/news-events/news/2024/02/nist-releases-version-20-landmark-cybersecurity-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Tool Analysis and Integration for Digital Services</dc:title>
  <dc:subject>Week 2 cybersecurity internship report for e-governance</dc:subject>
  <dc:creator/>
  <cp:keywords>e-governance, cybersecurity, Wazuh, Suricata, Greenbone, OpenVAS, SIEM, IDS, vulnerability management</cp:keywords>
  <dc:description>Planning report based on public official documentation; not a real-system assessment.</dc:description>
  <cp:lastModifiedBy/>
  <cp:revision>1</cp:revision>
  <dcterms:created xsi:type="dcterms:W3CDTF">2013-12-23T23:15:00Z</dcterms:created>
  <dcterms:modified xsi:type="dcterms:W3CDTF">2013-12-23T23:15:00Z</dcterms:modified>
  <cp:category/>
</cp:coreProperties>
</file>