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Evaluating the Evaluators — Findings &amp; Calculations Log</w:t>
      </w:r>
    </w:p>
    <w:p>
      <w:pPr>
        <w:jc w:val="center"/>
      </w:pPr>
      <w:r>
        <w:rPr>
          <w:i/>
          <w:color w:val="6B6B7B"/>
          <w:sz w:val="21"/>
        </w:rPr>
        <w:t>Every statistic in the paper, with its exact derivation from the canonical dataset v9.csv (345 rows). Generated by script from the CSV — no number is hand-entered.</w:t>
      </w:r>
    </w:p>
    <w:p/>
    <w:p>
      <w:pPr>
        <w:pStyle w:val="Heading1"/>
      </w:pPr>
      <w:r>
        <w:rPr>
          <w:color w:val="1F4E79"/>
        </w:rPr>
        <w:t>0  Data source and conventions</w:t>
      </w:r>
    </w:p>
    <w:p>
      <w:pPr>
        <w:pStyle w:val="ListBullet"/>
      </w:pPr>
      <w:r>
        <w:rPr>
          <w:b/>
          <w:sz w:val="21"/>
        </w:rPr>
        <w:t xml:space="preserve">Source. </w:t>
      </w:r>
      <w:r>
        <w:rPr>
          <w:sz w:val="21"/>
        </w:rPr>
        <w:t>Canonical file: ~/Desktop/v9.csv (v8 and the earlier "AISI v3 Final" sheet are superseded and were NOT used).</w:t>
      </w:r>
    </w:p>
    <w:p>
      <w:pPr>
        <w:pStyle w:val="ListBullet"/>
      </w:pPr>
      <w:r>
        <w:rPr>
          <w:b/>
          <w:sz w:val="21"/>
        </w:rPr>
        <w:t xml:space="preserve">Unit. </w:t>
      </w:r>
      <w:r>
        <w:rPr>
          <w:sz w:val="21"/>
        </w:rPr>
        <w:t>One row = one finding. Column filters quoted below use the exact v9 column names.</w:t>
      </w:r>
    </w:p>
    <w:p>
      <w:pPr>
        <w:pStyle w:val="ListBullet"/>
      </w:pPr>
      <w:r>
        <w:rPr>
          <w:b/>
          <w:sz w:val="21"/>
        </w:rPr>
        <w:t xml:space="preserve">Tiers. </w:t>
      </w:r>
      <w:r>
        <w:rPr>
          <w:sz w:val="21"/>
        </w:rPr>
        <w:t>Tier A = rows with Action Trackable? = "yes". Tier C = rows with Eval? (trackable) = "no". Tier B = everything else.</w:t>
      </w:r>
    </w:p>
    <w:p>
      <w:pPr>
        <w:pStyle w:val="ListBullet"/>
      </w:pPr>
      <w:r>
        <w:rPr>
          <w:b/>
          <w:sz w:val="21"/>
        </w:rPr>
        <w:t xml:space="preserve">Severity. </w:t>
      </w:r>
      <w:r>
        <w:rPr>
          <w:sz w:val="21"/>
        </w:rPr>
        <w:t>C1/C2 = column "Severity (C1/C2) majority" (majority of Sonnet5 / GPT-5.5 / Gemini3.1 votes).</w:t>
      </w:r>
    </w:p>
    <w:p>
      <w:pPr>
        <w:pStyle w:val="Heading1"/>
      </w:pPr>
      <w:r>
        <w:rPr>
          <w:color w:val="1F4E79"/>
        </w:rPr>
        <w:t>1  Corpus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2448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4896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Derivation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Total findings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9"/>
              </w:rPr>
              <w:t>345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19"/>
              </w:rPr>
              <w:t>Row count of v9.csv (345 data rows).</w:t>
            </w:r>
          </w:p>
        </w:tc>
      </w:tr>
      <w:tr>
        <w:tc>
          <w:tcPr>
            <w:tcW w:type="dxa" w:w="2304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Distinct reports</w:t>
            </w:r>
          </w:p>
        </w:tc>
        <w:tc>
          <w:tcPr>
            <w:tcW w:type="dxa" w:w="244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153</w:t>
            </w:r>
          </w:p>
        </w:tc>
        <w:tc>
          <w:tcPr>
            <w:tcW w:type="dxa" w:w="4896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Unique values of "Report ID".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Date range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9"/>
              </w:rPr>
              <w:t>2023-09 to 2026-07-09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i w:val="0"/>
                <w:sz w:val="19"/>
              </w:rPr>
              <w:t>Min/max of "Publication Date". Only 3 findings predate 2024.</w:t>
            </w:r>
          </w:p>
        </w:tc>
      </w:tr>
      <w:tr>
        <w:tc>
          <w:tcPr>
            <w:tcW w:type="dxa" w:w="2304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Findings per year</w:t>
            </w:r>
          </w:p>
        </w:tc>
        <w:tc>
          <w:tcPr>
            <w:tcW w:type="dxa" w:w="244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2023: 3 / 2024: 58 / 2025: 150 / 2026: 134</w:t>
            </w:r>
          </w:p>
        </w:tc>
        <w:tc>
          <w:tcPr>
            <w:tcW w:type="dxa" w:w="4896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Count by first 4 chars of "Publication Date". [Figure 6]</w:t>
            </w:r>
          </w:p>
        </w:tc>
      </w:tr>
    </w:tbl>
    <w:p>
      <w:pPr>
        <w:pStyle w:val="Heading1"/>
      </w:pPr>
      <w:r>
        <w:rPr>
          <w:color w:val="1F4E79"/>
        </w:rPr>
        <w:t>2  Tier taxonomy (paper Table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Tier</w:t>
            </w:r>
          </w:p>
        </w:tc>
        <w:tc>
          <w:tcPr>
            <w:tcW w:type="dxa" w:w="1008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n</w:t>
            </w:r>
          </w:p>
        </w:tc>
        <w:tc>
          <w:tcPr>
            <w:tcW w:type="dxa" w:w="1152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%</w:t>
            </w:r>
          </w:p>
        </w:tc>
        <w:tc>
          <w:tcPr>
            <w:tcW w:type="dxa" w:w="5184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Filter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Tier A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55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i w:val="0"/>
                <w:sz w:val="19"/>
              </w:rPr>
              <w:t>16%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sz w:val="19"/>
              </w:rPr>
              <w:t>Action Trackable? = "yes"</w:t>
            </w:r>
          </w:p>
        </w:tc>
      </w:tr>
      <w:tr>
        <w:tc>
          <w:tcPr>
            <w:tcW w:type="dxa" w:w="1440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Tier B</w:t>
            </w:r>
          </w:p>
        </w:tc>
        <w:tc>
          <w:tcPr>
            <w:tcW w:type="dxa" w:w="10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185</w:t>
            </w:r>
          </w:p>
        </w:tc>
        <w:tc>
          <w:tcPr>
            <w:tcW w:type="dxa" w:w="1152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54%</w:t>
            </w:r>
          </w:p>
        </w:tc>
        <w:tc>
          <w:tcPr>
            <w:tcW w:type="dxa" w:w="5184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Not Tier A and Eval? (trackable) = "yes"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Tier C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105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i w:val="0"/>
                <w:sz w:val="19"/>
              </w:rPr>
              <w:t>30%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sz w:val="19"/>
              </w:rPr>
              <w:t>Eval? (trackable) = "no"</w:t>
            </w:r>
          </w:p>
        </w:tc>
      </w:tr>
    </w:tbl>
    <w:p>
      <w:pPr>
        <w:spacing w:after="160"/>
      </w:pPr>
      <w:r>
        <w:rPr>
          <w:b w:val="0"/>
          <w:i w:val="0"/>
          <w:sz w:val="21"/>
        </w:rPr>
        <w:t>Within Tier A: C1 = 44, C2 = 11 (column "Severity (C1/C2) majority"). Corpus-wide severity: C1 = 112, C2 = 233.</w:t>
      </w:r>
    </w:p>
    <w:p>
      <w:pPr>
        <w:pStyle w:val="Heading1"/>
      </w:pPr>
      <w:r>
        <w:rPr>
          <w:color w:val="1F4E79"/>
        </w:rPr>
        <w:t>3  Headline gap (paper Table 4, Figure 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184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Outcome (column "Proportionality", C1 Tier A rows only)</w:t>
            </w:r>
          </w:p>
        </w:tc>
        <w:tc>
          <w:tcPr>
            <w:tcW w:type="dxa" w:w="1008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n</w:t>
            </w:r>
          </w:p>
        </w:tc>
        <w:tc>
          <w:tcPr>
            <w:tcW w:type="dxa" w:w="1728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% of 44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sz w:val="19"/>
              </w:rPr>
              <w:t>Accountability gap (no action)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23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52.3%</w:t>
            </w:r>
          </w:p>
        </w:tc>
      </w:tr>
      <w:tr>
        <w:tc>
          <w:tcPr>
            <w:tcW w:type="dxa" w:w="5184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Under-response (gap)</w:t>
            </w:r>
          </w:p>
        </w:tc>
        <w:tc>
          <w:tcPr>
            <w:tcW w:type="dxa" w:w="10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172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20.5%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sz w:val="19"/>
              </w:rPr>
              <w:t>Proportionate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19"/>
              </w:rPr>
              <w:t>25.0%</w:t>
            </w:r>
          </w:p>
        </w:tc>
      </w:tr>
      <w:tr>
        <w:tc>
          <w:tcPr>
            <w:tcW w:type="dxa" w:w="5184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Too-recent (unobservable)</w:t>
            </w:r>
          </w:p>
        </w:tc>
        <w:tc>
          <w:tcPr>
            <w:tcW w:type="dxa" w:w="10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72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2.3%</w:t>
            </w:r>
          </w:p>
        </w:tc>
      </w:tr>
      <w:tr>
        <w:tc>
          <w:tcPr>
            <w:tcW w:type="dxa" w:w="5184"/>
            <w:shd w:val="clear" w:fill="F5DBD5"/>
          </w:tcPr>
          <w:p>
            <w:r/>
            <w:r>
              <w:rPr>
                <w:b w:val="0"/>
                <w:i w:val="0"/>
                <w:sz w:val="19"/>
              </w:rPr>
              <w:t>GAP TOTAL (gap + under-response)</w:t>
            </w:r>
          </w:p>
        </w:tc>
        <w:tc>
          <w:tcPr>
            <w:tcW w:type="dxa" w:w="1008"/>
            <w:shd w:val="clear" w:fill="F5DBD5"/>
          </w:tcPr>
          <w:p>
            <w:r/>
            <w:r>
              <w:rPr>
                <w:b w:val="0"/>
                <w:i w:val="0"/>
                <w:sz w:val="19"/>
              </w:rPr>
              <w:t>32</w:t>
            </w:r>
          </w:p>
        </w:tc>
        <w:tc>
          <w:tcPr>
            <w:tcW w:type="dxa" w:w="1728"/>
            <w:shd w:val="clear" w:fill="F5DBD5"/>
          </w:tcPr>
          <w:p>
            <w:r/>
            <w:r>
              <w:rPr>
                <w:b w:val="0"/>
                <w:i w:val="0"/>
                <w:sz w:val="19"/>
              </w:rPr>
              <w:t>72.7%</w:t>
            </w:r>
          </w:p>
        </w:tc>
      </w:tr>
    </w:tbl>
    <w:p>
      <w:pPr>
        <w:spacing w:after="160"/>
      </w:pPr>
      <w:r>
        <w:rPr>
          <w:b w:val="0"/>
          <w:i w:val="0"/>
          <w:sz w:val="21"/>
        </w:rPr>
        <w:t>Central result: 32/44 = 72.7% → reported as 73%. Cross-check vs Action Level (same 44 rows): None = 24 (= 23 gap + 1 too-recent), Substantive = 11 (= proportionate), Partial 5 + Acknowledged 4 = 9 (= under-response). Fully consistent.</w:t>
      </w:r>
    </w:p>
    <w:p>
      <w:pPr>
        <w:spacing w:after="160"/>
      </w:pPr>
      <w:r>
        <w:rPr>
          <w:b w:val="0"/>
          <w:i w:val="0"/>
          <w:sz w:val="21"/>
        </w:rPr>
        <w:t>Raw Action Level across all 55 Tier A rows (C1+C2): None 32, Acknowledged 5, Partial 5, Substantive 13. Raw no-response rate 32/55 = 58%. The 11 C2 Tier A rows are all "Proportionate (Cat2)".</w:t>
      </w:r>
    </w:p>
    <w:p>
      <w:pPr>
        <w:spacing w:after="160"/>
      </w:pPr>
      <w:r>
        <w:rPr>
          <w:b/>
          <w:i w:val="0"/>
          <w:sz w:val="21"/>
        </w:rPr>
        <w:t>Scope note: Proportionality in v9 is computed on Channel A (company response) only. Three of the 23 accountability-gap rows carry a Channel B policy-record appearance with the company itself silent — UKAISI-2026-04-CYB1 and UKAISI-2026-04-CYB2 (National/Ministerial statement: DSIT open letter) and JOINT-2026-07-CYB1 (Binding: CAISI pre-release testing of GPT-5.6). The paper states this rule explicitly in §3.5 and reports these rows in Table 8.</w:t>
      </w:r>
    </w:p>
    <w:p>
      <w:pPr>
        <w:pStyle w:val="Heading1"/>
      </w:pPr>
      <w:r>
        <w:rPr>
          <w:color w:val="1F4E79"/>
        </w:rPr>
        <w:t>4  Ensemble agreement (paper Table 3)</w:t>
      </w:r>
    </w:p>
    <w:p>
      <w:pPr>
        <w:spacing w:after="160"/>
      </w:pPr>
      <w:r>
        <w:rPr>
          <w:b w:val="0"/>
          <w:i w:val="0"/>
          <w:sz w:val="21"/>
        </w:rPr>
        <w:t>Unanimous = rows where Sonnet5 vote = GPT-5.5 vote = Gemini3.1 vote. All findings: 311/345 = 90.1%. Tier A: 49/55 = 89.1%.</w:t>
      </w:r>
    </w:p>
    <w:p>
      <w:pPr>
        <w:pStyle w:val="Heading1"/>
      </w:pPr>
      <w:r>
        <w:rPr>
          <w:color w:val="1F4E79"/>
        </w:rPr>
        <w:t>5  Access type (paper Figure 5, §4.3)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Access Type (Tier A rows)</w:t>
            </w:r>
          </w:p>
        </w:tc>
        <w:tc>
          <w:tcPr>
            <w:tcW w:type="dxa" w:w="1008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n</w:t>
            </w:r>
          </w:p>
        </w:tc>
        <w:tc>
          <w:tcPr>
            <w:tcW w:type="dxa" w:w="1584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Substantive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Pre-deployment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22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36.4%</w:t>
            </w:r>
          </w:p>
        </w:tc>
      </w:tr>
      <w:tr>
        <w:tc>
          <w:tcPr>
            <w:tcW w:type="dxa" w:w="2880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Post-deployment</w:t>
            </w:r>
          </w:p>
        </w:tc>
        <w:tc>
          <w:tcPr>
            <w:tcW w:type="dxa" w:w="10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27</w:t>
            </w:r>
          </w:p>
        </w:tc>
        <w:tc>
          <w:tcPr>
            <w:tcW w:type="dxa" w:w="1584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440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7.4%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19"/>
              </w:rPr>
              <w:t>Mixed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50.0%</w:t>
            </w:r>
          </w:p>
        </w:tc>
      </w:tr>
      <w:tr>
        <w:tc>
          <w:tcPr>
            <w:tcW w:type="dxa" w:w="2880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Aggregate</w:t>
            </w:r>
          </w:p>
        </w:tc>
        <w:tc>
          <w:tcPr>
            <w:tcW w:type="dxa" w:w="10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584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440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50.0%</w:t>
            </w:r>
          </w:p>
        </w:tc>
      </w:tr>
    </w:tbl>
    <w:p>
      <w:pPr>
        <w:spacing w:after="160"/>
      </w:pPr>
      <w:r>
        <w:rPr>
          <w:b w:val="0"/>
          <w:i w:val="0"/>
          <w:sz w:val="21"/>
        </w:rPr>
        <w:t>Headline comparison: pre-deployment 8/22 = 36.4% vs post-deployment 2/27 = 7.4% → "roughly five times as likely" (36.4/7.4 = 4.9). Mixed and Aggregate reported for completeness only (n = 4 and 2).</w:t>
      </w:r>
    </w:p>
    <w:p>
      <w:pPr>
        <w:spacing w:after="160"/>
      </w:pPr>
      <w:r>
        <w:rPr>
          <w:b w:val="0"/>
          <w:i w:val="0"/>
          <w:sz w:val="21"/>
        </w:rPr>
        <w:t>Corpus-wide access distribution (all 345, Figure 3): Post-deployment 201, Pre-deployment 79, Mixed 20, Aggregate 19, N/A 26.</w:t>
      </w:r>
    </w:p>
    <w:p>
      <w:pPr>
        <w:pStyle w:val="Heading1"/>
      </w:pPr>
      <w:r>
        <w:rPr>
          <w:color w:val="1F4E79"/>
        </w:rPr>
        <w:t>6  Traction defeater (§4.5)</w:t>
      </w:r>
    </w:p>
    <w:p>
      <w:pPr>
        <w:spacing w:after="160"/>
      </w:pPr>
      <w:r>
        <w:rPr>
          <w:b w:val="0"/>
          <w:i w:val="0"/>
          <w:sz w:val="21"/>
        </w:rPr>
        <w:t>Filter: Tier A rows with Action Level = "None" → 32 rows. Of these, Traction Score = "High" → 13 rows. 13/32 = 41%. (Distribution: High 13, Low 11, Medium 8.)</w:t>
      </w:r>
    </w:p>
    <w:p>
      <w:pPr>
        <w:pStyle w:val="Heading1"/>
      </w:pPr>
      <w:r>
        <w:rPr>
          <w:color w:val="1F4E79"/>
        </w:rPr>
        <w:t>7  Institution and domain splits (paper Tables 6–7)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600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Configuration (C1 Tier A)</w:t>
            </w:r>
          </w:p>
        </w:tc>
        <w:tc>
          <w:tcPr>
            <w:tcW w:type="dxa" w:w="1008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n</w:t>
            </w:r>
          </w:p>
        </w:tc>
        <w:tc>
          <w:tcPr>
            <w:tcW w:type="dxa" w:w="2016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Gap</w:t>
            </w:r>
          </w:p>
        </w:tc>
        <w:tc>
          <w:tcPr>
            <w:tcW w:type="dxa" w:w="1584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Substantive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  <w:sz w:val="19"/>
              </w:rPr>
              <w:t>UK AISI standalone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24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i w:val="0"/>
                <w:sz w:val="19"/>
              </w:rPr>
              <w:t>21 (88%)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3600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Joint / collaborative</w:t>
            </w:r>
          </w:p>
        </w:tc>
        <w:tc>
          <w:tcPr>
            <w:tcW w:type="dxa" w:w="10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14</w:t>
            </w:r>
          </w:p>
        </w:tc>
        <w:tc>
          <w:tcPr>
            <w:tcW w:type="dxa" w:w="2016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8 (57%)</w:t>
            </w:r>
          </w:p>
        </w:tc>
        <w:tc>
          <w:tcPr>
            <w:tcW w:type="dxa" w:w="1584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  <w:sz w:val="19"/>
              </w:rPr>
              <w:t>US CAISI standalone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i w:val="0"/>
                <w:sz w:val="19"/>
              </w:rPr>
              <w:t>2 (67%)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600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Third-party standalone</w:t>
            </w:r>
          </w:p>
        </w:tc>
        <w:tc>
          <w:tcPr>
            <w:tcW w:type="dxa" w:w="10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2016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1 (33%)</w:t>
            </w:r>
          </w:p>
        </w:tc>
        <w:tc>
          <w:tcPr>
            <w:tcW w:type="dxa" w:w="1584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</w:tr>
    </w:tbl>
    <w:p>
      <w:pPr>
        <w:spacing w:after="160"/>
      </w:pPr>
      <w:r>
        <w:rPr>
          <w:b w:val="0"/>
          <w:i w:val="0"/>
          <w:sz w:val="21"/>
        </w:rPr>
        <w:t>Grouping rule: institution string contains "Joint" or "+" → Joint/collaborative; exactly "UK AISI" → UK AISI standalone; exactly "US CAISI" → US CAISI standalone; else third-party standalone.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600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Domain (C1 Tier A, multi-label)</w:t>
            </w:r>
          </w:p>
        </w:tc>
        <w:tc>
          <w:tcPr>
            <w:tcW w:type="dxa" w:w="1008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n</w:t>
            </w:r>
          </w:p>
        </w:tc>
        <w:tc>
          <w:tcPr>
            <w:tcW w:type="dxa" w:w="1008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Gap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Gap rate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  <w:sz w:val="19"/>
              </w:rPr>
              <w:t>Jailbreaks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21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81%</w:t>
            </w:r>
          </w:p>
        </w:tc>
      </w:tr>
      <w:tr>
        <w:tc>
          <w:tcPr>
            <w:tcW w:type="dxa" w:w="3600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Cyber</w:t>
            </w:r>
          </w:p>
        </w:tc>
        <w:tc>
          <w:tcPr>
            <w:tcW w:type="dxa" w:w="10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17</w:t>
            </w:r>
          </w:p>
        </w:tc>
        <w:tc>
          <w:tcPr>
            <w:tcW w:type="dxa" w:w="10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440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71%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  <w:sz w:val="19"/>
              </w:rPr>
              <w:t>Autonomy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71%</w:t>
            </w:r>
          </w:p>
        </w:tc>
      </w:tr>
      <w:tr>
        <w:tc>
          <w:tcPr>
            <w:tcW w:type="dxa" w:w="3600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Alignment</w:t>
            </w:r>
          </w:p>
        </w:tc>
        <w:tc>
          <w:tcPr>
            <w:tcW w:type="dxa" w:w="10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0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440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83%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  <w:sz w:val="19"/>
              </w:rPr>
              <w:t>Bio-Chem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60%</w:t>
            </w:r>
          </w:p>
        </w:tc>
      </w:tr>
    </w:tbl>
    <w:p>
      <w:pPr>
        <w:spacing w:after="160"/>
      </w:pPr>
      <w:r>
        <w:rPr>
          <w:b w:val="0"/>
          <w:i w:val="0"/>
          <w:sz w:val="21"/>
        </w:rPr>
        <w:t>Domains split on ";" so one finding can count in several; only domains with n ≥ 5 shown. Counts do not sum to 44.</w:t>
      </w:r>
    </w:p>
    <w:p>
      <w:pPr>
        <w:pStyle w:val="Heading1"/>
      </w:pPr>
      <w:r>
        <w:rPr>
          <w:color w:val="1F4E79"/>
        </w:rPr>
        <w:t>8  Gap by year (§4.6)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Year (C1 Tier A)</w:t>
            </w:r>
          </w:p>
        </w:tc>
        <w:tc>
          <w:tcPr>
            <w:tcW w:type="dxa" w:w="1008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n</w:t>
            </w:r>
          </w:p>
        </w:tc>
        <w:tc>
          <w:tcPr>
            <w:tcW w:type="dxa" w:w="1008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Gap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Gap rate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100%</w:t>
            </w:r>
          </w:p>
        </w:tc>
      </w:tr>
      <w:tr>
        <w:tc>
          <w:tcPr>
            <w:tcW w:type="dxa" w:w="2016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0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0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440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67%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i w:val="0"/>
                <w:sz w:val="19"/>
              </w:rPr>
              <w:t>2026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25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  <w:sz w:val="19"/>
              </w:rPr>
              <w:t>68%</w:t>
            </w:r>
          </w:p>
        </w:tc>
      </w:tr>
    </w:tbl>
    <w:p>
      <w:pPr>
        <w:spacing w:after="160"/>
      </w:pPr>
      <w:r>
        <w:rPr>
          <w:b/>
          <w:i w:val="0"/>
          <w:sz w:val="21"/>
        </w:rPr>
        <w:t>NOTE: earlier drafts claimed a declining gap trend (61% → 41% → 23%) from the superseded 218-row dataset. v9 does NOT support that claim (100% → 67% → 68%, with 2026 right-censored). The paper therefore claims only that the gap persists.</w:t>
      </w:r>
    </w:p>
    <w:p>
      <w:pPr>
        <w:pStyle w:val="Heading1"/>
      </w:pPr>
      <w:r>
        <w:rPr>
          <w:color w:val="1F4E79"/>
        </w:rPr>
        <w:t>9  Policy channel (paper Table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Policy Level (column, non-empty)</w:t>
            </w:r>
          </w:p>
        </w:tc>
        <w:tc>
          <w:tcPr>
            <w:tcW w:type="dxa" w:w="1008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i w:val="0"/>
                <w:sz w:val="19"/>
              </w:rPr>
              <w:t>Cited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17</w:t>
            </w:r>
          </w:p>
        </w:tc>
      </w:tr>
      <w:tr>
        <w:tc>
          <w:tcPr>
            <w:tcW w:type="dxa" w:w="46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In guidance</w:t>
            </w:r>
          </w:p>
        </w:tc>
        <w:tc>
          <w:tcPr>
            <w:tcW w:type="dxa" w:w="10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15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i w:val="0"/>
                <w:sz w:val="19"/>
              </w:rPr>
              <w:t>National/Ministerial statement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46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Binding requirement</w:t>
            </w:r>
          </w:p>
        </w:tc>
        <w:tc>
          <w:tcPr>
            <w:tcW w:type="dxa" w:w="10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i w:val="0"/>
                <w:sz w:val="19"/>
              </w:rPr>
              <w:t>Regulatory (European Commission)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46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Recommendations issued</w:t>
            </w:r>
          </w:p>
        </w:tc>
        <w:tc>
          <w:tcPr>
            <w:tcW w:type="dxa" w:w="1008"/>
            <w:shd w:val="clear" w:fill="F2F6FB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 w:val="0"/>
                <w:i w:val="0"/>
                <w:sz w:val="19"/>
              </w:rPr>
              <w:t>Announced/Consultation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b w:val="0"/>
          <w:i w:val="0"/>
          <w:sz w:val="21"/>
        </w:rPr>
        <w:t>Total findings with any policy-record appearance: 41 of 345. Binding = 4 rows: the CSAM cluster (UKAISI-2025-12-SOC5, UKAISI-2025-12-GOV3 → Crime and Policing Act 2026), the Fable/Mythos export-control order (USCAISI-2026-06-CYB2), and GPT-5.6 CAISI pre-release testing (JOINT-2026-07-CYB1).</w:t>
      </w:r>
    </w:p>
    <w:p>
      <w:pPr>
        <w:pStyle w:val="Heading1"/>
      </w:pPr>
      <w:r>
        <w:rPr>
          <w:color w:val="1F4E79"/>
        </w:rPr>
        <w:t>10  Substantive rows, attribution, lag (paper Appendix A)</w:t>
      </w:r>
    </w:p>
    <w:p>
      <w:pPr>
        <w:spacing w:after="160"/>
      </w:pPr>
      <w:r>
        <w:rPr>
          <w:b w:val="0"/>
          <w:i w:val="0"/>
          <w:sz w:val="21"/>
        </w:rPr>
        <w:t>Substantive rows: 13. With Attribution = "Explicit": 13/13 = 100%. Response lags recorded on 27 Tier A rows; 23 of 27 are 0 days (coordinated disclosure); max lag 30 days.</w:t>
      </w:r>
    </w:p>
    <w:p>
      <w:pPr>
        <w:pStyle w:val="Heading1"/>
      </w:pPr>
      <w:r>
        <w:rPr>
          <w:color w:val="1F4E79"/>
        </w:rPr>
        <w:t>11  Discrepancy log vs. earlier drafts</w:t>
      </w:r>
    </w:p>
    <w:p>
      <w:pPr>
        <w:spacing w:after="160"/>
      </w:pPr>
      <w:r>
        <w:rPr>
          <w:b w:val="0"/>
          <w:i/>
          <w:sz w:val="21"/>
        </w:rPr>
        <w:t>Numbers that changed between the "Current draft" text (built on the superseded dataset snapshot) and v9. Every paper number was re-derived from v9; nothing was inherited.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48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Draft value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v9 value</w:t>
            </w:r>
          </w:p>
        </w:tc>
        <w:tc>
          <w:tcPr>
            <w:tcW w:type="dxa" w:w="2736"/>
            <w:shd w:val="clear" w:fill="1F4E79"/>
          </w:tcPr>
          <w:p>
            <w:r/>
            <w:r>
              <w:rPr>
                <w:b/>
                <w:i w:val="0"/>
                <w:color w:val="FFFFFF"/>
                <w:sz w:val="19"/>
              </w:rPr>
              <w:t>Effect on paper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C1 within Tier A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48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i w:val="0"/>
                <w:sz w:val="18"/>
              </w:rPr>
              <w:t>Table 1/4 internals updated; headline unchanged</w:t>
            </w:r>
          </w:p>
        </w:tc>
      </w:tr>
      <w:tr>
        <w:tc>
          <w:tcPr>
            <w:tcW w:type="dxa" w:w="2448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C2 within Tier A</w:t>
            </w:r>
          </w:p>
        </w:tc>
        <w:tc>
          <w:tcPr>
            <w:tcW w:type="dxa" w:w="2304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304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736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Updated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Accountability gap (C1)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26 (54%)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23 (52%)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i w:val="0"/>
                <w:sz w:val="18"/>
              </w:rPr>
              <w:t>Updated</w:t>
            </w:r>
          </w:p>
        </w:tc>
      </w:tr>
      <w:tr>
        <w:tc>
          <w:tcPr>
            <w:tcW w:type="dxa" w:w="2448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Under-response (C1)</w:t>
            </w:r>
          </w:p>
        </w:tc>
        <w:tc>
          <w:tcPr>
            <w:tcW w:type="dxa" w:w="2304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9 (19%)</w:t>
            </w:r>
          </w:p>
        </w:tc>
        <w:tc>
          <w:tcPr>
            <w:tcW w:type="dxa" w:w="2304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9 (20%)</w:t>
            </w:r>
          </w:p>
        </w:tc>
        <w:tc>
          <w:tcPr>
            <w:tcW w:type="dxa" w:w="2736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Percentage base changed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Proportionate (C1)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12 (25%)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11 (25%)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i w:val="0"/>
                <w:sz w:val="18"/>
              </w:rPr>
              <w:t>Updated</w:t>
            </w:r>
          </w:p>
        </w:tc>
      </w:tr>
      <w:tr>
        <w:tc>
          <w:tcPr>
            <w:tcW w:type="dxa" w:w="2448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GAP TOTAL</w:t>
            </w:r>
          </w:p>
        </w:tc>
        <w:tc>
          <w:tcPr>
            <w:tcW w:type="dxa" w:w="2304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35/48 = 73%</w:t>
            </w:r>
          </w:p>
        </w:tc>
        <w:tc>
          <w:tcPr>
            <w:tcW w:type="dxa" w:w="2304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32/44 = 73%</w:t>
            </w:r>
          </w:p>
        </w:tc>
        <w:tc>
          <w:tcPr>
            <w:tcW w:type="dxa" w:w="2736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Headline survives with different internals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Ensemble agreement (all)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306/345 = 88.7%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311/345 = 90.1%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i w:val="0"/>
                <w:sz w:val="18"/>
              </w:rPr>
              <w:t>Updated</w:t>
            </w:r>
          </w:p>
        </w:tc>
      </w:tr>
      <w:tr>
        <w:tc>
          <w:tcPr>
            <w:tcW w:type="dxa" w:w="2448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Ensemble agreement (Tier A)</w:t>
            </w:r>
          </w:p>
        </w:tc>
        <w:tc>
          <w:tcPr>
            <w:tcW w:type="dxa" w:w="2304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53/55 = 96.4%</w:t>
            </w:r>
          </w:p>
        </w:tc>
        <w:tc>
          <w:tcPr>
            <w:tcW w:type="dxa" w:w="2304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49/55 = 89.1%</w:t>
            </w:r>
          </w:p>
        </w:tc>
        <w:tc>
          <w:tcPr>
            <w:tcW w:type="dxa" w:w="2736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Materially lower — stated honestly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Traction defeater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12/26 = 46%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13/32 = 41%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i w:val="0"/>
                <w:sz w:val="18"/>
              </w:rPr>
              <w:t>Updated</w:t>
            </w:r>
          </w:p>
        </w:tc>
      </w:tr>
      <w:tr>
        <w:tc>
          <w:tcPr>
            <w:tcW w:type="dxa" w:w="2448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Pre vs post Substantive</w:t>
            </w:r>
          </w:p>
        </w:tc>
        <w:tc>
          <w:tcPr>
            <w:tcW w:type="dxa" w:w="2304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36% vs 7%</w:t>
            </w:r>
          </w:p>
        </w:tc>
        <w:tc>
          <w:tcPr>
            <w:tcW w:type="dxa" w:w="2304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8/22 = 36% vs 2/27 = 7%</w:t>
            </w:r>
          </w:p>
        </w:tc>
        <w:tc>
          <w:tcPr>
            <w:tcW w:type="dxa" w:w="2736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Holds exactly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Corpus period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"Jan 2024" (abstract) / "Jan 2022" (§3.1)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Sep 2023 – Jul 2026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i w:val="0"/>
                <w:sz w:val="18"/>
              </w:rPr>
              <w:t>Both draft dates were wrong</w:t>
            </w:r>
          </w:p>
        </w:tc>
      </w:tr>
      <w:tr>
        <w:tc>
          <w:tcPr>
            <w:tcW w:type="dxa" w:w="2448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Reports</w:t>
            </w:r>
          </w:p>
        </w:tc>
        <w:tc>
          <w:tcPr>
            <w:tcW w:type="dxa" w:w="2304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"150+" / "68" / "52"</w:t>
            </w:r>
          </w:p>
        </w:tc>
        <w:tc>
          <w:tcPr>
            <w:tcW w:type="dxa" w:w="2304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153</w:t>
            </w:r>
          </w:p>
        </w:tc>
        <w:tc>
          <w:tcPr>
            <w:tcW w:type="dxa" w:w="2736"/>
            <w:shd w:val="clear" w:fill="F2F6FB"/>
          </w:tcPr>
          <w:p>
            <w:r/>
            <w:r>
              <w:rPr>
                <w:b w:val="0"/>
                <w:i w:val="0"/>
                <w:sz w:val="18"/>
              </w:rPr>
              <w:t>Fixed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Gap trend over time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61% → 41% → 23% (declining)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100% → 67% → 68% (persisting)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i w:val="0"/>
                <w:sz w:val="18"/>
              </w:rPr>
              <w:t>Trend claim REMOVED from paper</w:t>
            </w:r>
          </w:p>
        </w:tc>
      </w:tr>
    </w:tbl>
    <w:p>
      <w:pPr>
        <w:pStyle w:val="Heading1"/>
      </w:pPr>
      <w:r>
        <w:rPr>
          <w:color w:val="1F4E79"/>
        </w:rPr>
        <w:t>12  Figure data</w:t>
      </w:r>
    </w:p>
    <w:p>
      <w:pPr>
        <w:spacing w:after="160"/>
      </w:pPr>
      <w:r>
        <w:rPr>
          <w:b w:val="0"/>
          <w:i w:val="0"/>
          <w:sz w:val="21"/>
        </w:rPr>
        <w:t>All six figures were generated by script from v9.csv and saved to ~/Desktop/evaluating-the-evaluators-figures/. Figure 1: institution groups (UK AISI standalone 179; Other third-party 54; Joint UK+US 43; US CAISI 23; METR 13; Apollo incl. joint 10; SecureBio 10; UK AISI + partner 9; International Network 4). Figure 2: developer mentions (Anonymised/unspecified 123; OpenAI 118; Anthropic 113; DeepSeek 32; Google DeepMind 21; Meta 20; Moonshot 10; Mistral 8; Alibaba 7; xAI 5 — a finding naming several developers counts once per developer). Figure 3: access types (Post 201, Pre 79, N/A 26, Mixed 20, Aggregate 19). Figure 4: Section 3 above. Figure 5: Section 5 above. Figure 6: Section 1 above.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