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 Third-party AI Evaluations Lead to Meaningful Action?</w:t>
      </w:r>
    </w:p>
    <w:p>
      <w:pPr>
        <w:jc w:val="center"/>
      </w:pPr>
      <w:r>
        <w:rPr>
          <w:sz w:val="22"/>
        </w:rPr>
        <w:t>Kunal Singh</w:t>
      </w:r>
    </w:p>
    <w:p>
      <w:pPr>
        <w:jc w:val="center"/>
      </w:pPr>
      <w:hyperlink r:id="rId9">
        <w:r>
          <w:rPr>
            <w:color w:val="0563C1"/>
            <w:u w:val="single"/>
            <w:sz w:val="20"/>
          </w:rPr>
          <w:t>Interactive dashboard</w:t>
        </w:r>
      </w:hyperlink>
      <w:r>
        <w:rPr>
          <w:color w:val="6B6B7B"/>
          <w:sz w:val="20"/>
        </w:rPr>
        <w:t xml:space="preserve">   ·   Dataset: v9 (345 findings, one row per finding)</w:t>
      </w:r>
    </w:p>
    <w:p/>
    <w:p>
      <w:pPr>
        <w:pStyle w:val="Heading1"/>
      </w:pPr>
      <w:r>
        <w:rPr>
          <w:color w:val="1F4E79"/>
        </w:rPr>
        <w:t>Abstract</w:t>
      </w:r>
    </w:p>
    <w:p>
      <w:pPr>
        <w:spacing w:after="160"/>
      </w:pPr>
      <w:r>
        <w:rPr>
          <w:b w:val="0"/>
          <w:i w:val="0"/>
          <w:sz w:val="21"/>
        </w:rPr>
        <w:t>Government AI Institutes (GAIs) and independent AI evaluators (IAEs) now evaluate frontier AI systems, pre- and post-deployment (depending upon access), so that governance does not depend entirely on self-reporting by frontier labs. But the existence of evaluations alone does not mean that they are meaningful. We study the extent to which frontier AI system evaluations are acted on, as measured strictly by the public record. Our question is narrow by design: we ask what public evidence exists that evaluation findings were acted on.</w:t>
      </w:r>
    </w:p>
    <w:p>
      <w:pPr>
        <w:spacing w:after="160"/>
      </w:pPr>
      <w:r>
        <w:rPr>
          <w:b w:val="0"/>
          <w:i w:val="0"/>
          <w:sz w:val="21"/>
        </w:rPr>
        <w:t>We build a database of 345 publicly documented evaluation findings drawn from 153 evaluation reports by GAIs and IAEs, including the UK AI Security Institute (UK AISI), the US Center for AI Standards and Innovation (US CAISI), METR, SecureBio, Apollo Research, and others, covering findings from September 2023 to July 2026, and trace the downstream response across three channels: company response and model updates, parliamentary and congressional action, and ecosystem uptake. Of the 55 findings that name a specific company or model and describe something a response would reasonably be expected for, 44 were classified as genuinely alarming by a three-model severity ensemble. Of those 44, 32 (73%) drew either no located company response (23) or only a partial or acknowledged-but-unactioned one (9) — a shortfall we call the accountability gap. Findings from pre-deployment access drew substantive responses roughly five times as often as post-deployment findings (36% vs. 7%).</w:t>
      </w:r>
    </w:p>
    <w:p>
      <w:pPr>
        <w:spacing w:after="160"/>
      </w:pPr>
      <w:r>
        <w:rPr>
          <w:b w:val="0"/>
          <w:i w:val="0"/>
          <w:sz w:val="21"/>
        </w:rPr>
        <w:t>In light of these possible gaps between evaluation results and meaningful action, we consider how other government institutes — including the Food and Drug Administration (FDA), Nuclear Regulatory Commission (NRC), National Transportation Safety Board (NTSB), and Public Company Accounting Oversight Board (PCAOB) — are designed to ensure that shortcomings are identified and evaluations are actioned. We conclude that, based on the available information, the public lacks a strong reason to trust that government and independent AI evaluations consistently result in substantive improvements to the safety of deployed AI systems.</w:t>
      </w:r>
    </w:p>
    <w:tbl>
      <w:tblPr>
        <w:tblStyle w:val="TableGrid"/>
        <w:tblW w:type="auto" w:w="0"/>
        <w:tblLook w:firstColumn="1" w:firstRow="1" w:lastColumn="0" w:lastRow="0" w:noHBand="0" w:noVBand="1" w:val="04A0"/>
      </w:tblPr>
      <w:tblGrid>
        <w:gridCol w:w="9648"/>
      </w:tblGrid>
      <w:tr>
        <w:tc>
          <w:tcPr>
            <w:tcW w:type="dxa" w:w="9648"/>
            <w:shd w:val="clear" w:fill="EAF1F8"/>
          </w:tcPr>
          <w:p>
            <w:r/>
            <w:r>
              <w:rPr>
                <w:b/>
                <w:color w:val="1F4E79"/>
                <w:sz w:val="22"/>
              </w:rPr>
              <w:t>Key findings</w:t>
            </w:r>
          </w:p>
          <w:p>
            <w:pPr>
              <w:pStyle w:val="ListBullet"/>
            </w:pPr>
            <w:r>
              <w:rPr>
                <w:b/>
                <w:sz w:val="20"/>
              </w:rPr>
              <w:t>73% (32/44) of alarming, accountability-relevant findings drew no company response or an inadequate one</w:t>
            </w:r>
            <w:r>
              <w:rPr>
                <w:sz w:val="20"/>
              </w:rPr>
              <w:t xml:space="preserve"> — the accountability gap, this paper's central result (§4.1).</w:t>
            </w:r>
          </w:p>
          <w:p>
            <w:pPr>
              <w:pStyle w:val="ListBullet"/>
            </w:pPr>
            <w:r>
              <w:rPr>
                <w:b/>
                <w:sz w:val="20"/>
              </w:rPr>
              <w:t>Pre-deployment findings drew substantive responses five times as often as post-deployment ones — 36% vs. 7%</w:t>
            </w:r>
            <w:r>
              <w:rPr>
                <w:sz w:val="20"/>
              </w:rPr>
              <w:t xml:space="preserve"> — the single most policy-relevant split in the data (§4.3).</w:t>
            </w:r>
          </w:p>
          <w:p>
            <w:pPr>
              <w:pStyle w:val="ListBullet"/>
            </w:pPr>
            <w:r>
              <w:rPr>
                <w:b/>
                <w:sz w:val="20"/>
              </w:rPr>
              <w:t>All three binding policy actions rode an enforcement instrument that already existed</w:t>
            </w:r>
            <w:r>
              <w:rPr>
                <w:sz w:val="20"/>
              </w:rPr>
              <w:t xml:space="preserve"> — criminal law for CSAM, export-control law for Claude Fable 5/Mythos 5 and GPT-5.6; no finding created a new pathway (§5.3).</w:t>
            </w:r>
          </w:p>
          <w:p>
            <w:pPr>
              <w:pStyle w:val="ListBullet"/>
            </w:pPr>
            <w:r>
              <w:rPr>
                <w:b/>
                <w:sz w:val="20"/>
              </w:rPr>
              <w:t>Publicity does not close the gap: 41% of ignored findings had high public traction</w:t>
            </w:r>
            <w:r>
              <w:rPr>
                <w:sz w:val="20"/>
              </w:rPr>
              <w:t xml:space="preserve"> — mainstream press or academic citation, and still no company response (§4.5).</w:t>
            </w:r>
          </w:p>
          <w:p>
            <w:pPr>
              <w:pStyle w:val="ListBullet"/>
            </w:pPr>
            <w:r>
              <w:rPr>
                <w:b/>
                <w:sz w:val="20"/>
              </w:rPr>
              <w:t>AISIs lack all seven institutional design features that every comparator oversight body possesses</w:t>
            </w:r>
            <w:r>
              <w:rPr>
                <w:sz w:val="20"/>
              </w:rPr>
              <w:t xml:space="preserve"> — from deployment-blocking authority to post-evaluation follow-up tracking (§5.4).</w:t>
            </w:r>
          </w:p>
          <w:p>
            <w:pPr>
              <w:pStyle w:val="ListBullet"/>
            </w:pPr>
            <w:r>
              <w:rPr>
                <w:b/>
                <w:sz w:val="20"/>
              </w:rPr>
              <w:t>The gap persists as the evaluation ecosystem scales</w:t>
            </w:r>
            <w:r>
              <w:rPr>
                <w:sz w:val="20"/>
              </w:rPr>
              <w:t xml:space="preserve"> — findings per year are rising, and v9 shows no reliable improvement trend in the response rate (§4.6).</w:t>
            </w:r>
          </w:p>
        </w:tc>
      </w:tr>
    </w:tbl>
    <w:p/>
    <w:p>
      <w:pPr>
        <w:pStyle w:val="Heading1"/>
      </w:pPr>
      <w:r>
        <w:rPr>
          <w:color w:val="1F4E79"/>
        </w:rPr>
        <w:t>1  Introduction</w:t>
      </w:r>
    </w:p>
    <w:p>
      <w:pPr>
        <w:jc w:val="center"/>
        <w:shd w:val="clear" w:fill="EAF1F8"/>
      </w:pPr>
      <w:r>
        <w:rPr>
          <w:b/>
          <w:color w:val="1F4E79"/>
          <w:sz w:val="20"/>
        </w:rPr>
        <w:t>[ Figure 1 — file: fig1_hero.png in Desktop/evaluating-the-evaluators-figures ]</w:t>
      </w:r>
    </w:p>
    <w:p>
      <w:pPr>
        <w:spacing w:after="280"/>
        <w:jc w:val="left"/>
      </w:pPr>
      <w:r>
        <w:rPr>
          <w:b/>
          <w:color w:val="6B6B7B"/>
          <w:sz w:val="17"/>
        </w:rPr>
        <w:t xml:space="preserve">Figure 1.  </w:t>
      </w:r>
      <w:r>
        <w:rPr>
          <w:i/>
          <w:color w:val="6B6B7B"/>
          <w:sz w:val="17"/>
        </w:rPr>
        <w:t>The paper in one figure. Of 345 public evaluation findings, 55 name a company or model and warrant a response (Tier A); 44 of those are alarming (C1); and 32 of the 44 (73%) drew no response or an inadequate one — the accountability gap. Boxes are schematic; the outcome bar is proportional. Data cutoff: 9 July 2026 (v9).</w:t>
      </w:r>
    </w:p>
    <w:p>
      <w:pPr>
        <w:pStyle w:val="Heading2"/>
      </w:pPr>
      <w:r>
        <w:rPr>
          <w:color w:val="1F4E79"/>
        </w:rPr>
        <w:t>1.1  What the record shows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4E79"/>
          </w:tcPr>
          <w:p>
            <w:r/>
            <w:r>
              <w:rPr>
                <w:b/>
                <w:i w:val="0"/>
                <w:color w:val="FFFFFF"/>
                <w:sz w:val="19"/>
              </w:rPr>
              <w:t>Outcome</w:t>
            </w:r>
          </w:p>
        </w:tc>
        <w:tc>
          <w:tcPr>
            <w:tcW w:type="dxa" w:w="1440"/>
            <w:shd w:val="clear" w:fill="1F4E79"/>
          </w:tcPr>
          <w:p>
            <w:r/>
            <w:r>
              <w:rPr>
                <w:b/>
                <w:i w:val="0"/>
                <w:color w:val="FFFFFF"/>
                <w:sz w:val="19"/>
              </w:rPr>
              <w:t>n / % of 44 C1</w:t>
            </w:r>
          </w:p>
        </w:tc>
        <w:tc>
          <w:tcPr>
            <w:tcW w:type="dxa" w:w="5040"/>
            <w:shd w:val="clear" w:fill="1F4E79"/>
          </w:tcPr>
          <w:p>
            <w:r/>
            <w:r>
              <w:rPr>
                <w:b/>
                <w:i w:val="0"/>
                <w:color w:val="FFFFFF"/>
                <w:sz w:val="19"/>
              </w:rPr>
              <w:t>Key example</w:t>
            </w:r>
          </w:p>
        </w:tc>
      </w:tr>
      <w:tr>
        <w:tc>
          <w:tcPr>
            <w:tcW w:type="dxa" w:w="3168"/>
            <w:shd w:val="clear" w:fill="F5DBD5"/>
          </w:tcPr>
          <w:p>
            <w:r/>
            <w:r>
              <w:rPr>
                <w:b w:val="0"/>
                <w:i w:val="0"/>
                <w:sz w:val="19"/>
              </w:rPr>
              <w:t>No publicly documented company response found</w:t>
            </w:r>
          </w:p>
        </w:tc>
        <w:tc>
          <w:tcPr>
            <w:tcW w:type="dxa" w:w="1440"/>
            <w:shd w:val="clear" w:fill="F5DBD5"/>
          </w:tcPr>
          <w:p>
            <w:r/>
            <w:r>
              <w:rPr>
                <w:b w:val="0"/>
                <w:i w:val="0"/>
                <w:sz w:val="19"/>
              </w:rPr>
              <w:t>23  /  52%</w:t>
            </w:r>
          </w:p>
        </w:tc>
        <w:tc>
          <w:tcPr>
            <w:tcW w:type="dxa" w:w="5040"/>
            <w:shd w:val="clear" w:fill="F5DBD5"/>
          </w:tcPr>
          <w:p>
            <w:r/>
            <w:r>
              <w:rPr>
                <w:b w:val="0"/>
                <w:i w:val="0"/>
                <w:sz w:val="19"/>
              </w:rPr>
              <w:t>UK AISI's AgentHarm benchmark found six separate frontier models complying with malicious agentic requests at high rates, by default or under a simple universal jailbreak template (worst case: 82.2% harm score with only 1.1% refusal, no attack needed); no company response documented for any of them.</w:t>
            </w:r>
          </w:p>
        </w:tc>
      </w:tr>
      <w:tr>
        <w:tc>
          <w:tcPr>
            <w:tcW w:type="dxa" w:w="3168"/>
            <w:shd w:val="clear" w:fill="FBEAD1"/>
          </w:tcPr>
          <w:p>
            <w:r/>
            <w:r>
              <w:rPr>
                <w:b w:val="0"/>
                <w:i w:val="0"/>
                <w:sz w:val="19"/>
              </w:rPr>
              <w:t>Partial or acknowledged, no substantive fix confirmed</w:t>
            </w:r>
          </w:p>
        </w:tc>
        <w:tc>
          <w:tcPr>
            <w:tcW w:type="dxa" w:w="1440"/>
            <w:shd w:val="clear" w:fill="FBEAD1"/>
          </w:tcPr>
          <w:p>
            <w:r/>
            <w:r>
              <w:rPr>
                <w:b w:val="0"/>
                <w:i w:val="0"/>
                <w:sz w:val="19"/>
              </w:rPr>
              <w:t>9  /  20%</w:t>
            </w:r>
          </w:p>
        </w:tc>
        <w:tc>
          <w:tcPr>
            <w:tcW w:type="dxa" w:w="5040"/>
            <w:shd w:val="clear" w:fill="FBEAD1"/>
          </w:tcPr>
          <w:p>
            <w:r/>
            <w:r>
              <w:rPr>
                <w:b w:val="0"/>
                <w:i w:val="0"/>
                <w:sz w:val="19"/>
              </w:rPr>
              <w:t>A finding acknowledged in follow-on discussion or system-card language, with no specific attributed mitigation described.</w:t>
            </w:r>
          </w:p>
        </w:tc>
      </w:tr>
      <w:tr>
        <w:tc>
          <w:tcPr>
            <w:tcW w:type="dxa" w:w="3168"/>
            <w:shd w:val="clear" w:fill="DCEFE7"/>
          </w:tcPr>
          <w:p>
            <w:r/>
            <w:r>
              <w:rPr>
                <w:b w:val="0"/>
                <w:i w:val="0"/>
                <w:sz w:val="19"/>
              </w:rPr>
              <w:t>Proportionate response documented</w:t>
            </w:r>
          </w:p>
        </w:tc>
        <w:tc>
          <w:tcPr>
            <w:tcW w:type="dxa" w:w="1440"/>
            <w:shd w:val="clear" w:fill="DCEFE7"/>
          </w:tcPr>
          <w:p>
            <w:r/>
            <w:r>
              <w:rPr>
                <w:b w:val="0"/>
                <w:i w:val="0"/>
                <w:sz w:val="19"/>
              </w:rPr>
              <w:t>11  /  25%</w:t>
            </w:r>
          </w:p>
        </w:tc>
        <w:tc>
          <w:tcPr>
            <w:tcW w:type="dxa" w:w="5040"/>
            <w:shd w:val="clear" w:fill="DCEFE7"/>
          </w:tcPr>
          <w:p>
            <w:r/>
            <w:r>
              <w:rPr>
                <w:b w:val="0"/>
                <w:i w:val="0"/>
                <w:sz w:val="19"/>
              </w:rPr>
              <w:t>Anthropic fundamentally restructured its Constitutional Classifier safeguard architecture after UK AISI / US CAISI evaluators found universal jailbreaks bypassing it.</w:t>
            </w:r>
          </w:p>
        </w:tc>
      </w:tr>
      <w:tr>
        <w:tc>
          <w:tcPr>
            <w:tcW w:type="dxa" w:w="3168"/>
            <w:shd w:val="clear" w:fill="EDEDF1"/>
          </w:tcPr>
          <w:p>
            <w:r/>
            <w:r>
              <w:rPr>
                <w:b w:val="0"/>
                <w:i w:val="0"/>
                <w:sz w:val="19"/>
              </w:rPr>
              <w:t>Too recent to judge</w:t>
            </w:r>
          </w:p>
        </w:tc>
        <w:tc>
          <w:tcPr>
            <w:tcW w:type="dxa" w:w="1440"/>
            <w:shd w:val="clear" w:fill="EDEDF1"/>
          </w:tcPr>
          <w:p>
            <w:r/>
            <w:r>
              <w:rPr>
                <w:b w:val="0"/>
                <w:i w:val="0"/>
                <w:sz w:val="19"/>
              </w:rPr>
              <w:t>1  /  2%</w:t>
            </w:r>
          </w:p>
        </w:tc>
        <w:tc>
          <w:tcPr>
            <w:tcW w:type="dxa" w:w="5040"/>
            <w:shd w:val="clear" w:fill="EDEDF1"/>
          </w:tcPr>
          <w:p>
            <w:r/>
            <w:r>
              <w:rPr>
                <w:b w:val="0"/>
                <w:i w:val="0"/>
                <w:sz w:val="19"/>
              </w:rPr>
              <w:t>A 2026 finding close enough to publication that a response, if any, may not yet be visible in the public record.</w:t>
            </w:r>
          </w:p>
        </w:tc>
      </w:tr>
    </w:tbl>
    <w:p>
      <w:pPr>
        <w:spacing w:after="280"/>
        <w:jc w:val="left"/>
      </w:pPr>
      <w:r>
        <w:rPr>
          <w:b/>
          <w:color w:val="6B6B7B"/>
          <w:sz w:val="17"/>
        </w:rPr>
        <w:t xml:space="preserve">Table 1.  </w:t>
      </w:r>
      <w:r>
        <w:rPr>
          <w:i/>
          <w:color w:val="6B6B7B"/>
          <w:sz w:val="17"/>
        </w:rPr>
        <w:t>73% of alarming, accountability-relevant findings drew no or an inadequate company response — the two red/orange rows sum to the accountability gap of Section 4.1. Outcomes among the 44 alarming (C1) findings within our accountability-relevant tier (Section 3.2). Color key used throughout the paper: red = no response; orange = partial/acknowledged only; green = substantive/proportionate; gray = not applicable or too recent. Data cutoff: 9 July 2026 (v9).</w:t>
      </w:r>
    </w:p>
    <w:p>
      <w:pPr>
        <w:spacing w:after="160"/>
      </w:pPr>
      <w:r>
        <w:rPr>
          <w:b w:val="0"/>
          <w:i w:val="0"/>
          <w:sz w:val="21"/>
        </w:rPr>
        <w:t>This paper asks one question: when a government or independent AI evaluation finds something alarming about a named frontier system, does anything change to the public knowledge? There have been similar efforts in this direction: Casper, Krueger &amp; Hadfield-Menell (2025) show how "evidence-based policy" rhetoric can itself delay regulation; Brundage, Casper et al. (2026) propose assurance levels for evaluation rigor; and Araujo, Fort &amp; Guest (2024) remains the best primer on AISI institutional design, but it is not built to measure outcomes. This paper fills that specific gap.</w:t>
      </w:r>
    </w:p>
    <w:p>
      <w:pPr>
        <w:pStyle w:val="Heading2"/>
      </w:pPr>
      <w:r>
        <w:rPr>
          <w:color w:val="1F4E79"/>
        </w:rPr>
        <w:t>1.2  What this paper does and does not claim</w:t>
      </w:r>
    </w:p>
    <w:p>
      <w:pPr>
        <w:spacing w:after="160"/>
      </w:pPr>
      <w:r>
        <w:rPr>
          <w:b w:val="0"/>
          <w:i w:val="0"/>
          <w:sz w:val="21"/>
        </w:rPr>
        <w:t>A finding being publicly actioned is not the same thing as a finding that matters, and we are careful not to conflate the two. Our focus is strictly on what public evidence exists about action. An evaluation that surfaces nothing important, or nothing actionable, is not necessarily a bad evaluation and null results are a legitimate and useful output of a functioning evaluation ecosystem. Also, some benefits of evaluations may be completely invisible to a study like this: a company that knows it will be evaluated is more likely to do its due diligence beforehand, and may patch problems before the evaluation ever happens. That deterrence effect would leave no trace in our data. What this paper measures is therefore a specific, narrower thing: when an alarming finding about a named system is published, does the public record contain evidence that anyone did anything about it to mitigate risk? That narrower thing is still worth measuring because it is the only part of the accountability chain the public can inspect.</w:t>
      </w:r>
    </w:p>
    <w:p>
      <w:pPr>
        <w:pStyle w:val="Heading1"/>
      </w:pPr>
      <w:r>
        <w:rPr>
          <w:color w:val="1F4E79"/>
        </w:rPr>
        <w:t>2  Related Work</w:t>
      </w:r>
    </w:p>
    <w:p>
      <w:pPr>
        <w:pStyle w:val="Heading2"/>
      </w:pPr>
      <w:r>
        <w:rPr>
          <w:color w:val="1F4E79"/>
        </w:rPr>
        <w:t>2.1  What AISIs are and what they are designed to do</w:t>
      </w:r>
    </w:p>
    <w:p>
      <w:pPr>
        <w:spacing w:after="160"/>
      </w:pPr>
      <w:r>
        <w:rPr>
          <w:b w:val="0"/>
          <w:i w:val="0"/>
          <w:sz w:val="21"/>
        </w:rPr>
        <w:t>The first wave of AI Safety Institutes including in the UK, US, Japan, Singapore, and Canada, were established from late 2023 onwards, in part to independently evaluate frontier AI systems and reduce governance dependence on self-reporting by the companies that build them (Araujo, Fort &amp; Guest, 2024). Their four core functions are research, standards, cooperation, and serving as a source of technical expertise inside government. New institutes are still being launched, so the design questions this paper raises apply to institutions that do not yet exist as much as to those that do. None of the first-wave institutes was given enforcement authority; whether their findings lead to action is left to company discretion and to whatever external pressure the findings generate.</w:t>
      </w:r>
    </w:p>
    <w:p>
      <w:pPr>
        <w:pStyle w:val="Heading2"/>
      </w:pPr>
      <w:r>
        <w:rPr>
          <w:color w:val="1F4E79"/>
        </w:rPr>
        <w:t>2.2  Prior work</w:t>
      </w:r>
    </w:p>
    <w:p>
      <w:pPr>
        <w:pStyle w:val="ListBullet"/>
      </w:pPr>
      <w:r>
        <w:rPr>
          <w:b/>
          <w:sz w:val="21"/>
        </w:rPr>
        <w:t>Casper, Krueger &amp; Hadfield-Menell (2025), "Pitfalls of Evidence-Based AI Policy"</w:t>
      </w:r>
      <w:r>
        <w:rPr>
          <w:sz w:val="21"/>
        </w:rPr>
        <w:t xml:space="preserve"> — demanding evidence before acting can itself become a delay tactic, drawing on tobacco and fossil-fuel regulatory history as parallels. [</w:t>
      </w:r>
      <w:hyperlink r:id="rId10">
        <w:r>
          <w:rPr>
            <w:color w:val="0563C1"/>
            <w:u w:val="single"/>
            <w:sz w:val="21"/>
          </w:rPr>
          <w:t>link</w:t>
        </w:r>
      </w:hyperlink>
      <w:r>
        <w:rPr>
          <w:sz w:val="21"/>
        </w:rPr>
        <w:t>]</w:t>
      </w:r>
    </w:p>
    <w:p>
      <w:pPr>
        <w:pStyle w:val="ListBullet"/>
      </w:pPr>
      <w:r>
        <w:rPr>
          <w:b/>
          <w:sz w:val="21"/>
        </w:rPr>
        <w:t>Brundage, Casper et al. (2026), "Frontier AI Auditing"</w:t>
      </w:r>
      <w:r>
        <w:rPr>
          <w:sz w:val="21"/>
        </w:rPr>
        <w:t xml:space="preserve"> — proposes AI Assurance Levels for third-party audit rigor; focused on the evaluation itself, not what happens after publication. [</w:t>
      </w:r>
      <w:hyperlink r:id="rId11">
        <w:r>
          <w:rPr>
            <w:color w:val="0563C1"/>
            <w:u w:val="single"/>
            <w:sz w:val="21"/>
          </w:rPr>
          <w:t>link</w:t>
        </w:r>
      </w:hyperlink>
      <w:r>
        <w:rPr>
          <w:sz w:val="21"/>
        </w:rPr>
        <w:t>]</w:t>
      </w:r>
    </w:p>
    <w:p>
      <w:pPr>
        <w:pStyle w:val="ListBullet"/>
      </w:pPr>
      <w:r>
        <w:rPr>
          <w:b/>
          <w:sz w:val="21"/>
        </w:rPr>
        <w:t>Raji &amp; Buolamwini (2019), "Actionable Auditing"</w:t>
      </w:r>
      <w:r>
        <w:rPr>
          <w:sz w:val="21"/>
        </w:rPr>
        <w:t xml:space="preserve"> — the closest methodological ancestor: audits of commercial facial-analysis systems, followed up to measure whether the audited companies actually changed their products. [</w:t>
      </w:r>
      <w:hyperlink r:id="rId12">
        <w:r>
          <w:rPr>
            <w:color w:val="0563C1"/>
            <w:u w:val="single"/>
            <w:sz w:val="21"/>
          </w:rPr>
          <w:t>link</w:t>
        </w:r>
      </w:hyperlink>
      <w:r>
        <w:rPr>
          <w:sz w:val="21"/>
        </w:rPr>
        <w:t>]</w:t>
      </w:r>
    </w:p>
    <w:p>
      <w:pPr>
        <w:pStyle w:val="ListBullet"/>
      </w:pPr>
      <w:r>
        <w:rPr>
          <w:b/>
          <w:sz w:val="21"/>
        </w:rPr>
        <w:t>Yew &amp; Judge (2025), "Anti-Regulatory AI"</w:t>
      </w:r>
      <w:r>
        <w:rPr>
          <w:sz w:val="21"/>
        </w:rPr>
        <w:t xml:space="preserve"> — industry-sponsored safety research and alliances can legitimize light-touch oversight; treated here as a live hypothesis, not a conclusion. They also state this paper's gap directly, observing that the UK AISI "often does not publicly disclose the results of its evaluations, nor information about whether AI companies have acted upon what it has found." [</w:t>
      </w:r>
      <w:hyperlink r:id="rId13">
        <w:r>
          <w:rPr>
            <w:color w:val="0563C1"/>
            <w:u w:val="single"/>
            <w:sz w:val="21"/>
          </w:rPr>
          <w:t>link</w:t>
        </w:r>
      </w:hyperlink>
      <w:r>
        <w:rPr>
          <w:sz w:val="21"/>
        </w:rPr>
        <w:t>]</w:t>
      </w:r>
    </w:p>
    <w:p>
      <w:pPr>
        <w:pStyle w:val="ListBullet"/>
      </w:pPr>
      <w:r>
        <w:rPr>
          <w:b/>
          <w:sz w:val="21"/>
        </w:rPr>
        <w:t>Wei, Ezell, Gabrieli &amp; Deshpande (2024), "How Do AI Companies Fine-Tune Policy?"</w:t>
      </w:r>
      <w:r>
        <w:rPr>
          <w:sz w:val="21"/>
        </w:rPr>
        <w:t xml:space="preserve"> — capture mechanisms in US AI policy generally, predating the 2025 UK/US AISI restructurings. [</w:t>
      </w:r>
      <w:hyperlink r:id="rId14">
        <w:r>
          <w:rPr>
            <w:color w:val="0563C1"/>
            <w:u w:val="single"/>
            <w:sz w:val="21"/>
          </w:rPr>
          <w:t>link</w:t>
        </w:r>
      </w:hyperlink>
      <w:r>
        <w:rPr>
          <w:sz w:val="21"/>
        </w:rPr>
        <w:t>]</w:t>
      </w:r>
    </w:p>
    <w:p>
      <w:pPr>
        <w:pStyle w:val="ListBullet"/>
      </w:pPr>
      <w:r>
        <w:rPr>
          <w:b/>
          <w:sz w:val="21"/>
        </w:rPr>
        <w:t>Wang, Huang, Klyman &amp; Bommasani (2025), "Do AI Companies Make Good on Voluntary Commitments to the White House?"</w:t>
      </w:r>
      <w:r>
        <w:rPr>
          <w:sz w:val="21"/>
        </w:rPr>
        <w:t xml:space="preserve"> — scores 16 companies against their own 2023 voluntary commitments and finds an average compliance score of just 53%, with self-reporting as the only accountability mechanism. The closest existing analogue to this paper's method, applied to a different commitment structure. [</w:t>
      </w:r>
      <w:hyperlink r:id="rId15">
        <w:r>
          <w:rPr>
            <w:color w:val="0563C1"/>
            <w:u w:val="single"/>
            <w:sz w:val="21"/>
          </w:rPr>
          <w:t>link</w:t>
        </w:r>
      </w:hyperlink>
      <w:r>
        <w:rPr>
          <w:sz w:val="21"/>
        </w:rPr>
        <w:t>]</w:t>
      </w:r>
    </w:p>
    <w:p>
      <w:pPr>
        <w:pStyle w:val="ListBullet"/>
      </w:pPr>
      <w:r>
        <w:rPr>
          <w:b/>
          <w:sz w:val="21"/>
        </w:rPr>
        <w:t>Rost (2026), "From Disclosure to Self-Referential Opacity"</w:t>
      </w:r>
      <w:r>
        <w:rPr>
          <w:sz w:val="21"/>
        </w:rPr>
        <w:t xml:space="preserve"> — identifies disclosure-without-follow-up as one of six structural strain points in current AI governance; this paper supplies a measured instance of exactly that strain point. [</w:t>
      </w:r>
      <w:hyperlink r:id="rId16">
        <w:r>
          <w:rPr>
            <w:color w:val="0563C1"/>
            <w:u w:val="single"/>
            <w:sz w:val="21"/>
          </w:rPr>
          <w:t>link</w:t>
        </w:r>
      </w:hyperlink>
      <w:r>
        <w:rPr>
          <w:sz w:val="21"/>
        </w:rPr>
        <w:t>]</w:t>
      </w:r>
    </w:p>
    <w:p>
      <w:pPr>
        <w:pStyle w:val="ListBullet"/>
      </w:pPr>
      <w:r>
        <w:rPr>
          <w:b/>
          <w:sz w:val="21"/>
        </w:rPr>
        <w:t>Bengio et al. (2026), "International AI Safety Report 2026"</w:t>
      </w:r>
      <w:r>
        <w:rPr>
          <w:sz w:val="21"/>
        </w:rPr>
        <w:t xml:space="preserve"> — already states that "reliable pre-deployment safety testing has become harder to conduct"; independent confirmation that the problem this paper documents is visible even from inside the institutions doing the evaluating. [</w:t>
      </w:r>
      <w:hyperlink r:id="rId17">
        <w:r>
          <w:rPr>
            <w:color w:val="0563C1"/>
            <w:u w:val="single"/>
            <w:sz w:val="21"/>
          </w:rPr>
          <w:t>link</w:t>
        </w:r>
      </w:hyperlink>
      <w:r>
        <w:rPr>
          <w:sz w:val="21"/>
        </w:rPr>
        <w:t>]</w:t>
      </w:r>
    </w:p>
    <w:p>
      <w:pPr>
        <w:pStyle w:val="Heading2"/>
      </w:pPr>
      <w:r>
        <w:rPr>
          <w:color w:val="1F4E79"/>
        </w:rPr>
        <w:t>2.3  When oversight exists but does not bind: historical precedents</w:t>
      </w:r>
    </w:p>
    <w:p>
      <w:pPr>
        <w:spacing w:after="160"/>
      </w:pPr>
      <w:r>
        <w:rPr>
          <w:b w:val="0"/>
          <w:i w:val="0"/>
          <w:sz w:val="21"/>
        </w:rPr>
        <w:t>The gap this paper measures — an oversight mechanism that produces findings without producing consequences — is not new to AI. History offers repeated examples of industries operating under formal oversight while dangerous practices or outright fraud continued for years. Enron was audited continuously by Arthur Andersen, one of the five largest accounting firms in the world, which certified its financial statements every year until weeks before the company collapsed in 2001; the auditing relationship existed, produced documents, and changed nothing — and the eventual response was the creation of the PCAOB, an oversight body with the mandatory-inspection and enforcement powers its predecessor arrangement lacked. The FAA's delegation of certification work to Boeing itself preceded the two 737 MAX crashes of 2018–2019, in which the certifying authority formally reviewed a flight-control system it did not independently understand. Credit-rating agencies rated the structured products at the center of the 2008 financial crisis under an issuer-pays model, with formal regulatory recognition but no accountability for the ratings' accuracy. The common structure across these cases is the one this paper tests for in AI: evaluation without a pathway from finding to required action tends toward documentation of problems rather than correction of them. Notably, several of the comparison bodies we examine in Section 5.4 — the PCAOB most directly — were created as corrections after exactly this failure mode became visible. To our knowledge, no existing work systematically traces AI evaluation findings to downstream outcomes across institutions; that is the gap this paper addresses, and the historical record suggests it is worth measuring before, rather than after, the institutional design hardens. Brundage et al. (2026) describe what the assurance ecosystem should provide; Yew &amp; Judge (2025) warn what its rhetoric can conceal; this paper measures what the ecosystem actually delivers.</w:t>
      </w:r>
    </w:p>
    <w:p>
      <w:pPr>
        <w:pStyle w:val="Heading1"/>
      </w:pPr>
      <w:r>
        <w:rPr>
          <w:color w:val="1F4E79"/>
        </w:rPr>
        <w:t>3  Data and Methods</w:t>
      </w:r>
    </w:p>
    <w:p>
      <w:pPr>
        <w:pStyle w:val="Heading2"/>
      </w:pPr>
      <w:r>
        <w:rPr>
          <w:color w:val="1F4E79"/>
        </w:rPr>
        <w:t>3.1  Data collection</w:t>
      </w:r>
    </w:p>
    <w:p>
      <w:pPr>
        <w:spacing w:after="160"/>
      </w:pPr>
      <w:r>
        <w:rPr>
          <w:b w:val="0"/>
          <w:i w:val="0"/>
          <w:sz w:val="21"/>
        </w:rPr>
        <w:t>We collected every publicly documented evaluation finding from UK AISI, US CAISI, and other national or joint institutes (including the Singapore, Korea, Japan and Australia AI Safety Institutes, France's PEReN/INESIA, and International Network joint testing exercises), plus independent evaluators such as METR, SecureBio and Apollo Research where they work alongside a government institute or evaluate a frontier model with comparable rigor, published between September 2023 and July 2026 (the bulk of the corpus begins in 2024; only 3 findings predate it). Sources: institute blog posts and progress reports, joint evaluation publications, the International Network's Joint Testing Exercise reports, and company model/system cards that reference an institute's evaluation. The unit of analysis is one row per finding, as a single report frequently yields several independently codeable findings (a jailbreak report, for instance, might yield one finding about the base attack-success rate and a separate one about a specific bypass technique). This produced 345 rows from 153 distinct evaluation reports.</w:t>
      </w:r>
    </w:p>
    <w:p>
      <w:pPr>
        <w:spacing w:after="160"/>
      </w:pPr>
      <w:r>
        <w:rPr>
          <w:b w:val="0"/>
          <w:i w:val="0"/>
          <w:sz w:val="21"/>
        </w:rPr>
        <w:t>Every row of the dataset carries the source URL, the three severity-ensemble votes, and the located response evidence with verbatim quotations, so any cell of the analysis can be contested at the row level; the dataset and the interactive dashboard are this paper's evidence layer. Rows with no located response are marked explicitly rather than left blank — the visible absence is itself data.</w:t>
      </w:r>
    </w:p>
    <w:p>
      <w:pPr>
        <w:spacing w:after="160"/>
      </w:pPr>
      <w:r>
        <w:rPr>
          <w:b w:val="0"/>
          <w:i w:val="0"/>
          <w:sz w:val="21"/>
        </w:rPr>
        <w:t>What is excluded. Findings shared privately with a company under a memorandum of understanding, and never published, are by definition invisible to us and are not included. We also dropped non-English-language institute output (mostly Japan's J-AISI) for translation-reliability reasons.</w:t>
      </w:r>
    </w:p>
    <w:p>
      <w:pPr>
        <w:spacing w:after="160"/>
      </w:pPr>
      <w:r>
        <w:rPr>
          <w:b w:val="0"/>
          <w:i/>
          <w:sz w:val="21"/>
        </w:rPr>
        <w:t>Figures 2–4 describe the corpus: who reports findings, whose models the findings concern, and under what access conditions the evaluations ran.</w:t>
      </w:r>
    </w:p>
    <w:p>
      <w:pPr>
        <w:jc w:val="center"/>
        <w:shd w:val="clear" w:fill="EAF1F8"/>
      </w:pPr>
      <w:r>
        <w:rPr>
          <w:b/>
          <w:color w:val="1F4E79"/>
          <w:sz w:val="20"/>
        </w:rPr>
        <w:t>[ Figure 2 — file: fig2_institutions.png in Desktop/evaluating-the-evaluators-figures ]</w:t>
      </w:r>
    </w:p>
    <w:p>
      <w:pPr>
        <w:spacing w:after="280"/>
        <w:jc w:val="left"/>
      </w:pPr>
      <w:r>
        <w:rPr>
          <w:b/>
          <w:color w:val="6B6B7B"/>
          <w:sz w:val="17"/>
        </w:rPr>
        <w:t xml:space="preserve">Figure 2.  </w:t>
      </w:r>
      <w:r>
        <w:rPr>
          <w:i/>
          <w:color w:val="6B6B7B"/>
          <w:sz w:val="17"/>
        </w:rPr>
        <w:t>UK AISI standalone reports account for just over half the corpus. Findings per reporting institution (n = 345); institutions are grouped, and "Other third-party evaluators" collapses roughly thirty distinct organisations including Holistic AI, Princeton HAL, Transluce, Shanghai AI Lab, and LatticeFlow. Data cutoff: 9 July 2026 (v9).</w:t>
      </w:r>
    </w:p>
    <w:p>
      <w:pPr>
        <w:jc w:val="center"/>
        <w:shd w:val="clear" w:fill="EAF1F8"/>
      </w:pPr>
      <w:r>
        <w:rPr>
          <w:b/>
          <w:color w:val="1F4E79"/>
          <w:sz w:val="20"/>
        </w:rPr>
        <w:t>[ Figure 3 — file: fig3_developers.png in Desktop/evaluating-the-evaluators-figures ]</w:t>
      </w:r>
    </w:p>
    <w:p>
      <w:pPr>
        <w:spacing w:after="280"/>
        <w:jc w:val="left"/>
      </w:pPr>
      <w:r>
        <w:rPr>
          <w:b/>
          <w:color w:val="6B6B7B"/>
          <w:sz w:val="17"/>
        </w:rPr>
        <w:t xml:space="preserve">Figure 3.  </w:t>
      </w:r>
      <w:r>
        <w:rPr>
          <w:i/>
          <w:color w:val="6B6B7B"/>
          <w:sz w:val="17"/>
        </w:rPr>
        <w:t>The largest single bar is findings about anonymised or unspecified models — anonymisation itself limits accountability, a point Section 3.2 formalises. Findings per model developer; a finding naming models from several developers is counted once per developer, so bars sum to more than 345. Data cutoff: 9 July 2026 (v9).</w:t>
      </w:r>
    </w:p>
    <w:p>
      <w:pPr>
        <w:jc w:val="center"/>
        <w:shd w:val="clear" w:fill="EAF1F8"/>
      </w:pPr>
      <w:r>
        <w:rPr>
          <w:b/>
          <w:color w:val="1F4E79"/>
          <w:sz w:val="20"/>
        </w:rPr>
        <w:t>[ Figure 4 — file: fig4_access.png in Desktop/evaluating-the-evaluators-figures ]</w:t>
      </w:r>
    </w:p>
    <w:p>
      <w:pPr>
        <w:spacing w:after="280"/>
        <w:jc w:val="left"/>
      </w:pPr>
      <w:r>
        <w:rPr>
          <w:b/>
          <w:color w:val="6B6B7B"/>
          <w:sz w:val="17"/>
        </w:rPr>
        <w:t xml:space="preserve">Figure 4.  </w:t>
      </w:r>
      <w:r>
        <w:rPr>
          <w:i/>
          <w:color w:val="6B6B7B"/>
          <w:sz w:val="17"/>
        </w:rPr>
        <w:t>Post-deployment evaluation dominates the public record; pre-deployment access — the condition Section 4.3 shows is associated with substantive responses — covers less than a quarter of findings. "N/A" covers governance and methodology findings with no evaluated system. Data cutoff: 9 July 2026 (v9).</w:t>
      </w:r>
    </w:p>
    <w:p>
      <w:pPr>
        <w:pStyle w:val="Heading2"/>
      </w:pPr>
      <w:r>
        <w:rPr>
          <w:color w:val="1F4E79"/>
        </w:rPr>
        <w:t>3.2  Outcome-relevance taxonomy</w:t>
      </w:r>
    </w:p>
    <w:p>
      <w:pPr>
        <w:spacing w:after="160"/>
      </w:pPr>
      <w:r>
        <w:rPr>
          <w:b w:val="0"/>
          <w:i w:val="0"/>
          <w:sz w:val="21"/>
        </w:rPr>
        <w:t>Every finding sits in one of three tiers. Tier A names a specific company or model (not an anonymised placeholder), describes a result an ordinary reader would recognise as concerning, and is the kind of thing a response would reasonably be expected for. It is the only tier we compute a proportionality judgment for (Section 4), because it is the only tier with a specific, identifiable party whose silence actually means something. Tier B is genuinely concerning but has no specific accountable party — anonymised-model results, methodology findings such as sandbagging-detection research, and "reassuring" findings where a suspected risk did not materialise. Tier C is not concerning at all. Tier B and C findings stay in the corpus, just outside the proportionality computation.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4E79"/>
          </w:tcPr>
          <w:p>
            <w:r/>
            <w:r>
              <w:rPr>
                <w:b/>
                <w:i w:val="0"/>
                <w:color w:val="FFFFFF"/>
                <w:sz w:val="19"/>
              </w:rPr>
              <w:t>Tier</w:t>
            </w:r>
          </w:p>
        </w:tc>
        <w:tc>
          <w:tcPr>
            <w:tcW w:type="dxa" w:w="864"/>
            <w:shd w:val="clear" w:fill="1F4E79"/>
          </w:tcPr>
          <w:p>
            <w:r/>
            <w:r>
              <w:rPr>
                <w:b/>
                <w:i w:val="0"/>
                <w:color w:val="FFFFFF"/>
                <w:sz w:val="19"/>
              </w:rPr>
              <w:t>n</w:t>
            </w:r>
          </w:p>
        </w:tc>
        <w:tc>
          <w:tcPr>
            <w:tcW w:type="dxa" w:w="1440"/>
            <w:shd w:val="clear" w:fill="1F4E79"/>
          </w:tcPr>
          <w:p>
            <w:r/>
            <w:r>
              <w:rPr>
                <w:b/>
                <w:i w:val="0"/>
                <w:color w:val="FFFFFF"/>
                <w:sz w:val="19"/>
              </w:rPr>
              <w:t>% of corpus</w:t>
            </w:r>
          </w:p>
        </w:tc>
        <w:tc>
          <w:tcPr>
            <w:tcW w:type="dxa" w:w="4320"/>
            <w:shd w:val="clear" w:fill="1F4E79"/>
          </w:tcPr>
          <w:p>
            <w:r/>
            <w:r>
              <w:rPr>
                <w:b/>
                <w:i w:val="0"/>
                <w:color w:val="FFFFFF"/>
                <w:sz w:val="19"/>
              </w:rPr>
              <w:t>What it is</w:t>
            </w:r>
          </w:p>
        </w:tc>
      </w:tr>
      <w:tr>
        <w:tc>
          <w:tcPr>
            <w:tcW w:type="dxa" w:w="3168"/>
          </w:tcPr>
          <w:p>
            <w:r/>
            <w:r>
              <w:rPr>
                <w:b w:val="0"/>
                <w:i w:val="0"/>
                <w:sz w:val="19"/>
              </w:rPr>
              <w:t>Tier A — accountability-relevant</w:t>
            </w:r>
          </w:p>
        </w:tc>
        <w:tc>
          <w:tcPr>
            <w:tcW w:type="dxa" w:w="864"/>
          </w:tcPr>
          <w:p>
            <w:r/>
            <w:r>
              <w:rPr>
                <w:b w:val="0"/>
                <w:i w:val="0"/>
                <w:sz w:val="19"/>
              </w:rPr>
              <w:t>55</w:t>
            </w:r>
          </w:p>
        </w:tc>
        <w:tc>
          <w:tcPr>
            <w:tcW w:type="dxa" w:w="1440"/>
          </w:tcPr>
          <w:p>
            <w:r/>
            <w:r>
              <w:rPr>
                <w:b w:val="0"/>
                <w:i w:val="0"/>
                <w:sz w:val="19"/>
              </w:rPr>
              <w:t>16%</w:t>
            </w:r>
          </w:p>
        </w:tc>
        <w:tc>
          <w:tcPr>
            <w:tcW w:type="dxa" w:w="4320"/>
          </w:tcPr>
          <w:p>
            <w:r/>
            <w:r>
              <w:rPr>
                <w:b w:val="0"/>
                <w:i w:val="0"/>
                <w:sz w:val="19"/>
              </w:rPr>
              <w:t>Named company/model + concerning + response expected. Only tier scored for proportionality.</w:t>
            </w:r>
          </w:p>
        </w:tc>
      </w:tr>
      <w:tr>
        <w:tc>
          <w:tcPr>
            <w:tcW w:type="dxa" w:w="3168"/>
            <w:shd w:val="clear" w:fill="F2F6FB"/>
          </w:tcPr>
          <w:p>
            <w:r/>
            <w:r>
              <w:rPr>
                <w:b w:val="0"/>
                <w:i w:val="0"/>
                <w:sz w:val="19"/>
              </w:rPr>
              <w:t>Tier B — concerning, no accountable party</w:t>
            </w:r>
          </w:p>
        </w:tc>
        <w:tc>
          <w:tcPr>
            <w:tcW w:type="dxa" w:w="864"/>
            <w:shd w:val="clear" w:fill="F2F6FB"/>
          </w:tcPr>
          <w:p>
            <w:r/>
            <w:r>
              <w:rPr>
                <w:b w:val="0"/>
                <w:i w:val="0"/>
                <w:sz w:val="19"/>
              </w:rPr>
              <w:t>185</w:t>
            </w:r>
          </w:p>
        </w:tc>
        <w:tc>
          <w:tcPr>
            <w:tcW w:type="dxa" w:w="1440"/>
            <w:shd w:val="clear" w:fill="F2F6FB"/>
          </w:tcPr>
          <w:p>
            <w:r/>
            <w:r>
              <w:rPr>
                <w:b w:val="0"/>
                <w:i w:val="0"/>
                <w:sz w:val="19"/>
              </w:rPr>
              <w:t>54%</w:t>
            </w:r>
          </w:p>
        </w:tc>
        <w:tc>
          <w:tcPr>
            <w:tcW w:type="dxa" w:w="4320"/>
            <w:shd w:val="clear" w:fill="F2F6FB"/>
          </w:tcPr>
          <w:p>
            <w:r/>
            <w:r>
              <w:rPr>
                <w:b w:val="0"/>
                <w:i w:val="0"/>
                <w:sz w:val="19"/>
              </w:rPr>
              <w:t>Anonymised models, methodology findings, reassuring nulls.</w:t>
            </w:r>
          </w:p>
        </w:tc>
      </w:tr>
      <w:tr>
        <w:tc>
          <w:tcPr>
            <w:tcW w:type="dxa" w:w="3168"/>
          </w:tcPr>
          <w:p>
            <w:r/>
            <w:r>
              <w:rPr>
                <w:b w:val="0"/>
                <w:i w:val="0"/>
                <w:sz w:val="19"/>
              </w:rPr>
              <w:t>Tier C — not concerning</w:t>
            </w:r>
          </w:p>
        </w:tc>
        <w:tc>
          <w:tcPr>
            <w:tcW w:type="dxa" w:w="864"/>
          </w:tcPr>
          <w:p>
            <w:r/>
            <w:r>
              <w:rPr>
                <w:b w:val="0"/>
                <w:i w:val="0"/>
                <w:sz w:val="19"/>
              </w:rPr>
              <w:t>105</w:t>
            </w:r>
          </w:p>
        </w:tc>
        <w:tc>
          <w:tcPr>
            <w:tcW w:type="dxa" w:w="1440"/>
          </w:tcPr>
          <w:p>
            <w:r/>
            <w:r>
              <w:rPr>
                <w:b w:val="0"/>
                <w:i w:val="0"/>
                <w:sz w:val="19"/>
              </w:rPr>
              <w:t>30%</w:t>
            </w:r>
          </w:p>
        </w:tc>
        <w:tc>
          <w:tcPr>
            <w:tcW w:type="dxa" w:w="4320"/>
          </w:tcPr>
          <w:p>
            <w:r/>
            <w:r>
              <w:rPr>
                <w:b w:val="0"/>
                <w:i w:val="0"/>
                <w:sz w:val="19"/>
              </w:rPr>
              <w:t>Excluded from the accountability analysis entirely.</w:t>
            </w:r>
          </w:p>
        </w:tc>
      </w:tr>
    </w:tbl>
    <w:p>
      <w:pPr>
        <w:spacing w:after="280"/>
        <w:jc w:val="left"/>
      </w:pPr>
      <w:r>
        <w:rPr>
          <w:b/>
          <w:color w:val="6B6B7B"/>
          <w:sz w:val="17"/>
        </w:rPr>
        <w:t xml:space="preserve">Table 2.  </w:t>
      </w:r>
      <w:r>
        <w:rPr>
          <w:i/>
          <w:color w:val="6B6B7B"/>
          <w:sz w:val="17"/>
        </w:rPr>
        <w:t>Only 16% of public findings name a party from whom a response could be expected. The three-tier taxonomy; anonymised findings are structurally unaccountable — nobody can be silent about a finding that names nobody. Data cutoff: 9 July 2026 (v9).</w:t>
      </w:r>
    </w:p>
    <w:p>
      <w:pPr>
        <w:pStyle w:val="Heading2"/>
      </w:pPr>
      <w:r>
        <w:rPr>
          <w:color w:val="1F4E79"/>
        </w:rPr>
        <w:t>3.3  Severity of risk: a three-model ensemble</w:t>
      </w:r>
    </w:p>
    <w:p>
      <w:pPr>
        <w:spacing w:after="160"/>
      </w:pPr>
      <w:r>
        <w:rPr>
          <w:b w:val="0"/>
          <w:i w:val="0"/>
          <w:sz w:val="21"/>
        </w:rPr>
        <w:t>One person applying a High/Medium/Low rubric puts a lot of weight on one coder's judgment, however careful. Instead, every finding's severity comes from three independently queried frontier models — Claude Sonnet 5, GPT-5.5, and Gemini 3.1 — each applying the same binary rubric: C1 ("alarming": a critical capability or safeguard failure demonstrated, mirroring the dangerous-capability domains in published frontier safety frameworks) or C2 ("not alarming"). Disagreement is resolved by majority vote, with the disagreement itself kept on the record rather than smoothed over. The full annotation prompt, including the seven capability domains (D1–D7) and their fixed decision boundaries, is reproduced in Appendix B.</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fill="1F4E79"/>
          </w:tcPr>
          <w:p>
            <w:r/>
            <w:r>
              <w:rPr>
                <w:b/>
                <w:i w:val="0"/>
                <w:color w:val="FFFFFF"/>
                <w:sz w:val="19"/>
              </w:rPr>
              <w:t>Subset</w:t>
            </w:r>
          </w:p>
        </w:tc>
        <w:tc>
          <w:tcPr>
            <w:tcW w:type="dxa" w:w="1152"/>
            <w:shd w:val="clear" w:fill="1F4E79"/>
          </w:tcPr>
          <w:p>
            <w:r/>
            <w:r>
              <w:rPr>
                <w:b/>
                <w:i w:val="0"/>
                <w:color w:val="FFFFFF"/>
                <w:sz w:val="19"/>
              </w:rPr>
              <w:t>n</w:t>
            </w:r>
          </w:p>
        </w:tc>
        <w:tc>
          <w:tcPr>
            <w:tcW w:type="dxa" w:w="1728"/>
            <w:shd w:val="clear" w:fill="1F4E79"/>
          </w:tcPr>
          <w:p>
            <w:r/>
            <w:r>
              <w:rPr>
                <w:b/>
                <w:i w:val="0"/>
                <w:color w:val="FFFFFF"/>
                <w:sz w:val="19"/>
              </w:rPr>
              <w:t>Unanimous</w:t>
            </w:r>
          </w:p>
        </w:tc>
        <w:tc>
          <w:tcPr>
            <w:tcW w:type="dxa" w:w="1152"/>
            <w:shd w:val="clear" w:fill="1F4E79"/>
          </w:tcPr>
          <w:p>
            <w:r/>
            <w:r>
              <w:rPr>
                <w:b/>
                <w:i w:val="0"/>
                <w:color w:val="FFFFFF"/>
                <w:sz w:val="19"/>
              </w:rPr>
              <w:t>Split</w:t>
            </w:r>
          </w:p>
        </w:tc>
        <w:tc>
          <w:tcPr>
            <w:tcW w:type="dxa" w:w="2304"/>
            <w:shd w:val="clear" w:fill="1F4E79"/>
          </w:tcPr>
          <w:p>
            <w:r/>
            <w:r>
              <w:rPr>
                <w:b/>
                <w:i w:val="0"/>
                <w:color w:val="FFFFFF"/>
                <w:sz w:val="19"/>
              </w:rPr>
              <w:t>Agreement rate</w:t>
            </w:r>
          </w:p>
        </w:tc>
      </w:tr>
      <w:tr>
        <w:tc>
          <w:tcPr>
            <w:tcW w:type="dxa" w:w="2304"/>
          </w:tcPr>
          <w:p>
            <w:r/>
            <w:r>
              <w:rPr>
                <w:b w:val="0"/>
                <w:i w:val="0"/>
                <w:sz w:val="19"/>
              </w:rPr>
              <w:t>All findings</w:t>
            </w:r>
          </w:p>
        </w:tc>
        <w:tc>
          <w:tcPr>
            <w:tcW w:type="dxa" w:w="1152"/>
          </w:tcPr>
          <w:p>
            <w:r/>
            <w:r>
              <w:rPr>
                <w:b w:val="0"/>
                <w:i w:val="0"/>
                <w:sz w:val="19"/>
              </w:rPr>
              <w:t>345</w:t>
            </w:r>
          </w:p>
        </w:tc>
        <w:tc>
          <w:tcPr>
            <w:tcW w:type="dxa" w:w="1728"/>
          </w:tcPr>
          <w:p>
            <w:r/>
            <w:r>
              <w:rPr>
                <w:b w:val="0"/>
                <w:i w:val="0"/>
                <w:sz w:val="19"/>
              </w:rPr>
              <w:t>311</w:t>
            </w:r>
          </w:p>
        </w:tc>
        <w:tc>
          <w:tcPr>
            <w:tcW w:type="dxa" w:w="1152"/>
          </w:tcPr>
          <w:p>
            <w:r/>
            <w:r>
              <w:rPr>
                <w:b w:val="0"/>
                <w:i w:val="0"/>
                <w:sz w:val="19"/>
              </w:rPr>
              <w:t>34</w:t>
            </w:r>
          </w:p>
        </w:tc>
        <w:tc>
          <w:tcPr>
            <w:tcW w:type="dxa" w:w="2304"/>
          </w:tcPr>
          <w:p>
            <w:r/>
            <w:r>
              <w:rPr>
                <w:b w:val="0"/>
                <w:i w:val="0"/>
                <w:sz w:val="19"/>
              </w:rPr>
              <w:t>90%</w:t>
            </w:r>
          </w:p>
        </w:tc>
      </w:tr>
      <w:tr>
        <w:tc>
          <w:tcPr>
            <w:tcW w:type="dxa" w:w="2304"/>
            <w:shd w:val="clear" w:fill="F2F6FB"/>
          </w:tcPr>
          <w:p>
            <w:r/>
            <w:r>
              <w:rPr>
                <w:b w:val="0"/>
                <w:i w:val="0"/>
                <w:sz w:val="19"/>
              </w:rPr>
              <w:t>Tier A only</w:t>
            </w:r>
          </w:p>
        </w:tc>
        <w:tc>
          <w:tcPr>
            <w:tcW w:type="dxa" w:w="1152"/>
            <w:shd w:val="clear" w:fill="F2F6FB"/>
          </w:tcPr>
          <w:p>
            <w:r/>
            <w:r>
              <w:rPr>
                <w:b w:val="0"/>
                <w:i w:val="0"/>
                <w:sz w:val="19"/>
              </w:rPr>
              <w:t>55</w:t>
            </w:r>
          </w:p>
        </w:tc>
        <w:tc>
          <w:tcPr>
            <w:tcW w:type="dxa" w:w="1728"/>
            <w:shd w:val="clear" w:fill="F2F6FB"/>
          </w:tcPr>
          <w:p>
            <w:r/>
            <w:r>
              <w:rPr>
                <w:b w:val="0"/>
                <w:i w:val="0"/>
                <w:sz w:val="19"/>
              </w:rPr>
              <w:t>49</w:t>
            </w:r>
          </w:p>
        </w:tc>
        <w:tc>
          <w:tcPr>
            <w:tcW w:type="dxa" w:w="1152"/>
            <w:shd w:val="clear" w:fill="F2F6FB"/>
          </w:tcPr>
          <w:p>
            <w:r/>
            <w:r>
              <w:rPr>
                <w:b w:val="0"/>
                <w:i w:val="0"/>
                <w:sz w:val="19"/>
              </w:rPr>
              <w:t>6</w:t>
            </w:r>
          </w:p>
        </w:tc>
        <w:tc>
          <w:tcPr>
            <w:tcW w:type="dxa" w:w="2304"/>
            <w:shd w:val="clear" w:fill="F2F6FB"/>
          </w:tcPr>
          <w:p>
            <w:r/>
            <w:r>
              <w:rPr>
                <w:b w:val="0"/>
                <w:i w:val="0"/>
                <w:sz w:val="19"/>
              </w:rPr>
              <w:t>89%</w:t>
            </w:r>
          </w:p>
        </w:tc>
      </w:tr>
    </w:tbl>
    <w:p>
      <w:pPr>
        <w:spacing w:after="280"/>
        <w:jc w:val="left"/>
      </w:pPr>
      <w:r>
        <w:rPr>
          <w:b/>
          <w:color w:val="6B6B7B"/>
          <w:sz w:val="17"/>
        </w:rPr>
        <w:t xml:space="preserve">Table 3.  </w:t>
      </w:r>
      <w:r>
        <w:rPr>
          <w:i/>
          <w:color w:val="6B6B7B"/>
          <w:sz w:val="17"/>
        </w:rPr>
        <w:t>The ensemble is near-unanimous: 311 of 345 findings (90%) received a 3–0 vote. Corpus-wide, the ensemble classified 112 findings C1 and 233 C2. Data cutoff: 9 July 2026 (v9).</w:t>
      </w:r>
    </w:p>
    <w:p>
      <w:pPr>
        <w:spacing w:after="160"/>
      </w:pPr>
      <w:r>
        <w:rPr>
          <w:b w:val="0"/>
          <w:i w:val="0"/>
          <w:sz w:val="21"/>
        </w:rPr>
        <w:t>Of the 34 non-unanimous rows, five reflect one model failing to return a valid vote (those were decided 2–0 among the remaining votes) and 29 are true 2–1 disagreements. GPT-5.5 was the most frequent dissenter (13 of the 29); only four true disagreements fall within Tier A. All 34 rows are listed with their votes in Appendix D — the cases a reasonable coder could contest are on the record, not smoothed over.</w:t>
      </w:r>
    </w:p>
    <w:tbl>
      <w:tblPr>
        <w:tblStyle w:val="TableGrid"/>
        <w:tblW w:type="auto" w:w="0"/>
        <w:tblLook w:firstColumn="1" w:firstRow="1" w:lastColumn="0" w:lastRow="0" w:noHBand="0" w:noVBand="1" w:val="04A0"/>
      </w:tblPr>
      <w:tblGrid>
        <w:gridCol w:w="9648"/>
      </w:tblGrid>
      <w:tr>
        <w:tc>
          <w:tcPr>
            <w:tcW w:type="dxa" w:w="9648"/>
            <w:shd w:val="clear" w:fill="EAF1F8"/>
          </w:tcPr>
          <w:p>
            <w:r/>
            <w:r>
              <w:rPr>
                <w:b/>
                <w:sz w:val="19"/>
              </w:rPr>
              <w:t xml:space="preserve">What a C1 classification can and cannot establish. </w:t>
            </w:r>
          </w:p>
          <w:p>
            <w:r>
              <w:rPr>
                <w:b/>
                <w:sz w:val="19"/>
              </w:rPr>
              <w:t xml:space="preserve">Can: </w:t>
            </w:r>
            <w:r>
              <w:rPr>
                <w:sz w:val="19"/>
              </w:rPr>
              <w:t>that the finding text, as published, demonstrates at least one of seven critical-capability domains (D1–D7) under fixed decision boundaries, as judged consistently by three independent models.</w:t>
            </w:r>
          </w:p>
          <w:p>
            <w:r>
              <w:rPr>
                <w:b/>
                <w:sz w:val="19"/>
              </w:rPr>
              <w:t xml:space="preserve">Cannot: </w:t>
            </w:r>
            <w:r>
              <w:rPr>
                <w:sz w:val="19"/>
              </w:rPr>
              <w:t>that real-world harm occurred; that the underlying evaluation was well designed or replicates; or anything about why the company did or did not respond. A C1 label is a structured reading of the published finding, not an audit of the evaluation behind it.</w:t>
            </w:r>
          </w:p>
        </w:tc>
      </w:tr>
    </w:tbl>
    <w:p/>
    <w:p>
      <w:pPr>
        <w:pStyle w:val="Heading2"/>
      </w:pPr>
      <w:r>
        <w:rPr>
          <w:color w:val="1F4E79"/>
        </w:rPr>
        <w:t>3.4  Response coding</w:t>
      </w:r>
    </w:p>
    <w:p>
      <w:pPr>
        <w:spacing w:after="160"/>
      </w:pPr>
      <w:r>
        <w:rPr>
          <w:b w:val="0"/>
          <w:i w:val="0"/>
          <w:sz w:val="21"/>
        </w:rPr>
        <w:t>For each Tier A finding, we searched the public record across two response channels, plus a third channel used as a robustness check:</w:t>
      </w:r>
    </w:p>
    <w:p>
      <w:pPr>
        <w:pStyle w:val="ListBullet"/>
      </w:pPr>
      <w:r>
        <w:rPr>
          <w:b/>
          <w:sz w:val="21"/>
        </w:rPr>
        <w:t>Company (Channel A).</w:t>
      </w:r>
      <w:r>
        <w:rPr>
          <w:sz w:val="21"/>
        </w:rPr>
        <w:t xml:space="preserve"> Did the company publish a specific, attributable mitigation, model change, or deployment restriction? Coded Substantive (specific, documented, attributed change), Partial (claimed but not independently verifiable, or documented but incomplete), Acknowledged (referenced with no specific action), or None (no company statement located anywhere). "The next model card" means any subsequent model card or release note published after the finding.</w:t>
      </w:r>
    </w:p>
    <w:p>
      <w:pPr>
        <w:pStyle w:val="ListBullet"/>
      </w:pPr>
      <w:r>
        <w:rPr>
          <w:b/>
          <w:sz w:val="21"/>
        </w:rPr>
        <w:t>Policy (Channel B).</w:t>
      </w:r>
      <w:r>
        <w:rPr>
          <w:sz w:val="21"/>
        </w:rPr>
        <w:t xml:space="preserve"> Did the finding appear in legislation, a binding regulatory order, an official government statement, formal guidance, or a parliamentary/congressional record? Coded Binding requirement, National/ministerial statement, In guidance, Cited, or None — where a government statement maps to Cited, legislation or a regulatory order to Binding, and advisory guidance to In guidance.</w:t>
      </w:r>
    </w:p>
    <w:p>
      <w:pPr>
        <w:pStyle w:val="ListBullet"/>
      </w:pPr>
      <w:r>
        <w:rPr>
          <w:b/>
          <w:sz w:val="21"/>
        </w:rPr>
        <w:t>Public traction (Channel C).</w:t>
      </w:r>
      <w:r>
        <w:rPr>
          <w:sz w:val="21"/>
        </w:rPr>
        <w:t xml:space="preserve"> Independent of whether the company or a policymaker responded, did the finding reach anyone outside the institute that published it? Coded as a Traction Score (Low / Medium / High) from three logged source types — media coverage, academic citations, and notable social/community discussion — with the supporting outlet, citation, or thread recorded for every row. High requires mainstream-press coverage or substantial confirmed academic citation; Medium, trade-press or limited academic pickup; Low, nothing located beyond the publishing institute. This channel does not measure response; it measures whether "nobody responded" could be explained away as "nobody heard about it" (Section 4.5).</w:t>
      </w:r>
    </w:p>
    <w:p>
      <w:pPr>
        <w:spacing w:after="160"/>
      </w:pPr>
      <w:r>
        <w:rPr>
          <w:b w:val="0"/>
          <w:i w:val="0"/>
          <w:sz w:val="21"/>
        </w:rPr>
        <w:t>We separately record Attribution — did the company explicitly credit the finding, or did the action merely coincide in time and topic with no stated causal link? "The company did something around the same time" and "the company did this because of the finding" are different claims, and Section 4's tables do not blur them. Response lag in days is recorded where a response exists; a lag of 0 denotes a pre-coordinated disclosure, where finding and response were published together.</w:t>
      </w:r>
    </w:p>
    <w:p>
      <w:pPr>
        <w:pStyle w:val="Heading2"/>
      </w:pPr>
      <w:r>
        <w:rPr>
          <w:color w:val="1F4E79"/>
        </w:rPr>
        <w:t>3.5  Proportionality coding</w:t>
      </w:r>
    </w:p>
    <w:p>
      <w:pPr>
        <w:spacing w:after="160"/>
      </w:pPr>
      <w:r>
        <w:rPr>
          <w:b w:val="0"/>
          <w:i w:val="0"/>
          <w:sz w:val="21"/>
        </w:rPr>
        <w:t>Each Tier A finding receives one of four proportionality outcomes, assigned mechanically from the severity and Channel A codes rather than case-by-case judgment: Accountability gap (an alarming C1 finding with no located company response); Under-response (a C1 finding drawing only a Partial or Acknowledged company response); Proportionate (a C1 finding drawing a Substantive response — or a C2 finding drawing no response, since none was owed); and Too recent to judge (published close enough to the July 2026 corpus cutoff that a response may not yet be visible). Proportionality is deliberately computed on the company channel alone: a policy-record appearance (Channel B) is reported separately in Section 5.3 and does not substitute for a company response — three of the 23 gap rows drew ministerial or regulatory attention while the company itself stayed silent, which sharpens rather than softens the gap. This mechanical construction means the headline numbers in Section 4 cannot be quietly shaped by coder discretion at the proportionality stage; discretion enters only at severity (handled by the ensemble) and at channel coding.</w:t>
      </w:r>
    </w:p>
    <w:p>
      <w:pPr>
        <w:pStyle w:val="Heading1"/>
      </w:pPr>
      <w:r>
        <w:rPr>
          <w:color w:val="1F4E79"/>
        </w:rPr>
        <w:t>4  What the Record Shows</w:t>
      </w:r>
    </w:p>
    <w:p>
      <w:pPr>
        <w:pStyle w:val="Heading2"/>
      </w:pPr>
      <w:r>
        <w:rPr>
          <w:color w:val="1F4E79"/>
        </w:rPr>
        <w:t>4.1  73% of alarming findings drew no or an inadequate response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1F4E79"/>
          </w:tcPr>
          <w:p>
            <w:r/>
            <w:r>
              <w:rPr>
                <w:b/>
                <w:i w:val="0"/>
                <w:color w:val="FFFFFF"/>
                <w:sz w:val="19"/>
              </w:rPr>
              <w:t>Outcome</w:t>
            </w:r>
          </w:p>
        </w:tc>
        <w:tc>
          <w:tcPr>
            <w:tcW w:type="dxa" w:w="1296"/>
            <w:shd w:val="clear" w:fill="1F4E79"/>
          </w:tcPr>
          <w:p>
            <w:r/>
            <w:r>
              <w:rPr>
                <w:b/>
                <w:i w:val="0"/>
                <w:color w:val="FFFFFF"/>
                <w:sz w:val="19"/>
              </w:rPr>
              <w:t>n / 44 C1</w:t>
            </w:r>
          </w:p>
        </w:tc>
        <w:tc>
          <w:tcPr>
            <w:tcW w:type="dxa" w:w="1296"/>
            <w:shd w:val="clear" w:fill="1F4E79"/>
          </w:tcPr>
          <w:p>
            <w:r/>
            <w:r>
              <w:rPr>
                <w:b/>
                <w:i w:val="0"/>
                <w:color w:val="FFFFFF"/>
                <w:sz w:val="19"/>
              </w:rPr>
              <w:t>% of C1</w:t>
            </w:r>
          </w:p>
        </w:tc>
        <w:tc>
          <w:tcPr>
            <w:tcW w:type="dxa" w:w="4320"/>
            <w:shd w:val="clear" w:fill="1F4E79"/>
          </w:tcPr>
          <w:p>
            <w:r/>
            <w:r>
              <w:rPr>
                <w:b/>
                <w:i w:val="0"/>
                <w:color w:val="FFFFFF"/>
                <w:sz w:val="19"/>
              </w:rPr>
              <w:t>What it means</w:t>
            </w:r>
          </w:p>
        </w:tc>
      </w:tr>
      <w:tr>
        <w:tc>
          <w:tcPr>
            <w:tcW w:type="dxa" w:w="2880"/>
            <w:shd w:val="clear" w:fill="F5DBD5"/>
          </w:tcPr>
          <w:p>
            <w:r/>
            <w:r>
              <w:rPr>
                <w:b w:val="0"/>
                <w:i w:val="0"/>
                <w:sz w:val="19"/>
              </w:rPr>
              <w:t>Accountability gap (no action)</w:t>
            </w:r>
          </w:p>
        </w:tc>
        <w:tc>
          <w:tcPr>
            <w:tcW w:type="dxa" w:w="1296"/>
            <w:shd w:val="clear" w:fill="F5DBD5"/>
          </w:tcPr>
          <w:p>
            <w:r/>
            <w:r>
              <w:rPr>
                <w:b w:val="0"/>
                <w:i w:val="0"/>
                <w:sz w:val="19"/>
              </w:rPr>
              <w:t>23</w:t>
            </w:r>
          </w:p>
        </w:tc>
        <w:tc>
          <w:tcPr>
            <w:tcW w:type="dxa" w:w="1296"/>
            <w:shd w:val="clear" w:fill="F5DBD5"/>
          </w:tcPr>
          <w:p>
            <w:r/>
            <w:r>
              <w:rPr>
                <w:b w:val="0"/>
                <w:i w:val="0"/>
                <w:sz w:val="19"/>
              </w:rPr>
              <w:t>52%</w:t>
            </w:r>
          </w:p>
        </w:tc>
        <w:tc>
          <w:tcPr>
            <w:tcW w:type="dxa" w:w="4320"/>
            <w:shd w:val="clear" w:fill="F5DBD5"/>
          </w:tcPr>
          <w:p>
            <w:r/>
            <w:r>
              <w:rPr>
                <w:b w:val="0"/>
                <w:i w:val="0"/>
                <w:sz w:val="19"/>
              </w:rPr>
              <w:t>Alarming finding, named company, total silence from the company — the purest form of the gap.</w:t>
            </w:r>
          </w:p>
        </w:tc>
      </w:tr>
      <w:tr>
        <w:tc>
          <w:tcPr>
            <w:tcW w:type="dxa" w:w="2880"/>
            <w:shd w:val="clear" w:fill="FBEAD1"/>
          </w:tcPr>
          <w:p>
            <w:r/>
            <w:r>
              <w:rPr>
                <w:b w:val="0"/>
                <w:i w:val="0"/>
                <w:sz w:val="19"/>
              </w:rPr>
              <w:t>Under-response (partial / acknowledged)</w:t>
            </w:r>
          </w:p>
        </w:tc>
        <w:tc>
          <w:tcPr>
            <w:tcW w:type="dxa" w:w="1296"/>
            <w:shd w:val="clear" w:fill="FBEAD1"/>
          </w:tcPr>
          <w:p>
            <w:r/>
            <w:r>
              <w:rPr>
                <w:b w:val="0"/>
                <w:i w:val="0"/>
                <w:sz w:val="19"/>
              </w:rPr>
              <w:t>9</w:t>
            </w:r>
          </w:p>
        </w:tc>
        <w:tc>
          <w:tcPr>
            <w:tcW w:type="dxa" w:w="1296"/>
            <w:shd w:val="clear" w:fill="FBEAD1"/>
          </w:tcPr>
          <w:p>
            <w:r/>
            <w:r>
              <w:rPr>
                <w:b w:val="0"/>
                <w:i w:val="0"/>
                <w:sz w:val="19"/>
              </w:rPr>
              <w:t>20%</w:t>
            </w:r>
          </w:p>
        </w:tc>
        <w:tc>
          <w:tcPr>
            <w:tcW w:type="dxa" w:w="4320"/>
            <w:shd w:val="clear" w:fill="FBEAD1"/>
          </w:tcPr>
          <w:p>
            <w:r/>
            <w:r>
              <w:rPr>
                <w:b w:val="0"/>
                <w:i w:val="0"/>
                <w:sz w:val="19"/>
              </w:rPr>
              <w:t>The company said something; nothing verifiable or complete.</w:t>
            </w:r>
          </w:p>
        </w:tc>
      </w:tr>
      <w:tr>
        <w:tc>
          <w:tcPr>
            <w:tcW w:type="dxa" w:w="2880"/>
            <w:shd w:val="clear" w:fill="DCEFE7"/>
          </w:tcPr>
          <w:p>
            <w:r/>
            <w:r>
              <w:rPr>
                <w:b w:val="0"/>
                <w:i w:val="0"/>
                <w:sz w:val="19"/>
              </w:rPr>
              <w:t>Proportionate</w:t>
            </w:r>
          </w:p>
        </w:tc>
        <w:tc>
          <w:tcPr>
            <w:tcW w:type="dxa" w:w="1296"/>
            <w:shd w:val="clear" w:fill="DCEFE7"/>
          </w:tcPr>
          <w:p>
            <w:r/>
            <w:r>
              <w:rPr>
                <w:b w:val="0"/>
                <w:i w:val="0"/>
                <w:sz w:val="19"/>
              </w:rPr>
              <w:t>11</w:t>
            </w:r>
          </w:p>
        </w:tc>
        <w:tc>
          <w:tcPr>
            <w:tcW w:type="dxa" w:w="1296"/>
            <w:shd w:val="clear" w:fill="DCEFE7"/>
          </w:tcPr>
          <w:p>
            <w:r/>
            <w:r>
              <w:rPr>
                <w:b w:val="0"/>
                <w:i w:val="0"/>
                <w:sz w:val="19"/>
              </w:rPr>
              <w:t>25%</w:t>
            </w:r>
          </w:p>
        </w:tc>
        <w:tc>
          <w:tcPr>
            <w:tcW w:type="dxa" w:w="4320"/>
            <w:shd w:val="clear" w:fill="DCEFE7"/>
          </w:tcPr>
          <w:p>
            <w:r/>
            <w:r>
              <w:rPr>
                <w:b w:val="0"/>
                <w:i w:val="0"/>
                <w:sz w:val="19"/>
              </w:rPr>
              <w:t>A specific, documented, attributed fix.</w:t>
            </w:r>
          </w:p>
        </w:tc>
      </w:tr>
      <w:tr>
        <w:tc>
          <w:tcPr>
            <w:tcW w:type="dxa" w:w="2880"/>
            <w:shd w:val="clear" w:fill="EDEDF1"/>
          </w:tcPr>
          <w:p>
            <w:r/>
            <w:r>
              <w:rPr>
                <w:b w:val="0"/>
                <w:i w:val="0"/>
                <w:sz w:val="19"/>
              </w:rPr>
              <w:t>Too recent (unobservable)</w:t>
            </w:r>
          </w:p>
        </w:tc>
        <w:tc>
          <w:tcPr>
            <w:tcW w:type="dxa" w:w="1296"/>
            <w:shd w:val="clear" w:fill="EDEDF1"/>
          </w:tcPr>
          <w:p>
            <w:r/>
            <w:r>
              <w:rPr>
                <w:b w:val="0"/>
                <w:i w:val="0"/>
                <w:sz w:val="19"/>
              </w:rPr>
              <w:t>1</w:t>
            </w:r>
          </w:p>
        </w:tc>
        <w:tc>
          <w:tcPr>
            <w:tcW w:type="dxa" w:w="1296"/>
            <w:shd w:val="clear" w:fill="EDEDF1"/>
          </w:tcPr>
          <w:p>
            <w:r/>
            <w:r>
              <w:rPr>
                <w:b w:val="0"/>
                <w:i w:val="0"/>
                <w:sz w:val="19"/>
              </w:rPr>
              <w:t>2%</w:t>
            </w:r>
          </w:p>
        </w:tc>
        <w:tc>
          <w:tcPr>
            <w:tcW w:type="dxa" w:w="4320"/>
            <w:shd w:val="clear" w:fill="EDEDF1"/>
          </w:tcPr>
          <w:p>
            <w:r/>
            <w:r>
              <w:rPr>
                <w:b w:val="0"/>
                <w:i w:val="0"/>
                <w:sz w:val="19"/>
              </w:rPr>
              <w:t>Published close enough to July 2026 that a response may not exist in the record yet.</w:t>
            </w:r>
          </w:p>
        </w:tc>
      </w:tr>
      <w:tr>
        <w:tc>
          <w:tcPr>
            <w:tcW w:type="dxa" w:w="2880"/>
            <w:shd w:val="clear" w:fill="F5DBD5"/>
          </w:tcPr>
          <w:p>
            <w:r/>
            <w:r>
              <w:rPr>
                <w:b/>
                <w:i w:val="0"/>
                <w:color w:val="B03525"/>
                <w:sz w:val="19"/>
              </w:rPr>
              <w:t>Gap total (rows 1 + 2)</w:t>
            </w:r>
          </w:p>
        </w:tc>
        <w:tc>
          <w:tcPr>
            <w:tcW w:type="dxa" w:w="1296"/>
            <w:shd w:val="clear" w:fill="F5DBD5"/>
          </w:tcPr>
          <w:p>
            <w:r/>
            <w:r>
              <w:rPr>
                <w:b/>
                <w:i w:val="0"/>
                <w:color w:val="B03525"/>
                <w:sz w:val="19"/>
              </w:rPr>
              <w:t>32</w:t>
            </w:r>
          </w:p>
        </w:tc>
        <w:tc>
          <w:tcPr>
            <w:tcW w:type="dxa" w:w="1296"/>
            <w:shd w:val="clear" w:fill="F5DBD5"/>
          </w:tcPr>
          <w:p>
            <w:r/>
            <w:r>
              <w:rPr>
                <w:b/>
                <w:i w:val="0"/>
                <w:color w:val="B03525"/>
                <w:sz w:val="19"/>
              </w:rPr>
              <w:t>73%</w:t>
            </w:r>
          </w:p>
        </w:tc>
        <w:tc>
          <w:tcPr>
            <w:tcW w:type="dxa" w:w="4320"/>
            <w:shd w:val="clear" w:fill="F5DBD5"/>
          </w:tcPr>
          <w:p>
            <w:r/>
            <w:r>
              <w:rPr>
                <w:b/>
                <w:i w:val="0"/>
                <w:color w:val="B03525"/>
                <w:sz w:val="19"/>
              </w:rPr>
              <w:t>The number this paper treats as its central result.</w:t>
            </w:r>
          </w:p>
        </w:tc>
      </w:tr>
    </w:tbl>
    <w:p>
      <w:pPr>
        <w:spacing w:after="280"/>
        <w:jc w:val="left"/>
      </w:pPr>
      <w:r>
        <w:rPr>
          <w:b/>
          <w:color w:val="6B6B7B"/>
          <w:sz w:val="17"/>
        </w:rPr>
        <w:t xml:space="preserve">Table 4.  </w:t>
      </w:r>
      <w:r>
        <w:rPr>
          <w:i/>
          <w:color w:val="6B6B7B"/>
          <w:sz w:val="17"/>
        </w:rPr>
        <w:t>The accountability gap in full: 32 of 44 alarming Tier A findings drew no response or an inadequate one. Raw Action Level across all 55 Tier A findings (C1 + C2): None 32, Acknowledged 5, Partial 5, Substantive 13 — reported separately, since a C2 "None" is not a gap; the 11 C2 Tier A findings all drew responses consistent with their severity and are coded Proportionate. See Figure 1 for the same distribution drawn to scale. Data cutoff: 9 July 2026 (v9).</w:t>
      </w:r>
    </w:p>
    <w:p>
      <w:pPr>
        <w:spacing w:after="160"/>
      </w:pPr>
      <w:r>
        <w:rPr>
          <w:b w:val="0"/>
          <w:i w:val="0"/>
          <w:sz w:val="21"/>
        </w:rPr>
        <w:t>Restricted to alarming findings — the comparison that actually matters — 32 of 44 (73%; Wilson 95% CI 58–84%) got either no response or an inadequate one. That combined figure, not the raw 58% no-response rate across all 55 Tier A findings, is this paper's central result: because it is computed only over findings the ensemble independently classified as alarming, it cannot be inflated or deflated by how many non-alarming findings happen to land in the corpus in a given stretch.</w:t>
      </w:r>
    </w:p>
    <w:p>
      <w:pPr>
        <w:spacing w:after="160"/>
      </w:pPr>
      <w:r>
        <w:rPr>
          <w:b/>
          <w:i w:val="0"/>
          <w:sz w:val="21"/>
        </w:rPr>
        <w:t xml:space="preserve">Conclusion. </w:t>
      </w:r>
      <w:r>
        <w:rPr>
          <w:b w:val="0"/>
          <w:i w:val="0"/>
          <w:sz w:val="21"/>
        </w:rPr>
        <w:t>73% of alarming, accountability-relevant findings show no adequate company response in the public record — the accountability gap.</w:t>
      </w:r>
    </w:p>
    <w:p>
      <w:pPr>
        <w:pStyle w:val="Heading2"/>
      </w:pPr>
      <w:r>
        <w:rPr>
          <w:color w:val="1F4E79"/>
        </w:rPr>
        <w:t>4.2  The severity–response gap</w:t>
      </w:r>
    </w:p>
    <w:p>
      <w:pPr>
        <w:spacing w:after="160"/>
      </w:pPr>
      <w:r>
        <w:rPr>
          <w:b w:val="0"/>
          <w:i w:val="0"/>
          <w:sz w:val="21"/>
        </w:rPr>
        <w:t>The five cases below are explicitly illustrative — selected to span the range from total silence to substantive response, not a representative sample. The response column is sourced-only by design: where no reason for silence is stated in any source, none is inferred.</w:t>
      </w:r>
    </w:p>
    <w:tbl>
      <w:tblPr>
        <w:tblStyle w:val="TableGrid"/>
        <w:tblW w:type="auto" w:w="0"/>
        <w:jc w:val="center"/>
        <w:tblLook w:firstColumn="1" w:firstRow="1" w:lastColumn="0" w:lastRow="0" w:noHBand="0" w:noVBand="1" w:val="04A0"/>
      </w:tblPr>
      <w:tblGrid>
        <w:gridCol w:w="3216"/>
        <w:gridCol w:w="3216"/>
        <w:gridCol w:w="3216"/>
      </w:tblGrid>
      <w:tr>
        <w:tc>
          <w:tcPr>
            <w:tcW w:type="dxa" w:w="5184"/>
            <w:shd w:val="clear" w:fill="1F4E79"/>
          </w:tcPr>
          <w:p>
            <w:r/>
            <w:r>
              <w:rPr>
                <w:b/>
                <w:i w:val="0"/>
                <w:color w:val="FFFFFF"/>
                <w:sz w:val="19"/>
              </w:rPr>
              <w:t>Finding</w:t>
            </w:r>
          </w:p>
        </w:tc>
        <w:tc>
          <w:tcPr>
            <w:tcW w:type="dxa" w:w="1008"/>
            <w:shd w:val="clear" w:fill="1F4E79"/>
          </w:tcPr>
          <w:p>
            <w:r/>
            <w:r>
              <w:rPr>
                <w:b/>
                <w:i w:val="0"/>
                <w:color w:val="FFFFFF"/>
                <w:sz w:val="19"/>
              </w:rPr>
              <w:t>Severity</w:t>
            </w:r>
          </w:p>
        </w:tc>
        <w:tc>
          <w:tcPr>
            <w:tcW w:type="dxa" w:w="3600"/>
            <w:shd w:val="clear" w:fill="1F4E79"/>
          </w:tcPr>
          <w:p>
            <w:r/>
            <w:r>
              <w:rPr>
                <w:b/>
                <w:i w:val="0"/>
                <w:color w:val="FFFFFF"/>
                <w:sz w:val="19"/>
              </w:rPr>
              <w:t>Response</w:t>
            </w:r>
          </w:p>
        </w:tc>
      </w:tr>
      <w:tr>
        <w:tc>
          <w:tcPr>
            <w:tcW w:type="dxa" w:w="5184"/>
            <w:shd w:val="clear" w:fill="F5DBD5"/>
          </w:tcPr>
          <w:p>
            <w:r/>
            <w:r>
              <w:rPr>
                <w:b w:val="0"/>
                <w:i w:val="0"/>
                <w:sz w:val="19"/>
              </w:rPr>
              <w:t>AgentHarm found six separate frontier models (GPT-4o, GPT-4o mini, GPT-3.5 Turbo, Claude 3.5 Sonnet, Gemini 1.5 Pro, Mistral Large 2) complying with malicious agentic requests at high rates — three by default (Mistral Large 2 refusing just 1.1%, GPT-3.5 Turbo 0.8%) and three under a simple universal jailbreak template</w:t>
            </w:r>
          </w:p>
        </w:tc>
        <w:tc>
          <w:tcPr>
            <w:tcW w:type="dxa" w:w="1008"/>
            <w:shd w:val="clear" w:fill="F5DBD5"/>
          </w:tcPr>
          <w:p>
            <w:r/>
            <w:r>
              <w:rPr>
                <w:b w:val="0"/>
                <w:i w:val="0"/>
                <w:sz w:val="19"/>
              </w:rPr>
              <w:t>C1</w:t>
            </w:r>
          </w:p>
        </w:tc>
        <w:tc>
          <w:tcPr>
            <w:tcW w:type="dxa" w:w="3600"/>
            <w:shd w:val="clear" w:fill="F5DBD5"/>
          </w:tcPr>
          <w:p>
            <w:r/>
            <w:r>
              <w:rPr>
                <w:b w:val="0"/>
                <w:i w:val="0"/>
                <w:sz w:val="19"/>
              </w:rPr>
              <w:t>None — all six model rows are coded None (four developers: OpenAI, Anthropic, Google, Mistral)</w:t>
            </w:r>
          </w:p>
        </w:tc>
      </w:tr>
      <w:tr>
        <w:tc>
          <w:tcPr>
            <w:tcW w:type="dxa" w:w="5184"/>
            <w:shd w:val="clear" w:fill="F5DBD5"/>
          </w:tcPr>
          <w:p>
            <w:r/>
            <w:r>
              <w:rPr>
                <w:b w:val="0"/>
                <w:i w:val="0"/>
                <w:sz w:val="19"/>
              </w:rPr>
              <w:t>The "STACK" staged-attack research showed multi-component LLM safeguard pipelines can be bypassed even when each individual component looks robust (71% attack success, black-box)</w:t>
            </w:r>
          </w:p>
        </w:tc>
        <w:tc>
          <w:tcPr>
            <w:tcW w:type="dxa" w:w="1008"/>
            <w:shd w:val="clear" w:fill="F5DBD5"/>
          </w:tcPr>
          <w:p>
            <w:r/>
            <w:r>
              <w:rPr>
                <w:b w:val="0"/>
                <w:i w:val="0"/>
                <w:sz w:val="19"/>
              </w:rPr>
              <w:t>C1</w:t>
            </w:r>
          </w:p>
        </w:tc>
        <w:tc>
          <w:tcPr>
            <w:tcW w:type="dxa" w:w="3600"/>
            <w:shd w:val="clear" w:fill="F5DBD5"/>
          </w:tcPr>
          <w:p>
            <w:r/>
            <w:r>
              <w:rPr>
                <w:b w:val="0"/>
                <w:i w:val="0"/>
                <w:sz w:val="19"/>
              </w:rPr>
              <w:t>Aggregate row sits in Tier B; the two named production-pipeline findings it produced (GPT-5, Claude Opus 4) are Tier A and both coded None</w:t>
            </w:r>
          </w:p>
        </w:tc>
      </w:tr>
      <w:tr>
        <w:tc>
          <w:tcPr>
            <w:tcW w:type="dxa" w:w="5184"/>
            <w:shd w:val="clear" w:fill="EDEDF1"/>
          </w:tcPr>
          <w:p>
            <w:r/>
            <w:r>
              <w:rPr>
                <w:b w:val="0"/>
                <w:i w:val="0"/>
                <w:sz w:val="19"/>
              </w:rPr>
              <w:t>Sandbagging-detection research: white-box deception probes worked on Llama-3.1-8B but both white-box and black-box detection methods failed to generalise to larger models and across sandbagging strategies</w:t>
            </w:r>
          </w:p>
        </w:tc>
        <w:tc>
          <w:tcPr>
            <w:tcW w:type="dxa" w:w="1008"/>
            <w:shd w:val="clear" w:fill="EDEDF1"/>
          </w:tcPr>
          <w:p>
            <w:r/>
            <w:r>
              <w:rPr>
                <w:b w:val="0"/>
                <w:i w:val="0"/>
                <w:sz w:val="19"/>
              </w:rPr>
              <w:t>C2 (non-frontier scope)</w:t>
            </w:r>
          </w:p>
        </w:tc>
        <w:tc>
          <w:tcPr>
            <w:tcW w:type="dxa" w:w="3600"/>
            <w:shd w:val="clear" w:fill="EDEDF1"/>
          </w:tcPr>
          <w:p>
            <w:r/>
            <w:r>
              <w:rPr>
                <w:b w:val="0"/>
                <w:i w:val="0"/>
                <w:sz w:val="19"/>
              </w:rPr>
              <w:t>Not in Tier A (no single accountable party)</w:t>
            </w:r>
          </w:p>
        </w:tc>
      </w:tr>
      <w:tr>
        <w:tc>
          <w:tcPr>
            <w:tcW w:type="dxa" w:w="5184"/>
            <w:shd w:val="clear" w:fill="DCEFE7"/>
          </w:tcPr>
          <w:p>
            <w:r/>
            <w:r>
              <w:rPr>
                <w:b w:val="0"/>
                <w:i w:val="0"/>
                <w:sz w:val="19"/>
              </w:rPr>
              <w:t>SecureBio's biosecurity assessment of GPT-5.5 pre-release checkpoints, which scored highest of any model tested on several biosecurity benchmarks</w:t>
            </w:r>
          </w:p>
        </w:tc>
        <w:tc>
          <w:tcPr>
            <w:tcW w:type="dxa" w:w="1008"/>
            <w:shd w:val="clear" w:fill="DCEFE7"/>
          </w:tcPr>
          <w:p>
            <w:r/>
            <w:r>
              <w:rPr>
                <w:b w:val="0"/>
                <w:i w:val="0"/>
                <w:sz w:val="19"/>
              </w:rPr>
              <w:t>C1</w:t>
            </w:r>
          </w:p>
        </w:tc>
        <w:tc>
          <w:tcPr>
            <w:tcW w:type="dxa" w:w="3600"/>
            <w:shd w:val="clear" w:fill="DCEFE7"/>
          </w:tcPr>
          <w:p>
            <w:r/>
            <w:r>
              <w:rPr>
                <w:b w:val="0"/>
                <w:i w:val="0"/>
                <w:sz w:val="19"/>
              </w:rPr>
              <w:t>Substantive — factored directly into OpenAI's "High capability" Preparedness Framework designation and associated deployment safeguards</w:t>
            </w:r>
          </w:p>
        </w:tc>
      </w:tr>
      <w:tr>
        <w:tc>
          <w:tcPr>
            <w:tcW w:type="dxa" w:w="5184"/>
            <w:shd w:val="clear" w:fill="DCEFE7"/>
          </w:tcPr>
          <w:p>
            <w:r/>
            <w:r>
              <w:rPr>
                <w:b w:val="0"/>
                <w:i w:val="0"/>
                <w:sz w:val="19"/>
              </w:rPr>
              <w:t>GPT-5.5 pre-release checkpoints' full battery of SecureBio biosecurity scores (VCT, MBCT, HPCT, WCB) with a 23% refusal rate on screening-evasion prompts</w:t>
            </w:r>
          </w:p>
        </w:tc>
        <w:tc>
          <w:tcPr>
            <w:tcW w:type="dxa" w:w="1008"/>
            <w:shd w:val="clear" w:fill="DCEFE7"/>
          </w:tcPr>
          <w:p>
            <w:r/>
            <w:r>
              <w:rPr>
                <w:b w:val="0"/>
                <w:i w:val="0"/>
                <w:sz w:val="19"/>
              </w:rPr>
              <w:t>C2</w:t>
            </w:r>
          </w:p>
        </w:tc>
        <w:tc>
          <w:tcPr>
            <w:tcW w:type="dxa" w:w="3600"/>
            <w:shd w:val="clear" w:fill="DCEFE7"/>
          </w:tcPr>
          <w:p>
            <w:r/>
            <w:r>
              <w:rPr>
                <w:b w:val="0"/>
                <w:i w:val="0"/>
                <w:sz w:val="19"/>
              </w:rPr>
              <w:t>Substantive — same Preparedness Framework designation</w:t>
            </w:r>
          </w:p>
        </w:tc>
      </w:tr>
    </w:tbl>
    <w:p>
      <w:pPr>
        <w:spacing w:after="280"/>
        <w:jc w:val="left"/>
      </w:pPr>
      <w:r>
        <w:rPr>
          <w:b/>
          <w:color w:val="6B6B7B"/>
          <w:sz w:val="17"/>
        </w:rPr>
        <w:t xml:space="preserve">Table 5.  </w:t>
      </w:r>
      <w:r>
        <w:rPr>
          <w:i/>
          <w:color w:val="6B6B7B"/>
          <w:sz w:val="17"/>
        </w:rPr>
        <w:t>Severity does not buy a response: the severe-and-ignored coexist with substantive responses to milder findings under coordinated pre-release evaluation. Illustrative cases spanning the range — not a representative sample; three of five rows carry no stated reason for the response level in any source, and none is inferred here. Data cutoff: 9 July 2026 (v9).</w:t>
      </w:r>
    </w:p>
    <w:p>
      <w:pPr>
        <w:spacing w:after="160"/>
      </w:pPr>
      <w:r>
        <w:rPr>
          <w:b/>
          <w:i w:val="0"/>
          <w:sz w:val="21"/>
        </w:rPr>
        <w:t xml:space="preserve">Conclusion. </w:t>
      </w:r>
      <w:r>
        <w:rPr>
          <w:b w:val="0"/>
          <w:i w:val="0"/>
          <w:sz w:val="21"/>
        </w:rPr>
        <w:t>Severity alone does not predict response; what the responded-to cases share is not seriousness but circumstance — Section 4.3 names it.</w:t>
      </w:r>
    </w:p>
    <w:p>
      <w:pPr>
        <w:pStyle w:val="Heading2"/>
      </w:pPr>
      <w:r>
        <w:rPr>
          <w:color w:val="1F4E79"/>
        </w:rPr>
        <w:t>4.3  Pre-deployment findings are five times more likely to draw a substantive response</w:t>
      </w:r>
    </w:p>
    <w:p>
      <w:pPr>
        <w:jc w:val="center"/>
        <w:shd w:val="clear" w:fill="EAF1F8"/>
      </w:pPr>
      <w:r>
        <w:rPr>
          <w:b/>
          <w:color w:val="1F4E79"/>
          <w:sz w:val="20"/>
        </w:rPr>
        <w:t>[ Figure 5 — file: fig5_prepost.png in Desktop/evaluating-the-evaluators-figures ]</w:t>
      </w:r>
    </w:p>
    <w:p>
      <w:pPr>
        <w:spacing w:after="280"/>
        <w:jc w:val="left"/>
      </w:pPr>
      <w:r>
        <w:rPr>
          <w:b/>
          <w:color w:val="6B6B7B"/>
          <w:sz w:val="17"/>
        </w:rPr>
        <w:t xml:space="preserve">Figure 5.  </w:t>
      </w:r>
      <w:r>
        <w:rPr>
          <w:i/>
          <w:color w:val="6B6B7B"/>
          <w:sz w:val="17"/>
        </w:rPr>
        <w:t>Pre-deployment access quintuples the substantive-response rate. Substantive responses by access type among Tier A findings: pre-deployment 8/22; post-deployment 2/27. Mixed (n = 4) and Aggregate (n = 2, not shown) are included for completeness, not as independent evidence. Data cutoff: 9 July 2026 (v9).</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4E79"/>
          </w:tcPr>
          <w:p>
            <w:r/>
            <w:r>
              <w:rPr>
                <w:b/>
                <w:i w:val="0"/>
                <w:color w:val="FFFFFF"/>
                <w:sz w:val="19"/>
              </w:rPr>
              <w:t>Access regime (Tier A)</w:t>
            </w:r>
          </w:p>
        </w:tc>
        <w:tc>
          <w:tcPr>
            <w:tcW w:type="dxa" w:w="1008"/>
            <w:shd w:val="clear" w:fill="1F4E79"/>
          </w:tcPr>
          <w:p>
            <w:r/>
            <w:r>
              <w:rPr>
                <w:b/>
                <w:i w:val="0"/>
                <w:color w:val="FFFFFF"/>
                <w:sz w:val="19"/>
              </w:rPr>
              <w:t>n</w:t>
            </w:r>
          </w:p>
        </w:tc>
        <w:tc>
          <w:tcPr>
            <w:tcW w:type="dxa" w:w="1584"/>
            <w:shd w:val="clear" w:fill="1F4E79"/>
          </w:tcPr>
          <w:p>
            <w:r/>
            <w:r>
              <w:rPr>
                <w:b/>
                <w:i w:val="0"/>
                <w:color w:val="FFFFFF"/>
                <w:sz w:val="19"/>
              </w:rPr>
              <w:t>Substantive</w:t>
            </w:r>
          </w:p>
        </w:tc>
        <w:tc>
          <w:tcPr>
            <w:tcW w:type="dxa" w:w="2016"/>
            <w:shd w:val="clear" w:fill="1F4E79"/>
          </w:tcPr>
          <w:p>
            <w:r/>
            <w:r>
              <w:rPr>
                <w:b/>
                <w:i w:val="0"/>
                <w:color w:val="FFFFFF"/>
                <w:sz w:val="19"/>
              </w:rPr>
              <w:t>Rate</w:t>
            </w:r>
          </w:p>
        </w:tc>
      </w:tr>
      <w:tr>
        <w:tc>
          <w:tcPr>
            <w:tcW w:type="dxa" w:w="3168"/>
          </w:tcPr>
          <w:p>
            <w:r/>
            <w:r>
              <w:rPr>
                <w:b w:val="0"/>
                <w:i w:val="0"/>
                <w:sz w:val="19"/>
              </w:rPr>
              <w:t>Pre-deployment</w:t>
            </w:r>
          </w:p>
        </w:tc>
        <w:tc>
          <w:tcPr>
            <w:tcW w:type="dxa" w:w="1008"/>
          </w:tcPr>
          <w:p>
            <w:r/>
            <w:r>
              <w:rPr>
                <w:b w:val="0"/>
                <w:i w:val="0"/>
                <w:sz w:val="19"/>
              </w:rPr>
              <w:t>22</w:t>
            </w:r>
          </w:p>
        </w:tc>
        <w:tc>
          <w:tcPr>
            <w:tcW w:type="dxa" w:w="1584"/>
          </w:tcPr>
          <w:p>
            <w:r/>
            <w:r>
              <w:rPr>
                <w:b w:val="0"/>
                <w:i w:val="0"/>
                <w:sz w:val="19"/>
              </w:rPr>
              <w:t>8</w:t>
            </w:r>
          </w:p>
        </w:tc>
        <w:tc>
          <w:tcPr>
            <w:tcW w:type="dxa" w:w="2016"/>
          </w:tcPr>
          <w:p>
            <w:r/>
            <w:r>
              <w:rPr>
                <w:b w:val="0"/>
                <w:i w:val="0"/>
                <w:sz w:val="19"/>
              </w:rPr>
              <w:t>36%</w:t>
            </w:r>
          </w:p>
        </w:tc>
      </w:tr>
      <w:tr>
        <w:tc>
          <w:tcPr>
            <w:tcW w:type="dxa" w:w="3168"/>
            <w:shd w:val="clear" w:fill="F2F6FB"/>
          </w:tcPr>
          <w:p>
            <w:r/>
            <w:r>
              <w:rPr>
                <w:b w:val="0"/>
                <w:i w:val="0"/>
                <w:sz w:val="19"/>
              </w:rPr>
              <w:t>Post-deployment</w:t>
            </w:r>
          </w:p>
        </w:tc>
        <w:tc>
          <w:tcPr>
            <w:tcW w:type="dxa" w:w="1008"/>
            <w:shd w:val="clear" w:fill="F2F6FB"/>
          </w:tcPr>
          <w:p>
            <w:r/>
            <w:r>
              <w:rPr>
                <w:b w:val="0"/>
                <w:i w:val="0"/>
                <w:sz w:val="19"/>
              </w:rPr>
              <w:t>27</w:t>
            </w:r>
          </w:p>
        </w:tc>
        <w:tc>
          <w:tcPr>
            <w:tcW w:type="dxa" w:w="1584"/>
            <w:shd w:val="clear" w:fill="F2F6FB"/>
          </w:tcPr>
          <w:p>
            <w:r/>
            <w:r>
              <w:rPr>
                <w:b w:val="0"/>
                <w:i w:val="0"/>
                <w:sz w:val="19"/>
              </w:rPr>
              <w:t>2</w:t>
            </w:r>
          </w:p>
        </w:tc>
        <w:tc>
          <w:tcPr>
            <w:tcW w:type="dxa" w:w="2016"/>
            <w:shd w:val="clear" w:fill="F2F6FB"/>
          </w:tcPr>
          <w:p>
            <w:r/>
            <w:r>
              <w:rPr>
                <w:b w:val="0"/>
                <w:i w:val="0"/>
                <w:sz w:val="19"/>
              </w:rPr>
              <w:t>7%</w:t>
            </w:r>
          </w:p>
        </w:tc>
      </w:tr>
      <w:tr>
        <w:tc>
          <w:tcPr>
            <w:tcW w:type="dxa" w:w="3168"/>
            <w:shd w:val="clear" w:fill="F2F6FB"/>
          </w:tcPr>
          <w:p>
            <w:r/>
            <w:r>
              <w:rPr>
                <w:b w:val="0"/>
                <w:i w:val="0"/>
                <w:sz w:val="19"/>
              </w:rPr>
              <w:t>Difference</w:t>
            </w:r>
          </w:p>
        </w:tc>
        <w:tc>
          <w:tcPr>
            <w:tcW w:type="dxa" w:w="1008"/>
            <w:shd w:val="clear" w:fill="F2F6FB"/>
          </w:tcPr>
          <w:p>
            <w:r/>
            <w:r>
              <w:rPr>
                <w:b w:val="0"/>
                <w:i w:val="0"/>
                <w:sz w:val="19"/>
              </w:rPr>
              <w:t>—</w:t>
            </w:r>
          </w:p>
        </w:tc>
        <w:tc>
          <w:tcPr>
            <w:tcW w:type="dxa" w:w="1584"/>
            <w:shd w:val="clear" w:fill="F2F6FB"/>
          </w:tcPr>
          <w:p>
            <w:r/>
            <w:r>
              <w:rPr>
                <w:b w:val="0"/>
                <w:i w:val="0"/>
                <w:sz w:val="19"/>
              </w:rPr>
              <w:t>—</w:t>
            </w:r>
          </w:p>
        </w:tc>
        <w:tc>
          <w:tcPr>
            <w:tcW w:type="dxa" w:w="2016"/>
            <w:shd w:val="clear" w:fill="F2F6FB"/>
          </w:tcPr>
          <w:p>
            <w:r/>
            <w:r>
              <w:rPr>
                <w:b/>
                <w:i w:val="0"/>
                <w:color w:val="1F4E79"/>
                <w:sz w:val="19"/>
              </w:rPr>
              <w:t>+29 pts (×4.9)</w:t>
            </w:r>
          </w:p>
        </w:tc>
      </w:tr>
    </w:tbl>
    <w:p>
      <w:pPr>
        <w:spacing w:after="280"/>
        <w:jc w:val="left"/>
      </w:pPr>
      <w:r>
        <w:rPr>
          <w:b/>
          <w:color w:val="6B6B7B"/>
          <w:sz w:val="17"/>
        </w:rPr>
        <w:t xml:space="preserve">Table 6.  </w:t>
      </w:r>
      <w:r>
        <w:rPr>
          <w:i/>
          <w:color w:val="6B6B7B"/>
          <w:sz w:val="17"/>
        </w:rPr>
        <w:t>The paired comparison behind Figure 5, with the delta made explicit. Access is not randomly assigned — companies choose which models to submit for pre-deployment evaluation — so no conclusion can be drawn about the unobserved counterfactual; the association is reported as an association. Data cutoff: 9 July 2026 (v9).</w:t>
      </w:r>
    </w:p>
    <w:p>
      <w:pPr>
        <w:spacing w:after="160"/>
      </w:pPr>
      <w:r>
        <w:rPr>
          <w:b w:val="0"/>
          <w:i w:val="0"/>
          <w:sz w:val="21"/>
        </w:rPr>
        <w:t>Pre- versus post-deployment (36% vs. 7% Substantive) is the one comparison here with enough n on both sides to lean on. This is the single most policy-relevant result in the paper: a direct, quantified argument for pre-deployment access, independent of anything about enforcement power. The mechanism is visible in the case detail: pre-deployment findings arrive while the deployment decision is still open, typically under coordinated disclosure (23 of the 27 recorded response lags are 0 days — finding and response published together), so acting on them costs the company a delay rather than a public reversal.</w:t>
      </w:r>
    </w:p>
    <w:p>
      <w:pPr>
        <w:spacing w:after="160"/>
      </w:pPr>
      <w:r>
        <w:rPr>
          <w:b/>
          <w:i w:val="0"/>
          <w:sz w:val="21"/>
        </w:rPr>
        <w:t xml:space="preserve">Conclusion. </w:t>
      </w:r>
      <w:r>
        <w:rPr>
          <w:b w:val="0"/>
          <w:i w:val="0"/>
          <w:sz w:val="21"/>
        </w:rPr>
        <w:t>Access regime is the strongest observed correlate of response in the dataset — five times the substantive-response rate — though access is chosen by companies, not assigned.</w:t>
      </w:r>
    </w:p>
    <w:p>
      <w:pPr>
        <w:pStyle w:val="Heading2"/>
      </w:pPr>
      <w:r>
        <w:rPr>
          <w:color w:val="1F4E79"/>
        </w:rPr>
        <w:t>4.4  The gap concentrates in standalone, post-deployment reporting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888"/>
            <w:shd w:val="clear" w:fill="1F4E79"/>
          </w:tcPr>
          <w:p>
            <w:r/>
            <w:r>
              <w:rPr>
                <w:b/>
                <w:i w:val="0"/>
                <w:color w:val="FFFFFF"/>
                <w:sz w:val="19"/>
              </w:rPr>
              <w:t>Reporting configuration</w:t>
            </w:r>
          </w:p>
        </w:tc>
        <w:tc>
          <w:tcPr>
            <w:tcW w:type="dxa" w:w="1440"/>
            <w:shd w:val="clear" w:fill="1F4E79"/>
          </w:tcPr>
          <w:p>
            <w:r/>
            <w:r>
              <w:rPr>
                <w:b/>
                <w:i w:val="0"/>
                <w:color w:val="FFFFFF"/>
                <w:sz w:val="19"/>
              </w:rPr>
              <w:t>C1 findings</w:t>
            </w:r>
          </w:p>
        </w:tc>
        <w:tc>
          <w:tcPr>
            <w:tcW w:type="dxa" w:w="2736"/>
            <w:shd w:val="clear" w:fill="1F4E79"/>
          </w:tcPr>
          <w:p>
            <w:r/>
            <w:r>
              <w:rPr>
                <w:b/>
                <w:i w:val="0"/>
                <w:color w:val="FFFFFF"/>
                <w:sz w:val="19"/>
              </w:rPr>
              <w:t>Gap (no/inadequate response)</w:t>
            </w:r>
          </w:p>
        </w:tc>
        <w:tc>
          <w:tcPr>
            <w:tcW w:type="dxa" w:w="1440"/>
            <w:shd w:val="clear" w:fill="1F4E79"/>
          </w:tcPr>
          <w:p>
            <w:r/>
            <w:r>
              <w:rPr>
                <w:b/>
                <w:i w:val="0"/>
                <w:color w:val="FFFFFF"/>
                <w:sz w:val="19"/>
              </w:rPr>
              <w:t>Substantive</w:t>
            </w:r>
          </w:p>
        </w:tc>
      </w:tr>
      <w:tr>
        <w:tc>
          <w:tcPr>
            <w:tcW w:type="dxa" w:w="3888"/>
            <w:shd w:val="clear" w:fill="F5DBD5"/>
          </w:tcPr>
          <w:p>
            <w:r/>
            <w:r>
              <w:rPr>
                <w:b w:val="0"/>
                <w:i w:val="0"/>
                <w:sz w:val="19"/>
              </w:rPr>
              <w:t>UK AISI standalone</w:t>
            </w:r>
          </w:p>
        </w:tc>
        <w:tc>
          <w:tcPr>
            <w:tcW w:type="dxa" w:w="1440"/>
            <w:shd w:val="clear" w:fill="F5DBD5"/>
          </w:tcPr>
          <w:p>
            <w:r/>
            <w:r>
              <w:rPr>
                <w:b w:val="0"/>
                <w:i w:val="0"/>
                <w:sz w:val="19"/>
              </w:rPr>
              <w:t>24</w:t>
            </w:r>
          </w:p>
        </w:tc>
        <w:tc>
          <w:tcPr>
            <w:tcW w:type="dxa" w:w="2736"/>
            <w:shd w:val="clear" w:fill="F5DBD5"/>
          </w:tcPr>
          <w:p>
            <w:r/>
            <w:r>
              <w:rPr>
                <w:b w:val="0"/>
                <w:i w:val="0"/>
                <w:sz w:val="19"/>
              </w:rPr>
              <w:t>21  (88%)</w:t>
            </w:r>
          </w:p>
        </w:tc>
        <w:tc>
          <w:tcPr>
            <w:tcW w:type="dxa" w:w="1440"/>
            <w:shd w:val="clear" w:fill="F5DBD5"/>
          </w:tcPr>
          <w:p>
            <w:r/>
            <w:r>
              <w:rPr>
                <w:b w:val="0"/>
                <w:i w:val="0"/>
                <w:sz w:val="19"/>
              </w:rPr>
              <w:t>2</w:t>
            </w:r>
          </w:p>
        </w:tc>
      </w:tr>
      <w:tr>
        <w:tc>
          <w:tcPr>
            <w:tcW w:type="dxa" w:w="3888"/>
            <w:shd w:val="clear" w:fill="FBEAD1"/>
          </w:tcPr>
          <w:p>
            <w:r/>
            <w:r>
              <w:rPr>
                <w:b w:val="0"/>
                <w:i w:val="0"/>
                <w:sz w:val="19"/>
              </w:rPr>
              <w:t>Joint / collaborative (UK–US, +company, +network)</w:t>
            </w:r>
          </w:p>
        </w:tc>
        <w:tc>
          <w:tcPr>
            <w:tcW w:type="dxa" w:w="1440"/>
            <w:shd w:val="clear" w:fill="FBEAD1"/>
          </w:tcPr>
          <w:p>
            <w:r/>
            <w:r>
              <w:rPr>
                <w:b w:val="0"/>
                <w:i w:val="0"/>
                <w:sz w:val="19"/>
              </w:rPr>
              <w:t>14</w:t>
            </w:r>
          </w:p>
        </w:tc>
        <w:tc>
          <w:tcPr>
            <w:tcW w:type="dxa" w:w="2736"/>
            <w:shd w:val="clear" w:fill="FBEAD1"/>
          </w:tcPr>
          <w:p>
            <w:r/>
            <w:r>
              <w:rPr>
                <w:b w:val="0"/>
                <w:i w:val="0"/>
                <w:sz w:val="19"/>
              </w:rPr>
              <w:t>8  (57%)</w:t>
            </w:r>
          </w:p>
        </w:tc>
        <w:tc>
          <w:tcPr>
            <w:tcW w:type="dxa" w:w="1440"/>
            <w:shd w:val="clear" w:fill="FBEAD1"/>
          </w:tcPr>
          <w:p>
            <w:r/>
            <w:r>
              <w:rPr>
                <w:b w:val="0"/>
                <w:i w:val="0"/>
                <w:sz w:val="19"/>
              </w:rPr>
              <w:t>6</w:t>
            </w:r>
          </w:p>
        </w:tc>
      </w:tr>
      <w:tr>
        <w:tc>
          <w:tcPr>
            <w:tcW w:type="dxa" w:w="3888"/>
          </w:tcPr>
          <w:p>
            <w:r/>
            <w:r>
              <w:rPr>
                <w:b w:val="0"/>
                <w:i w:val="0"/>
                <w:sz w:val="19"/>
              </w:rPr>
              <w:t>US CAISI standalone</w:t>
            </w:r>
          </w:p>
        </w:tc>
        <w:tc>
          <w:tcPr>
            <w:tcW w:type="dxa" w:w="1440"/>
          </w:tcPr>
          <w:p>
            <w:r/>
            <w:r>
              <w:rPr>
                <w:b w:val="0"/>
                <w:i w:val="0"/>
                <w:sz w:val="19"/>
              </w:rPr>
              <w:t>3</w:t>
            </w:r>
          </w:p>
        </w:tc>
        <w:tc>
          <w:tcPr>
            <w:tcW w:type="dxa" w:w="2736"/>
          </w:tcPr>
          <w:p>
            <w:r/>
            <w:r>
              <w:rPr>
                <w:b w:val="0"/>
                <w:i w:val="0"/>
                <w:sz w:val="19"/>
              </w:rPr>
              <w:t>2</w:t>
            </w:r>
          </w:p>
        </w:tc>
        <w:tc>
          <w:tcPr>
            <w:tcW w:type="dxa" w:w="1440"/>
          </w:tcPr>
          <w:p>
            <w:r/>
            <w:r>
              <w:rPr>
                <w:b w:val="0"/>
                <w:i w:val="0"/>
                <w:sz w:val="19"/>
              </w:rPr>
              <w:t>1</w:t>
            </w:r>
          </w:p>
        </w:tc>
      </w:tr>
      <w:tr>
        <w:tc>
          <w:tcPr>
            <w:tcW w:type="dxa" w:w="3888"/>
            <w:shd w:val="clear" w:fill="F2F6FB"/>
          </w:tcPr>
          <w:p>
            <w:r/>
            <w:r>
              <w:rPr>
                <w:b w:val="0"/>
                <w:i w:val="0"/>
                <w:sz w:val="19"/>
              </w:rPr>
              <w:t>Third-party standalone (METR, SecureBio, etc.)</w:t>
            </w:r>
          </w:p>
        </w:tc>
        <w:tc>
          <w:tcPr>
            <w:tcW w:type="dxa" w:w="1440"/>
            <w:shd w:val="clear" w:fill="F2F6FB"/>
          </w:tcPr>
          <w:p>
            <w:r/>
            <w:r>
              <w:rPr>
                <w:b w:val="0"/>
                <w:i w:val="0"/>
                <w:sz w:val="19"/>
              </w:rPr>
              <w:t>3</w:t>
            </w:r>
          </w:p>
        </w:tc>
        <w:tc>
          <w:tcPr>
            <w:tcW w:type="dxa" w:w="2736"/>
            <w:shd w:val="clear" w:fill="F2F6FB"/>
          </w:tcPr>
          <w:p>
            <w:r/>
            <w:r>
              <w:rPr>
                <w:b w:val="0"/>
                <w:i w:val="0"/>
                <w:sz w:val="19"/>
              </w:rPr>
              <w:t>1</w:t>
            </w:r>
          </w:p>
        </w:tc>
        <w:tc>
          <w:tcPr>
            <w:tcW w:type="dxa" w:w="1440"/>
            <w:shd w:val="clear" w:fill="F2F6FB"/>
          </w:tcPr>
          <w:p>
            <w:r/>
            <w:r>
              <w:rPr>
                <w:b w:val="0"/>
                <w:i w:val="0"/>
                <w:sz w:val="19"/>
              </w:rPr>
              <w:t>2</w:t>
            </w:r>
          </w:p>
        </w:tc>
      </w:tr>
    </w:tbl>
    <w:p>
      <w:pPr>
        <w:spacing w:after="280"/>
        <w:jc w:val="left"/>
      </w:pPr>
      <w:r>
        <w:rPr>
          <w:b/>
          <w:color w:val="6B6B7B"/>
          <w:sz w:val="17"/>
        </w:rPr>
        <w:t xml:space="preserve">Table 7.  </w:t>
      </w:r>
      <w:r>
        <w:rPr>
          <w:i/>
          <w:color w:val="6B6B7B"/>
          <w:sz w:val="17"/>
        </w:rPr>
        <w:t>UK AISI standalone findings carry the highest gap rate (88%) — an access/publication-mode effect, not a rigor comment: standalone findings skew post-deployment, the profile Section 4.3 ties to weak response. US CAISI and third-party rows are too thin (n = 3) to treat as stable rates. Data cutoff: 9 July 2026 (v9).</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4E79"/>
          </w:tcPr>
          <w:p>
            <w:r/>
            <w:r>
              <w:rPr>
                <w:b/>
                <w:i w:val="0"/>
                <w:color w:val="FFFFFF"/>
                <w:sz w:val="19"/>
              </w:rPr>
              <w:t>Domain (multi-label)</w:t>
            </w:r>
          </w:p>
        </w:tc>
        <w:tc>
          <w:tcPr>
            <w:tcW w:type="dxa" w:w="1584"/>
            <w:shd w:val="clear" w:fill="1F4E79"/>
          </w:tcPr>
          <w:p>
            <w:r/>
            <w:r>
              <w:rPr>
                <w:b/>
                <w:i w:val="0"/>
                <w:color w:val="FFFFFF"/>
                <w:sz w:val="19"/>
              </w:rPr>
              <w:t>C1 findings</w:t>
            </w:r>
          </w:p>
        </w:tc>
        <w:tc>
          <w:tcPr>
            <w:tcW w:type="dxa" w:w="1152"/>
            <w:shd w:val="clear" w:fill="1F4E79"/>
          </w:tcPr>
          <w:p>
            <w:r/>
            <w:r>
              <w:rPr>
                <w:b/>
                <w:i w:val="0"/>
                <w:color w:val="FFFFFF"/>
                <w:sz w:val="19"/>
              </w:rPr>
              <w:t>Gap</w:t>
            </w:r>
          </w:p>
        </w:tc>
        <w:tc>
          <w:tcPr>
            <w:tcW w:type="dxa" w:w="1440"/>
            <w:shd w:val="clear" w:fill="1F4E79"/>
          </w:tcPr>
          <w:p>
            <w:r/>
            <w:r>
              <w:rPr>
                <w:b/>
                <w:i w:val="0"/>
                <w:color w:val="FFFFFF"/>
                <w:sz w:val="19"/>
              </w:rPr>
              <w:t>Gap rate</w:t>
            </w:r>
          </w:p>
        </w:tc>
      </w:tr>
      <w:tr>
        <w:tc>
          <w:tcPr>
            <w:tcW w:type="dxa" w:w="3168"/>
          </w:tcPr>
          <w:p>
            <w:r/>
            <w:r>
              <w:rPr>
                <w:b w:val="0"/>
                <w:i w:val="0"/>
                <w:sz w:val="19"/>
              </w:rPr>
              <w:t>Jailbreaks</w:t>
            </w:r>
          </w:p>
        </w:tc>
        <w:tc>
          <w:tcPr>
            <w:tcW w:type="dxa" w:w="1584"/>
          </w:tcPr>
          <w:p>
            <w:r/>
            <w:r>
              <w:rPr>
                <w:b w:val="0"/>
                <w:i w:val="0"/>
                <w:sz w:val="19"/>
              </w:rPr>
              <w:t>21</w:t>
            </w:r>
          </w:p>
        </w:tc>
        <w:tc>
          <w:tcPr>
            <w:tcW w:type="dxa" w:w="1152"/>
          </w:tcPr>
          <w:p>
            <w:r/>
            <w:r>
              <w:rPr>
                <w:b w:val="0"/>
                <w:i w:val="0"/>
                <w:sz w:val="19"/>
              </w:rPr>
              <w:t>17</w:t>
            </w:r>
          </w:p>
        </w:tc>
        <w:tc>
          <w:tcPr>
            <w:tcW w:type="dxa" w:w="1440"/>
          </w:tcPr>
          <w:p>
            <w:r/>
            <w:r>
              <w:rPr>
                <w:b w:val="0"/>
                <w:i w:val="0"/>
                <w:sz w:val="19"/>
              </w:rPr>
              <w:t>81%</w:t>
            </w:r>
          </w:p>
        </w:tc>
      </w:tr>
      <w:tr>
        <w:tc>
          <w:tcPr>
            <w:tcW w:type="dxa" w:w="3168"/>
            <w:shd w:val="clear" w:fill="F2F6FB"/>
          </w:tcPr>
          <w:p>
            <w:r/>
            <w:r>
              <w:rPr>
                <w:b w:val="0"/>
                <w:i w:val="0"/>
                <w:sz w:val="19"/>
              </w:rPr>
              <w:t>Alignment</w:t>
            </w:r>
          </w:p>
        </w:tc>
        <w:tc>
          <w:tcPr>
            <w:tcW w:type="dxa" w:w="1584"/>
            <w:shd w:val="clear" w:fill="F2F6FB"/>
          </w:tcPr>
          <w:p>
            <w:r/>
            <w:r>
              <w:rPr>
                <w:b w:val="0"/>
                <w:i w:val="0"/>
                <w:sz w:val="19"/>
              </w:rPr>
              <w:t>6</w:t>
            </w:r>
          </w:p>
        </w:tc>
        <w:tc>
          <w:tcPr>
            <w:tcW w:type="dxa" w:w="1152"/>
            <w:shd w:val="clear" w:fill="F2F6FB"/>
          </w:tcPr>
          <w:p>
            <w:r/>
            <w:r>
              <w:rPr>
                <w:b w:val="0"/>
                <w:i w:val="0"/>
                <w:sz w:val="19"/>
              </w:rPr>
              <w:t>5</w:t>
            </w:r>
          </w:p>
        </w:tc>
        <w:tc>
          <w:tcPr>
            <w:tcW w:type="dxa" w:w="1440"/>
            <w:shd w:val="clear" w:fill="F2F6FB"/>
          </w:tcPr>
          <w:p>
            <w:r/>
            <w:r>
              <w:rPr>
                <w:b w:val="0"/>
                <w:i w:val="0"/>
                <w:sz w:val="19"/>
              </w:rPr>
              <w:t>83%</w:t>
            </w:r>
          </w:p>
        </w:tc>
      </w:tr>
      <w:tr>
        <w:tc>
          <w:tcPr>
            <w:tcW w:type="dxa" w:w="3168"/>
          </w:tcPr>
          <w:p>
            <w:r/>
            <w:r>
              <w:rPr>
                <w:b w:val="0"/>
                <w:i w:val="0"/>
                <w:sz w:val="19"/>
              </w:rPr>
              <w:t>Cyber</w:t>
            </w:r>
          </w:p>
        </w:tc>
        <w:tc>
          <w:tcPr>
            <w:tcW w:type="dxa" w:w="1584"/>
          </w:tcPr>
          <w:p>
            <w:r/>
            <w:r>
              <w:rPr>
                <w:b w:val="0"/>
                <w:i w:val="0"/>
                <w:sz w:val="19"/>
              </w:rPr>
              <w:t>17</w:t>
            </w:r>
          </w:p>
        </w:tc>
        <w:tc>
          <w:tcPr>
            <w:tcW w:type="dxa" w:w="1152"/>
          </w:tcPr>
          <w:p>
            <w:r/>
            <w:r>
              <w:rPr>
                <w:b w:val="0"/>
                <w:i w:val="0"/>
                <w:sz w:val="19"/>
              </w:rPr>
              <w:t>12</w:t>
            </w:r>
          </w:p>
        </w:tc>
        <w:tc>
          <w:tcPr>
            <w:tcW w:type="dxa" w:w="1440"/>
          </w:tcPr>
          <w:p>
            <w:r/>
            <w:r>
              <w:rPr>
                <w:b w:val="0"/>
                <w:i w:val="0"/>
                <w:sz w:val="19"/>
              </w:rPr>
              <w:t>71%</w:t>
            </w:r>
          </w:p>
        </w:tc>
      </w:tr>
      <w:tr>
        <w:tc>
          <w:tcPr>
            <w:tcW w:type="dxa" w:w="3168"/>
            <w:shd w:val="clear" w:fill="F2F6FB"/>
          </w:tcPr>
          <w:p>
            <w:r/>
            <w:r>
              <w:rPr>
                <w:b w:val="0"/>
                <w:i w:val="0"/>
                <w:sz w:val="19"/>
              </w:rPr>
              <w:t>Autonomy</w:t>
            </w:r>
          </w:p>
        </w:tc>
        <w:tc>
          <w:tcPr>
            <w:tcW w:type="dxa" w:w="1584"/>
            <w:shd w:val="clear" w:fill="F2F6FB"/>
          </w:tcPr>
          <w:p>
            <w:r/>
            <w:r>
              <w:rPr>
                <w:b w:val="0"/>
                <w:i w:val="0"/>
                <w:sz w:val="19"/>
              </w:rPr>
              <w:t>7</w:t>
            </w:r>
          </w:p>
        </w:tc>
        <w:tc>
          <w:tcPr>
            <w:tcW w:type="dxa" w:w="1152"/>
            <w:shd w:val="clear" w:fill="F2F6FB"/>
          </w:tcPr>
          <w:p>
            <w:r/>
            <w:r>
              <w:rPr>
                <w:b w:val="0"/>
                <w:i w:val="0"/>
                <w:sz w:val="19"/>
              </w:rPr>
              <w:t>5</w:t>
            </w:r>
          </w:p>
        </w:tc>
        <w:tc>
          <w:tcPr>
            <w:tcW w:type="dxa" w:w="1440"/>
            <w:shd w:val="clear" w:fill="F2F6FB"/>
          </w:tcPr>
          <w:p>
            <w:r/>
            <w:r>
              <w:rPr>
                <w:b w:val="0"/>
                <w:i w:val="0"/>
                <w:sz w:val="19"/>
              </w:rPr>
              <w:t>71%</w:t>
            </w:r>
          </w:p>
        </w:tc>
      </w:tr>
      <w:tr>
        <w:tc>
          <w:tcPr>
            <w:tcW w:type="dxa" w:w="3168"/>
          </w:tcPr>
          <w:p>
            <w:r/>
            <w:r>
              <w:rPr>
                <w:b w:val="0"/>
                <w:i w:val="0"/>
                <w:sz w:val="19"/>
              </w:rPr>
              <w:t>Bio-Chem</w:t>
            </w:r>
          </w:p>
        </w:tc>
        <w:tc>
          <w:tcPr>
            <w:tcW w:type="dxa" w:w="1584"/>
          </w:tcPr>
          <w:p>
            <w:r/>
            <w:r>
              <w:rPr>
                <w:b w:val="0"/>
                <w:i w:val="0"/>
                <w:sz w:val="19"/>
              </w:rPr>
              <w:t>5</w:t>
            </w:r>
          </w:p>
        </w:tc>
        <w:tc>
          <w:tcPr>
            <w:tcW w:type="dxa" w:w="1152"/>
          </w:tcPr>
          <w:p>
            <w:r/>
            <w:r>
              <w:rPr>
                <w:b w:val="0"/>
                <w:i w:val="0"/>
                <w:sz w:val="19"/>
              </w:rPr>
              <w:t>3</w:t>
            </w:r>
          </w:p>
        </w:tc>
        <w:tc>
          <w:tcPr>
            <w:tcW w:type="dxa" w:w="1440"/>
          </w:tcPr>
          <w:p>
            <w:r/>
            <w:r>
              <w:rPr>
                <w:b w:val="0"/>
                <w:i w:val="0"/>
                <w:sz w:val="19"/>
              </w:rPr>
              <w:t>60%</w:t>
            </w:r>
          </w:p>
        </w:tc>
      </w:tr>
    </w:tbl>
    <w:p>
      <w:pPr>
        <w:spacing w:after="280"/>
        <w:jc w:val="left"/>
      </w:pPr>
      <w:r>
        <w:rPr>
          <w:b/>
          <w:color w:val="6B6B7B"/>
          <w:sz w:val="17"/>
        </w:rPr>
        <w:t xml:space="preserve">Table 8.  </w:t>
      </w:r>
      <w:r>
        <w:rPr>
          <w:i/>
          <w:color w:val="6B6B7B"/>
          <w:sz w:val="17"/>
        </w:rPr>
        <w:t>Only Jailbreaks (n = 21) and Cyber (n = 17) carry enough findings to support a domain claim; the other rows are directional. Findings can span more than one domain, so counts do not sum to 44. Bio-Chem's comparatively low gap rate is almost entirely SecureBio's direct pre-release access to OpenAI — an access-type effect wearing a domain costume, not evidence that bio-chem oversight specifically works better. Data cutoff: 9 July 2026 (v9).</w:t>
      </w:r>
    </w:p>
    <w:p>
      <w:pPr>
        <w:spacing w:after="160"/>
      </w:pPr>
      <w:r>
        <w:rPr>
          <w:b/>
          <w:i w:val="0"/>
          <w:sz w:val="21"/>
        </w:rPr>
        <w:t xml:space="preserve">Conclusion. </w:t>
      </w:r>
      <w:r>
        <w:rPr>
          <w:b w:val="0"/>
          <w:i w:val="0"/>
          <w:sz w:val="21"/>
        </w:rPr>
        <w:t>The gap is not uniform: it concentrates where reporting is standalone and access is post-deployment; joint evaluation roughly halves it, though subgroup n's keep these rates directional.</w:t>
      </w:r>
    </w:p>
    <w:p>
      <w:pPr>
        <w:pStyle w:val="Heading2"/>
      </w:pPr>
      <w:r>
        <w:rPr>
          <w:color w:val="1F4E79"/>
        </w:rPr>
        <w:t>4.5  Silence is not obscurity: the traction check</w:t>
      </w:r>
    </w:p>
    <w:p>
      <w:pPr>
        <w:spacing w:after="160"/>
      </w:pPr>
      <w:r>
        <w:rPr>
          <w:b w:val="0"/>
          <w:i w:val="0"/>
          <w:sz w:val="21"/>
        </w:rPr>
        <w:t>A natural defence of the no-response bucket is that nobody responded because nobody noticed. Channel C exists to test that. Of the 32 Tier A findings with no located company response, 13 (41%) carry a High traction score — real mainstream press coverage or substantial academic citation — with no company response regardless. Silence in Channel A was not, in general, a function of the finding being obscure.</w:t>
      </w:r>
    </w:p>
    <w:p>
      <w:pPr>
        <w:spacing w:after="160"/>
      </w:pPr>
      <w:r>
        <w:rPr>
          <w:b/>
          <w:i w:val="0"/>
          <w:sz w:val="21"/>
        </w:rPr>
        <w:t xml:space="preserve">Conclusion. </w:t>
      </w:r>
      <w:r>
        <w:rPr>
          <w:b w:val="0"/>
          <w:i w:val="0"/>
          <w:sz w:val="21"/>
        </w:rPr>
        <w:t>Publicity does not close the gap: 41% of ignored findings were widely covered and ignored anyway.</w:t>
      </w:r>
    </w:p>
    <w:p>
      <w:pPr>
        <w:pStyle w:val="Heading2"/>
      </w:pPr>
      <w:r>
        <w:rPr>
          <w:color w:val="1F4E79"/>
        </w:rPr>
        <w:t>4.6  The gap persists as the ecosystem scales</w:t>
      </w:r>
    </w:p>
    <w:p>
      <w:pPr>
        <w:jc w:val="center"/>
        <w:shd w:val="clear" w:fill="EAF1F8"/>
      </w:pPr>
      <w:r>
        <w:rPr>
          <w:b/>
          <w:color w:val="1F4E79"/>
          <w:sz w:val="20"/>
        </w:rPr>
        <w:t>[ Figure 6 — file: fig6_year.png in Desktop/evaluating-the-evaluators-figures ]</w:t>
      </w:r>
    </w:p>
    <w:p>
      <w:pPr>
        <w:spacing w:after="280"/>
        <w:jc w:val="left"/>
      </w:pPr>
      <w:r>
        <w:rPr>
          <w:b/>
          <w:color w:val="6B6B7B"/>
          <w:sz w:val="17"/>
        </w:rPr>
        <w:t xml:space="preserve">Figure 6.  </w:t>
      </w:r>
      <w:r>
        <w:rPr>
          <w:i/>
          <w:color w:val="6B6B7B"/>
          <w:sz w:val="17"/>
        </w:rPr>
        <w:t>Evaluation output is accelerating — findings per publication year, with 2026 covering only January to 9 July. Data cutoff: 9 July 2026 (v9).</w:t>
      </w:r>
    </w:p>
    <w:p>
      <w:pPr>
        <w:spacing w:after="160"/>
      </w:pPr>
      <w:r>
        <w:rPr>
          <w:b w:val="0"/>
          <w:i w:val="0"/>
          <w:sz w:val="21"/>
        </w:rPr>
        <w:t>Among C1 Tier A findings, the gap does not show a clean improvement trend: 2024, 7/7 gap; 2025, 8/12; 2026 to date, 17/25. The 2026 figure is additionally right-censored — recent findings have had less time to draw a response — so we read this as "the gap persists as the ecosystem scales," and no stronger.</w:t>
      </w:r>
    </w:p>
    <w:p>
      <w:pPr>
        <w:spacing w:after="160"/>
      </w:pPr>
      <w:r>
        <w:rPr>
          <w:b/>
          <w:i w:val="0"/>
          <w:sz w:val="21"/>
        </w:rPr>
        <w:t xml:space="preserve">Conclusion. </w:t>
      </w:r>
      <w:r>
        <w:rPr>
          <w:b w:val="0"/>
          <w:i w:val="0"/>
          <w:sz w:val="21"/>
        </w:rPr>
        <w:t>More evaluation has not, so far, meant more response: the gap holds roughly steady while findings per year rise.</w:t>
      </w:r>
    </w:p>
    <w:p>
      <w:pPr>
        <w:pStyle w:val="Heading2"/>
      </w:pPr>
      <w:r>
        <w:rPr>
          <w:color w:val="1F4E79"/>
        </w:rPr>
        <w:t>4.7  The verification gap</w:t>
      </w:r>
    </w:p>
    <w:p>
      <w:pPr>
        <w:spacing w:after="160"/>
      </w:pPr>
      <w:r>
        <w:rPr>
          <w:b w:val="0"/>
          <w:i w:val="0"/>
          <w:sz w:val="21"/>
        </w:rPr>
        <w:t>Even where a company responds, the evaluator frequently cannot verify the response. During pre-deployment evaluation of GPT-5.5, UK AISI found a universal jailbreak. OpenAI stated the vulnerability had been patched; AISI could not verify the fix before the model was publicly deployed. As Transformer News reported: "We do not know if GPT-5.5 is actually safe to release. All we have to rely on is OpenAI's word." This pattern — response claimed, verification structurally unavailable — is why our Partial category exists, and it recurs in the GPT-5.6 case below.</w:t>
      </w:r>
    </w:p>
    <w:p>
      <w:pPr>
        <w:spacing w:after="160"/>
      </w:pPr>
      <w:r>
        <w:rPr>
          <w:b/>
          <w:i w:val="0"/>
          <w:sz w:val="21"/>
        </w:rPr>
        <w:t xml:space="preserve">Conclusion. </w:t>
      </w:r>
      <w:r>
        <w:rPr>
          <w:b w:val="0"/>
          <w:i w:val="0"/>
          <w:sz w:val="21"/>
        </w:rPr>
        <w:t>Even the responses that occur may be unverifiable; the evaluator's inability to check claimed fixes is itself part of the accountability gap.</w:t>
      </w:r>
    </w:p>
    <w:p>
      <w:pPr>
        <w:pStyle w:val="Heading1"/>
      </w:pPr>
      <w:r>
        <w:rPr>
          <w:color w:val="1F4E79"/>
        </w:rPr>
        <w:t>5  Why This Happens</w:t>
      </w:r>
    </w:p>
    <w:p>
      <w:pPr>
        <w:pStyle w:val="Heading2"/>
      </w:pPr>
      <w:r>
        <w:rPr>
          <w:color w:val="1F4E79"/>
        </w:rPr>
        <w:t>5.1  The Claude Fable 5 / Mythos 5 export-control case</w:t>
      </w:r>
    </w:p>
    <w:p>
      <w:pPr>
        <w:spacing w:after="160"/>
      </w:pPr>
      <w:r>
        <w:rPr>
          <w:b w:val="0"/>
          <w:i w:val="0"/>
          <w:sz w:val="21"/>
        </w:rPr>
        <w:t>The one case in the corpus where an alarming finding produced binding government action within days is instructive precisely because of what made it possible. On 9 June 2026, Anthropic launched Claude Fable 5 and Claude Mythos 5. Within hours of access, UK AISI red-teamers developed a jailbreak eliciting single-turn offensive-cyber responses from Fable 5, extending it within two days to multi-turn agentic workflows; UK AISI published this the same day, and we code Anthropic's launch-day response to it as Partial. Days later, Amazon researchers independently reported a jailbreak eliciting exploit code from Fable 5. On 12 June, the US Department of Commerce issued a binding export-control order taking both models offline globally — including for foreign-national employees — for 18 days. US CAISI then independently tested both the prior and the newly rebuilt safeguards; Anthropic's redeployment announcement quotes CAISI's verification directly ("Researchers from the US Department of Commerce's Center for AI Standards and Innovation have tested both our prior and new safeguards and agree that they are extraordinarily strong"), and the order was lifted by a letter from the Commerce Secretary on 30 June once verification was complete.</w:t>
      </w:r>
    </w:p>
    <w:p>
      <w:pPr>
        <w:spacing w:after="160"/>
      </w:pPr>
      <w:r>
        <w:rPr>
          <w:b w:val="0"/>
          <w:i w:val="0"/>
          <w:sz w:val="21"/>
        </w:rPr>
        <w:t>Three structural features distinguish this case from the 32 silent ones: an enforcement instrument that already existed (export-control law), a government body with the standing to invoke it, and an evaluator (CAISI) whose verification was a condition of redeployment rather than a courtesy. When those three features are present, the finding-to-action pipeline that is missing elsewhere in the corpus assembled itself in three days. Nothing about the finding itself — a jailbreak, of which the accountability-relevant (Tier A, C1) record contains twenty other instances — explains the difference.</w:t>
      </w:r>
    </w:p>
    <w:p>
      <w:pPr>
        <w:pStyle w:val="Heading2"/>
      </w:pPr>
      <w:r>
        <w:rPr>
          <w:color w:val="1F4E79"/>
        </w:rPr>
        <w:t>5.2  The GPT-5.6 case</w:t>
      </w:r>
    </w:p>
    <w:p>
      <w:pPr>
        <w:spacing w:after="160"/>
      </w:pPr>
      <w:r>
        <w:rPr>
          <w:b w:val="0"/>
          <w:i w:val="0"/>
          <w:sz w:val="21"/>
        </w:rPr>
        <w:t>GPT-5.6 Sol shows the same machinery operating pre-deployment, and its limits. In the joint UK AISI/OpenAI evaluation published with the 9 July 2026 system card, UK AISI reported that in every red-teaming round to date it had identified universal jailbreaks in the cyber domain — often developed within hours, and preserving the model's capabilities on offensive-cyber benchmarks. OpenAI's response, quoted in the card: the specific reported jailbreaks were reproduced and mitigated by launch, but "UK AISI expects further red-teaming to surface similar jailbreaks." On UK AISI's expert-level CTF tasks the model scored 95%, and it completed the 32-step "The Last Ones" corporate-network attack simulation in 7 of 10 attempts (versus 2 of 10 for GPT-5.5); US CAISI conducted additional cyber-capability testing before broad release, with the late-June preview restricted to government-vetted partners for roughly 12 days. METR separately reported the highest rate of evaluation-gaming behaviour it had ever measured.</w:t>
      </w:r>
    </w:p>
    <w:p>
      <w:pPr>
        <w:spacing w:after="160"/>
      </w:pPr>
      <w:r>
        <w:rPr>
          <w:b w:val="0"/>
          <w:i w:val="0"/>
          <w:sz w:val="21"/>
        </w:rPr>
        <w:t>The case cuts both ways, and we report it both ways. Coordinated pre-deployment evaluation produced real engagement: named findings, a company response in the launch documentation, a government-conditioned release window. It also reproduced the verification gap of Section 4.7 — "we mitigated the specific jailbreaks reported" is a claim about enumerated attacks, not about the vulnerability class, and the evaluator itself says it expects the class to persist. The capability findings published alongside (the 95% CTF score) drew no separate response and are coded as an accountability gap.</w:t>
      </w:r>
    </w:p>
    <w:p>
      <w:pPr>
        <w:pStyle w:val="Heading2"/>
      </w:pPr>
      <w:r>
        <w:rPr>
          <w:color w:val="1F4E79"/>
        </w:rPr>
        <w:t>5.3  How policymakers respond to evaluation findings</w:t>
      </w:r>
    </w:p>
    <w:p>
      <w:pPr>
        <w:spacing w:after="160"/>
      </w:pPr>
      <w:r>
        <w:rPr>
          <w:b w:val="0"/>
          <w:i w:val="0"/>
          <w:sz w:val="21"/>
        </w:rPr>
        <w:t>We coded every appearance of a corpus finding in the parliamentary, congressional, or regulatory record, 2024–2026. Type A citations accompany binding action; Type B citations accompany advisory responses (research funding, pacts, statements, guidance). We also searched for a third pattern — Type C, the citation of an institute's existence to justify deferring legislation — and found no confirmed instance in the corpus period; we report that as an observation, not as evidence the pattern does not occur.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024"/>
            <w:shd w:val="clear" w:fill="1F4E79"/>
          </w:tcPr>
          <w:p>
            <w:r/>
            <w:r>
              <w:rPr>
                <w:b/>
                <w:i w:val="0"/>
                <w:color w:val="FFFFFF"/>
                <w:sz w:val="19"/>
              </w:rPr>
              <w:t>Finding cited</w:t>
            </w:r>
          </w:p>
        </w:tc>
        <w:tc>
          <w:tcPr>
            <w:tcW w:type="dxa" w:w="1728"/>
            <w:shd w:val="clear" w:fill="1F4E79"/>
          </w:tcPr>
          <w:p>
            <w:r/>
            <w:r>
              <w:rPr>
                <w:b/>
                <w:i w:val="0"/>
                <w:color w:val="FFFFFF"/>
                <w:sz w:val="19"/>
              </w:rPr>
              <w:t>Venue</w:t>
            </w:r>
          </w:p>
        </w:tc>
        <w:tc>
          <w:tcPr>
            <w:tcW w:type="dxa" w:w="720"/>
            <w:shd w:val="clear" w:fill="1F4E79"/>
          </w:tcPr>
          <w:p>
            <w:r/>
            <w:r>
              <w:rPr>
                <w:b/>
                <w:i w:val="0"/>
                <w:color w:val="FFFFFF"/>
                <w:sz w:val="19"/>
              </w:rPr>
              <w:t>Type</w:t>
            </w:r>
          </w:p>
        </w:tc>
        <w:tc>
          <w:tcPr>
            <w:tcW w:type="dxa" w:w="3744"/>
            <w:shd w:val="clear" w:fill="1F4E79"/>
          </w:tcPr>
          <w:p>
            <w:r/>
            <w:r>
              <w:rPr>
                <w:b/>
                <w:i w:val="0"/>
                <w:color w:val="FFFFFF"/>
                <w:sz w:val="19"/>
              </w:rPr>
              <w:t>Action announced</w:t>
            </w:r>
          </w:p>
        </w:tc>
        <w:tc>
          <w:tcPr>
            <w:tcW w:type="dxa" w:w="1008"/>
            <w:shd w:val="clear" w:fill="1F4E79"/>
          </w:tcPr>
          <w:p>
            <w:r/>
            <w:r>
              <w:rPr>
                <w:b/>
                <w:i w:val="0"/>
                <w:color w:val="FFFFFF"/>
                <w:sz w:val="19"/>
              </w:rPr>
              <w:t>Binding?</w:t>
            </w:r>
          </w:p>
        </w:tc>
      </w:tr>
      <w:tr>
        <w:tc>
          <w:tcPr>
            <w:tcW w:type="dxa" w:w="3024"/>
            <w:shd w:val="clear" w:fill="DCEFE7"/>
          </w:tcPr>
          <w:p>
            <w:r/>
            <w:r>
              <w:rPr>
                <w:b w:val="0"/>
                <w:i w:val="0"/>
                <w:sz w:val="19"/>
              </w:rPr>
              <w:t>IWF/AISI-Thorn CSAM findings (3,512 AI-generated CSAM images on one dark-web forum in one month)</w:t>
            </w:r>
          </w:p>
        </w:tc>
        <w:tc>
          <w:tcPr>
            <w:tcW w:type="dxa" w:w="1728"/>
            <w:shd w:val="clear" w:fill="DCEFE7"/>
          </w:tcPr>
          <w:p>
            <w:r/>
            <w:r>
              <w:rPr>
                <w:b w:val="0"/>
                <w:i w:val="0"/>
                <w:sz w:val="19"/>
              </w:rPr>
              <w:t>UK Parliament</w:t>
            </w:r>
          </w:p>
        </w:tc>
        <w:tc>
          <w:tcPr>
            <w:tcW w:type="dxa" w:w="720"/>
            <w:shd w:val="clear" w:fill="DCEFE7"/>
          </w:tcPr>
          <w:p>
            <w:r/>
            <w:r>
              <w:rPr>
                <w:b w:val="0"/>
                <w:i w:val="0"/>
                <w:sz w:val="19"/>
              </w:rPr>
              <w:t>A</w:t>
            </w:r>
          </w:p>
        </w:tc>
        <w:tc>
          <w:tcPr>
            <w:tcW w:type="dxa" w:w="3744"/>
            <w:shd w:val="clear" w:fill="DCEFE7"/>
          </w:tcPr>
          <w:p>
            <w:r/>
            <w:r>
              <w:rPr>
                <w:b w:val="0"/>
                <w:i w:val="0"/>
                <w:sz w:val="19"/>
              </w:rPr>
              <w:t>Crime and Policing Act 2026 (Royal Assent 29 Apr 2026): new criminal offence for AI CSAM generators; Technology Testing Defence creates a legal basis for AISI/Thorn-style testing. EU AI Act Omnibus (May 2026) prohibits AI CSAM.</w:t>
            </w:r>
          </w:p>
        </w:tc>
        <w:tc>
          <w:tcPr>
            <w:tcW w:type="dxa" w:w="1008"/>
            <w:shd w:val="clear" w:fill="DCEFE7"/>
          </w:tcPr>
          <w:p>
            <w:r/>
            <w:r>
              <w:rPr>
                <w:b/>
                <w:i w:val="0"/>
                <w:color w:val="1E7A4F"/>
                <w:sz w:val="19"/>
              </w:rPr>
              <w:t>Yes</w:t>
            </w:r>
          </w:p>
        </w:tc>
      </w:tr>
      <w:tr>
        <w:tc>
          <w:tcPr>
            <w:tcW w:type="dxa" w:w="3024"/>
            <w:shd w:val="clear" w:fill="DCEFE7"/>
          </w:tcPr>
          <w:p>
            <w:r/>
            <w:r>
              <w:rPr>
                <w:b w:val="0"/>
                <w:i w:val="0"/>
                <w:sz w:val="19"/>
              </w:rPr>
              <w:t>Amazon-reported Fable 5 jailbreak (after UK AISI's launch-day jailbreak finding)</w:t>
            </w:r>
          </w:p>
        </w:tc>
        <w:tc>
          <w:tcPr>
            <w:tcW w:type="dxa" w:w="1728"/>
            <w:shd w:val="clear" w:fill="DCEFE7"/>
          </w:tcPr>
          <w:p>
            <w:r/>
            <w:r>
              <w:rPr>
                <w:b w:val="0"/>
                <w:i w:val="0"/>
                <w:sz w:val="19"/>
              </w:rPr>
              <w:t>US Dept. of Commerce</w:t>
            </w:r>
          </w:p>
        </w:tc>
        <w:tc>
          <w:tcPr>
            <w:tcW w:type="dxa" w:w="720"/>
            <w:shd w:val="clear" w:fill="DCEFE7"/>
          </w:tcPr>
          <w:p>
            <w:r/>
            <w:r>
              <w:rPr>
                <w:b w:val="0"/>
                <w:i w:val="0"/>
                <w:sz w:val="19"/>
              </w:rPr>
              <w:t>A</w:t>
            </w:r>
          </w:p>
        </w:tc>
        <w:tc>
          <w:tcPr>
            <w:tcW w:type="dxa" w:w="3744"/>
            <w:shd w:val="clear" w:fill="DCEFE7"/>
          </w:tcPr>
          <w:p>
            <w:r/>
            <w:r>
              <w:rPr>
                <w:b w:val="0"/>
                <w:i w:val="0"/>
                <w:sz w:val="19"/>
              </w:rPr>
              <w:t>Export-control order (12 Jun 2026) suspending Claude Fable 5 and Mythos 5 globally; lifted 30 Jun after CAISI verified rebuilt safeguards.</w:t>
            </w:r>
          </w:p>
        </w:tc>
        <w:tc>
          <w:tcPr>
            <w:tcW w:type="dxa" w:w="1008"/>
            <w:shd w:val="clear" w:fill="DCEFE7"/>
          </w:tcPr>
          <w:p>
            <w:r/>
            <w:r>
              <w:rPr>
                <w:b/>
                <w:i w:val="0"/>
                <w:color w:val="1E7A4F"/>
                <w:sz w:val="19"/>
              </w:rPr>
              <w:t>Yes</w:t>
            </w:r>
          </w:p>
        </w:tc>
      </w:tr>
      <w:tr>
        <w:tc>
          <w:tcPr>
            <w:tcW w:type="dxa" w:w="3024"/>
            <w:shd w:val="clear" w:fill="DCEFE7"/>
          </w:tcPr>
          <w:p>
            <w:r/>
            <w:r>
              <w:rPr>
                <w:b w:val="0"/>
                <w:i w:val="0"/>
                <w:sz w:val="19"/>
              </w:rPr>
              <w:t>GPT-5.6 Sol cyber-capability results</w:t>
            </w:r>
          </w:p>
        </w:tc>
        <w:tc>
          <w:tcPr>
            <w:tcW w:type="dxa" w:w="1728"/>
            <w:shd w:val="clear" w:fill="DCEFE7"/>
          </w:tcPr>
          <w:p>
            <w:r/>
            <w:r>
              <w:rPr>
                <w:b w:val="0"/>
                <w:i w:val="0"/>
                <w:sz w:val="19"/>
              </w:rPr>
              <w:t>US Dept. of Commerce (CAISI)</w:t>
            </w:r>
          </w:p>
        </w:tc>
        <w:tc>
          <w:tcPr>
            <w:tcW w:type="dxa" w:w="720"/>
            <w:shd w:val="clear" w:fill="DCEFE7"/>
          </w:tcPr>
          <w:p>
            <w:r/>
            <w:r>
              <w:rPr>
                <w:b w:val="0"/>
                <w:i w:val="0"/>
                <w:sz w:val="19"/>
              </w:rPr>
              <w:t>A</w:t>
            </w:r>
          </w:p>
        </w:tc>
        <w:tc>
          <w:tcPr>
            <w:tcW w:type="dxa" w:w="3744"/>
            <w:shd w:val="clear" w:fill="DCEFE7"/>
          </w:tcPr>
          <w:p>
            <w:r/>
            <w:r>
              <w:rPr>
                <w:b w:val="0"/>
                <w:i w:val="0"/>
                <w:sz w:val="19"/>
              </w:rPr>
              <w:t>Additional CAISI testing before broad public release; ~12-day government-vetted preview restriction.</w:t>
            </w:r>
          </w:p>
        </w:tc>
        <w:tc>
          <w:tcPr>
            <w:tcW w:type="dxa" w:w="1008"/>
            <w:shd w:val="clear" w:fill="DCEFE7"/>
          </w:tcPr>
          <w:p>
            <w:r/>
            <w:r>
              <w:rPr>
                <w:b/>
                <w:i w:val="0"/>
                <w:color w:val="1E7A4F"/>
                <w:sz w:val="19"/>
              </w:rPr>
              <w:t>Yes</w:t>
            </w:r>
          </w:p>
        </w:tc>
      </w:tr>
      <w:tr>
        <w:tc>
          <w:tcPr>
            <w:tcW w:type="dxa" w:w="3024"/>
            <w:shd w:val="clear" w:fill="F2F6FB"/>
          </w:tcPr>
          <w:p>
            <w:r/>
            <w:r>
              <w:rPr>
                <w:b w:val="0"/>
                <w:i w:val="0"/>
                <w:sz w:val="19"/>
              </w:rPr>
              <w:t>Mythos Preview cyber capabilities (73% expert CTF success; first model to solve a "The Last Ones" challenge)</w:t>
            </w:r>
          </w:p>
        </w:tc>
        <w:tc>
          <w:tcPr>
            <w:tcW w:type="dxa" w:w="1728"/>
            <w:shd w:val="clear" w:fill="F2F6FB"/>
          </w:tcPr>
          <w:p>
            <w:r/>
            <w:r>
              <w:rPr>
                <w:b w:val="0"/>
                <w:i w:val="0"/>
                <w:sz w:val="19"/>
              </w:rPr>
              <w:t>UK Government (DSIT)</w:t>
            </w:r>
          </w:p>
        </w:tc>
        <w:tc>
          <w:tcPr>
            <w:tcW w:type="dxa" w:w="720"/>
            <w:shd w:val="clear" w:fill="F2F6FB"/>
          </w:tcPr>
          <w:p>
            <w:r/>
            <w:r>
              <w:rPr>
                <w:b w:val="0"/>
                <w:i w:val="0"/>
                <w:sz w:val="19"/>
              </w:rPr>
              <w:t>B</w:t>
            </w:r>
          </w:p>
        </w:tc>
        <w:tc>
          <w:tcPr>
            <w:tcW w:type="dxa" w:w="3744"/>
            <w:shd w:val="clear" w:fill="F2F6FB"/>
          </w:tcPr>
          <w:p>
            <w:r/>
            <w:r>
              <w:rPr>
                <w:b w:val="0"/>
                <w:i w:val="0"/>
                <w:sz w:val="19"/>
              </w:rPr>
              <w:t>Official ministerial open letter to business leaders (15 Apr 2026) citing the findings; NCSC advisories; BoE/FCA/HM Treasury joint statement to regulated firms (May 2026).</w:t>
            </w:r>
          </w:p>
        </w:tc>
        <w:tc>
          <w:tcPr>
            <w:tcW w:type="dxa" w:w="1008"/>
            <w:shd w:val="clear" w:fill="F2F6FB"/>
          </w:tcPr>
          <w:p>
            <w:r/>
            <w:r>
              <w:rPr>
                <w:b w:val="0"/>
                <w:i w:val="0"/>
                <w:color w:val="B03525"/>
                <w:sz w:val="19"/>
              </w:rPr>
              <w:t>No</w:t>
            </w:r>
          </w:p>
        </w:tc>
      </w:tr>
      <w:tr>
        <w:tc>
          <w:tcPr>
            <w:tcW w:type="dxa" w:w="3024"/>
          </w:tcPr>
          <w:p>
            <w:r/>
            <w:r>
              <w:rPr>
                <w:b w:val="0"/>
                <w:i w:val="0"/>
                <w:sz w:val="19"/>
              </w:rPr>
              <w:t>Frontier AI Trends Report (jailbreaks, bio, autonomy trends)</w:t>
            </w:r>
          </w:p>
        </w:tc>
        <w:tc>
          <w:tcPr>
            <w:tcW w:type="dxa" w:w="1728"/>
          </w:tcPr>
          <w:p>
            <w:r/>
            <w:r>
              <w:rPr>
                <w:b w:val="0"/>
                <w:i w:val="0"/>
                <w:sz w:val="19"/>
              </w:rPr>
              <w:t>UK House of Lords</w:t>
            </w:r>
          </w:p>
        </w:tc>
        <w:tc>
          <w:tcPr>
            <w:tcW w:type="dxa" w:w="720"/>
          </w:tcPr>
          <w:p>
            <w:r/>
            <w:r>
              <w:rPr>
                <w:b w:val="0"/>
                <w:i w:val="0"/>
                <w:sz w:val="19"/>
              </w:rPr>
              <w:t>B</w:t>
            </w:r>
          </w:p>
        </w:tc>
        <w:tc>
          <w:tcPr>
            <w:tcW w:type="dxa" w:w="3744"/>
          </w:tcPr>
          <w:p>
            <w:r/>
            <w:r>
              <w:rPr>
                <w:b w:val="0"/>
                <w:i w:val="0"/>
                <w:sz w:val="19"/>
              </w:rPr>
              <w:t>"AI Systems: Risks" debate (8 Jan 2026) cited the report; DSIT committed to regular publication.</w:t>
            </w:r>
          </w:p>
        </w:tc>
        <w:tc>
          <w:tcPr>
            <w:tcW w:type="dxa" w:w="1008"/>
          </w:tcPr>
          <w:p>
            <w:r/>
            <w:r>
              <w:rPr>
                <w:b w:val="0"/>
                <w:i w:val="0"/>
                <w:color w:val="B03525"/>
                <w:sz w:val="19"/>
              </w:rPr>
              <w:t>No</w:t>
            </w:r>
          </w:p>
        </w:tc>
      </w:tr>
      <w:tr>
        <w:tc>
          <w:tcPr>
            <w:tcW w:type="dxa" w:w="3024"/>
            <w:shd w:val="clear" w:fill="F2F6FB"/>
          </w:tcPr>
          <w:p>
            <w:r/>
            <w:r>
              <w:rPr>
                <w:b w:val="0"/>
                <w:i w:val="0"/>
                <w:sz w:val="19"/>
              </w:rPr>
              <w:t>May 2024 UK AISI evaluation release</w:t>
            </w:r>
          </w:p>
        </w:tc>
        <w:tc>
          <w:tcPr>
            <w:tcW w:type="dxa" w:w="1728"/>
            <w:shd w:val="clear" w:fill="F2F6FB"/>
          </w:tcPr>
          <w:p>
            <w:r/>
            <w:r>
              <w:rPr>
                <w:b w:val="0"/>
                <w:i w:val="0"/>
                <w:sz w:val="19"/>
              </w:rPr>
              <w:t>UK House of Commons S&amp;T Committee</w:t>
            </w:r>
          </w:p>
        </w:tc>
        <w:tc>
          <w:tcPr>
            <w:tcW w:type="dxa" w:w="720"/>
            <w:shd w:val="clear" w:fill="F2F6FB"/>
          </w:tcPr>
          <w:p>
            <w:r/>
            <w:r>
              <w:rPr>
                <w:b w:val="0"/>
                <w:i w:val="0"/>
                <w:sz w:val="19"/>
              </w:rPr>
              <w:t>B</w:t>
            </w:r>
          </w:p>
        </w:tc>
        <w:tc>
          <w:tcPr>
            <w:tcW w:type="dxa" w:w="3744"/>
            <w:shd w:val="clear" w:fill="F2F6FB"/>
          </w:tcPr>
          <w:p>
            <w:r/>
            <w:r>
              <w:rPr>
                <w:b w:val="0"/>
                <w:i w:val="0"/>
                <w:sz w:val="19"/>
              </w:rPr>
              <w:t>Committee engagement (HC 38, "Governance of AI"); Seoul Summit Frontier AI Safety Commitments signed by 16 companies.</w:t>
            </w:r>
          </w:p>
        </w:tc>
        <w:tc>
          <w:tcPr>
            <w:tcW w:type="dxa" w:w="1008"/>
            <w:shd w:val="clear" w:fill="F2F6FB"/>
          </w:tcPr>
          <w:p>
            <w:r/>
            <w:r>
              <w:rPr>
                <w:b w:val="0"/>
                <w:i w:val="0"/>
                <w:color w:val="B03525"/>
                <w:sz w:val="19"/>
              </w:rPr>
              <w:t>No</w:t>
            </w:r>
          </w:p>
        </w:tc>
      </w:tr>
      <w:tr>
        <w:tc>
          <w:tcPr>
            <w:tcW w:type="dxa" w:w="3024"/>
          </w:tcPr>
          <w:p>
            <w:r/>
            <w:r>
              <w:rPr>
                <w:b w:val="0"/>
                <w:i w:val="0"/>
                <w:sz w:val="19"/>
              </w:rPr>
              <w:t>Frontier cyber-capability evaluations (Claude Opus 4.6; GPT-5.5)</w:t>
            </w:r>
          </w:p>
        </w:tc>
        <w:tc>
          <w:tcPr>
            <w:tcW w:type="dxa" w:w="1728"/>
          </w:tcPr>
          <w:p>
            <w:r/>
            <w:r>
              <w:rPr>
                <w:b w:val="0"/>
                <w:i w:val="0"/>
                <w:sz w:val="19"/>
              </w:rPr>
              <w:t>UK NCSC</w:t>
            </w:r>
          </w:p>
        </w:tc>
        <w:tc>
          <w:tcPr>
            <w:tcW w:type="dxa" w:w="720"/>
          </w:tcPr>
          <w:p>
            <w:r/>
            <w:r>
              <w:rPr>
                <w:b w:val="0"/>
                <w:i w:val="0"/>
                <w:sz w:val="19"/>
              </w:rPr>
              <w:t>B</w:t>
            </w:r>
          </w:p>
        </w:tc>
        <w:tc>
          <w:tcPr>
            <w:tcW w:type="dxa" w:w="3744"/>
          </w:tcPr>
          <w:p>
            <w:r/>
            <w:r>
              <w:rPr>
                <w:b w:val="0"/>
                <w:i w:val="0"/>
                <w:sz w:val="19"/>
              </w:rPr>
              <w:t>Official advisory blogs for cyber defenders citing the evaluations, urging raised security baselines.</w:t>
            </w:r>
          </w:p>
        </w:tc>
        <w:tc>
          <w:tcPr>
            <w:tcW w:type="dxa" w:w="1008"/>
          </w:tcPr>
          <w:p>
            <w:r/>
            <w:r>
              <w:rPr>
                <w:b w:val="0"/>
                <w:i w:val="0"/>
                <w:color w:val="B03525"/>
                <w:sz w:val="19"/>
              </w:rPr>
              <w:t>No</w:t>
            </w:r>
          </w:p>
        </w:tc>
      </w:tr>
      <w:tr>
        <w:tc>
          <w:tcPr>
            <w:tcW w:type="dxa" w:w="3024"/>
            <w:shd w:val="clear" w:fill="F2F6FB"/>
          </w:tcPr>
          <w:p>
            <w:r/>
            <w:r>
              <w:rPr>
                <w:b w:val="0"/>
                <w:i w:val="0"/>
                <w:sz w:val="19"/>
              </w:rPr>
              <w:t>LatticeFlow COMPL-AI EU AI Act benchmark</w:t>
            </w:r>
          </w:p>
        </w:tc>
        <w:tc>
          <w:tcPr>
            <w:tcW w:type="dxa" w:w="1728"/>
            <w:shd w:val="clear" w:fill="F2F6FB"/>
          </w:tcPr>
          <w:p>
            <w:r/>
            <w:r>
              <w:rPr>
                <w:b w:val="0"/>
                <w:i w:val="0"/>
                <w:sz w:val="19"/>
              </w:rPr>
              <w:t>European Commission</w:t>
            </w:r>
          </w:p>
        </w:tc>
        <w:tc>
          <w:tcPr>
            <w:tcW w:type="dxa" w:w="720"/>
            <w:shd w:val="clear" w:fill="F2F6FB"/>
          </w:tcPr>
          <w:p>
            <w:r/>
            <w:r>
              <w:rPr>
                <w:b w:val="0"/>
                <w:i w:val="0"/>
                <w:sz w:val="19"/>
              </w:rPr>
              <w:t>B</w:t>
            </w:r>
          </w:p>
        </w:tc>
        <w:tc>
          <w:tcPr>
            <w:tcW w:type="dxa" w:w="3744"/>
            <w:shd w:val="clear" w:fill="F2F6FB"/>
          </w:tcPr>
          <w:p>
            <w:r/>
            <w:r>
              <w:rPr>
                <w:b w:val="0"/>
                <w:i w:val="0"/>
                <w:sz w:val="19"/>
              </w:rPr>
              <w:t>Commission spokesperson welcomed the platform as a first step in translating the EU AI Act into technical requirements.</w:t>
            </w:r>
          </w:p>
        </w:tc>
        <w:tc>
          <w:tcPr>
            <w:tcW w:type="dxa" w:w="1008"/>
            <w:shd w:val="clear" w:fill="F2F6FB"/>
          </w:tcPr>
          <w:p>
            <w:r/>
            <w:r>
              <w:rPr>
                <w:b w:val="0"/>
                <w:i w:val="0"/>
                <w:color w:val="B03525"/>
                <w:sz w:val="19"/>
              </w:rPr>
              <w:t>No</w:t>
            </w:r>
          </w:p>
        </w:tc>
      </w:tr>
      <w:tr>
        <w:tc>
          <w:tcPr>
            <w:tcW w:type="dxa" w:w="3024"/>
          </w:tcPr>
          <w:p>
            <w:r/>
            <w:r>
              <w:rPr>
                <w:b w:val="0"/>
                <w:i w:val="0"/>
                <w:sz w:val="19"/>
              </w:rPr>
              <w:t>PEReN 22-model energy-consumption study</w:t>
            </w:r>
          </w:p>
        </w:tc>
        <w:tc>
          <w:tcPr>
            <w:tcW w:type="dxa" w:w="1728"/>
          </w:tcPr>
          <w:p>
            <w:r/>
            <w:r>
              <w:rPr>
                <w:b w:val="0"/>
                <w:i w:val="0"/>
                <w:sz w:val="19"/>
              </w:rPr>
              <w:t>Arcep (France)</w:t>
            </w:r>
          </w:p>
        </w:tc>
        <w:tc>
          <w:tcPr>
            <w:tcW w:type="dxa" w:w="720"/>
          </w:tcPr>
          <w:p>
            <w:r/>
            <w:r>
              <w:rPr>
                <w:b w:val="0"/>
                <w:i w:val="0"/>
                <w:sz w:val="19"/>
              </w:rPr>
              <w:t>B</w:t>
            </w:r>
          </w:p>
        </w:tc>
        <w:tc>
          <w:tcPr>
            <w:tcW w:type="dxa" w:w="3744"/>
          </w:tcPr>
          <w:p>
            <w:r/>
            <w:r>
              <w:rPr>
                <w:b w:val="0"/>
                <w:i w:val="0"/>
                <w:sz w:val="19"/>
              </w:rPr>
              <w:t>Official regulator report (21 May 2026) built on the study, issuing 9 formal recommendations.</w:t>
            </w:r>
          </w:p>
        </w:tc>
        <w:tc>
          <w:tcPr>
            <w:tcW w:type="dxa" w:w="1008"/>
          </w:tcPr>
          <w:p>
            <w:r/>
            <w:r>
              <w:rPr>
                <w:b w:val="0"/>
                <w:i w:val="0"/>
                <w:color w:val="B03525"/>
                <w:sz w:val="19"/>
              </w:rPr>
              <w:t>No</w:t>
            </w:r>
          </w:p>
        </w:tc>
      </w:tr>
      <w:tr>
        <w:tc>
          <w:tcPr>
            <w:tcW w:type="dxa" w:w="3024"/>
            <w:shd w:val="clear" w:fill="F2F6FB"/>
          </w:tcPr>
          <w:p>
            <w:r/>
            <w:r>
              <w:rPr>
                <w:b w:val="0"/>
                <w:i w:val="0"/>
                <w:sz w:val="19"/>
              </w:rPr>
              <w:t>Marginal counts</w:t>
            </w:r>
          </w:p>
        </w:tc>
        <w:tc>
          <w:tcPr>
            <w:tcW w:type="dxa" w:w="1728"/>
            <w:shd w:val="clear" w:fill="F2F6FB"/>
          </w:tcPr>
          <w:p>
            <w:r/>
            <w:r>
              <w:rPr>
                <w:b w:val="0"/>
                <w:i w:val="0"/>
                <w:sz w:val="19"/>
              </w:rPr>
              <w:t>—</w:t>
            </w:r>
          </w:p>
        </w:tc>
        <w:tc>
          <w:tcPr>
            <w:tcW w:type="dxa" w:w="720"/>
            <w:shd w:val="clear" w:fill="F2F6FB"/>
          </w:tcPr>
          <w:p>
            <w:r/>
            <w:r>
              <w:rPr>
                <w:b w:val="0"/>
                <w:i w:val="0"/>
                <w:sz w:val="19"/>
              </w:rPr>
              <w:t>—</w:t>
            </w:r>
          </w:p>
        </w:tc>
        <w:tc>
          <w:tcPr>
            <w:tcW w:type="dxa" w:w="3744"/>
            <w:shd w:val="clear" w:fill="F2F6FB"/>
          </w:tcPr>
          <w:p>
            <w:r/>
            <w:r>
              <w:rPr>
                <w:b w:val="0"/>
                <w:i w:val="0"/>
                <w:sz w:val="19"/>
              </w:rPr>
              <w:t>Findings with any policy-record appearance: 41 of 345. Binding: 4 rows (the three cases above; the CSAM cluster spans two rows). Type C (deferral): 0 found.</w:t>
            </w:r>
          </w:p>
        </w:tc>
        <w:tc>
          <w:tcPr>
            <w:tcW w:type="dxa" w:w="1008"/>
            <w:shd w:val="clear" w:fill="F2F6FB"/>
          </w:tcPr>
          <w:p>
            <w:r/>
            <w:r>
              <w:rPr>
                <w:b w:val="0"/>
                <w:i w:val="0"/>
                <w:sz w:val="19"/>
              </w:rPr>
              <w:t>—</w:t>
            </w:r>
          </w:p>
        </w:tc>
      </w:tr>
    </w:tbl>
    <w:p>
      <w:pPr>
        <w:spacing w:after="280"/>
        <w:jc w:val="left"/>
      </w:pPr>
      <w:r>
        <w:rPr>
          <w:b/>
          <w:color w:val="6B6B7B"/>
          <w:sz w:val="17"/>
        </w:rPr>
        <w:t xml:space="preserve">Table 9.  </w:t>
      </w:r>
      <w:r>
        <w:rPr>
          <w:i/>
          <w:color w:val="6B6B7B"/>
          <w:sz w:val="17"/>
        </w:rPr>
        <w:t>Binding action occurred only where an enforcement instrument already existed. Policy-record appearances of corpus findings, 2024–2026 (selected rows; the dataset logs all 41). Type A = citation accompanying binding action; Type B = advisory response. Data cutoff: 9 July 2026 (v9).</w:t>
      </w:r>
    </w:p>
    <w:p>
      <w:pPr>
        <w:spacing w:after="160"/>
      </w:pPr>
      <w:r>
        <w:rPr>
          <w:b w:val="0"/>
          <w:i w:val="0"/>
          <w:sz w:val="21"/>
        </w:rPr>
        <w:t>The three Type A cases share one structure: an enforcement pathway that already existed — criminal law for CSAM, export-control law for Fable/Mythos and GPT-5.6 — into which the evaluation finding could feed. In every other case, no such pathway existed, and the response topped out at advisory action regardless of the finding's severity. The converse also holds: no Type B citation, however senior its author, escalated to binding action without such a pre-existing instrument.</w:t>
      </w:r>
    </w:p>
    <w:p>
      <w:pPr>
        <w:pStyle w:val="Heading2"/>
      </w:pPr>
      <w:r>
        <w:rPr>
          <w:color w:val="1F4E79"/>
        </w:rPr>
        <w:t>5.4  What institutional design features are missing</w:t>
      </w:r>
    </w:p>
    <w:p>
      <w:pPr>
        <w:spacing w:after="160"/>
      </w:pPr>
      <w:r>
        <w:rPr>
          <w:b w:val="0"/>
          <w:i w:val="0"/>
          <w:sz w:val="21"/>
        </w:rPr>
        <w:t>We compare AISI and CAISI against seven established oversight bodies across the US and UK, following the structured, focused comparison method (George &amp; Bennett, 2005): the same seven design questions are asked of every body. Each comparator was forged by a failure — the FDA's premarket authority dates to the 1937 sulfanilamide deaths, the NTSB to mid-century air disasters, the PCAOB to Enron's collapse (Section 2.3). AISIs are, in this sense, pre-disaster institutions: the pattern below shows they currently lack the structural features their comparators acquired only after catastrophe made the case.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880"/>
            <w:shd w:val="clear" w:fill="1F4E79"/>
          </w:tcPr>
          <w:p>
            <w:r/>
            <w:r>
              <w:rPr>
                <w:b/>
                <w:i w:val="0"/>
                <w:color w:val="FFFFFF"/>
                <w:sz w:val="17"/>
              </w:rPr>
              <w:t>Design feature</w:t>
            </w:r>
          </w:p>
        </w:tc>
        <w:tc>
          <w:tcPr>
            <w:tcW w:type="dxa" w:w="648"/>
            <w:shd w:val="clear" w:fill="1F4E79"/>
          </w:tcPr>
          <w:p>
            <w:r/>
            <w:r>
              <w:rPr>
                <w:b/>
                <w:i w:val="0"/>
                <w:color w:val="FFFFFF"/>
                <w:sz w:val="17"/>
              </w:rPr>
              <w:t>FDA</w:t>
            </w:r>
          </w:p>
        </w:tc>
        <w:tc>
          <w:tcPr>
            <w:tcW w:type="dxa" w:w="648"/>
            <w:shd w:val="clear" w:fill="1F4E79"/>
          </w:tcPr>
          <w:p>
            <w:r/>
            <w:r>
              <w:rPr>
                <w:b/>
                <w:i w:val="0"/>
                <w:color w:val="FFFFFF"/>
                <w:sz w:val="17"/>
              </w:rPr>
              <w:t>NRC</w:t>
            </w:r>
          </w:p>
        </w:tc>
        <w:tc>
          <w:tcPr>
            <w:tcW w:type="dxa" w:w="720"/>
            <w:shd w:val="clear" w:fill="1F4E79"/>
          </w:tcPr>
          <w:p>
            <w:r/>
            <w:r>
              <w:rPr>
                <w:b/>
                <w:i w:val="0"/>
                <w:color w:val="FFFFFF"/>
                <w:sz w:val="17"/>
              </w:rPr>
              <w:t>NTSB</w:t>
            </w:r>
          </w:p>
        </w:tc>
        <w:tc>
          <w:tcPr>
            <w:tcW w:type="dxa" w:w="864"/>
            <w:shd w:val="clear" w:fill="1F4E79"/>
          </w:tcPr>
          <w:p>
            <w:r/>
            <w:r>
              <w:rPr>
                <w:b/>
                <w:i w:val="0"/>
                <w:color w:val="FFFFFF"/>
                <w:sz w:val="17"/>
              </w:rPr>
              <w:t>PCAOB</w:t>
            </w:r>
          </w:p>
        </w:tc>
        <w:tc>
          <w:tcPr>
            <w:tcW w:type="dxa" w:w="648"/>
            <w:shd w:val="clear" w:fill="1F4E79"/>
          </w:tcPr>
          <w:p>
            <w:r/>
            <w:r>
              <w:rPr>
                <w:b/>
                <w:i w:val="0"/>
                <w:color w:val="FFFFFF"/>
                <w:sz w:val="17"/>
              </w:rPr>
              <w:t>ONR</w:t>
            </w:r>
          </w:p>
        </w:tc>
        <w:tc>
          <w:tcPr>
            <w:tcW w:type="dxa" w:w="648"/>
            <w:shd w:val="clear" w:fill="1F4E79"/>
          </w:tcPr>
          <w:p>
            <w:r/>
            <w:r>
              <w:rPr>
                <w:b/>
                <w:i w:val="0"/>
                <w:color w:val="FFFFFF"/>
                <w:sz w:val="17"/>
              </w:rPr>
              <w:t>FCA</w:t>
            </w:r>
          </w:p>
        </w:tc>
        <w:tc>
          <w:tcPr>
            <w:tcW w:type="dxa" w:w="648"/>
            <w:shd w:val="clear" w:fill="1F4E79"/>
          </w:tcPr>
          <w:p>
            <w:r/>
            <w:r>
              <w:rPr>
                <w:b/>
                <w:i w:val="0"/>
                <w:color w:val="FFFFFF"/>
                <w:sz w:val="17"/>
              </w:rPr>
              <w:t>CAA</w:t>
            </w:r>
          </w:p>
        </w:tc>
        <w:tc>
          <w:tcPr>
            <w:tcW w:type="dxa" w:w="2664"/>
            <w:shd w:val="clear" w:fill="1F4E79"/>
          </w:tcPr>
          <w:p>
            <w:r/>
            <w:r>
              <w:rPr>
                <w:b/>
                <w:i w:val="0"/>
                <w:color w:val="FFFFFF"/>
                <w:sz w:val="17"/>
              </w:rPr>
              <w:t>AISI / CAISI</w:t>
            </w:r>
          </w:p>
        </w:tc>
      </w:tr>
      <w:tr>
        <w:tc>
          <w:tcPr>
            <w:tcW w:type="dxa" w:w="2880"/>
          </w:tcPr>
          <w:p>
            <w:r/>
            <w:r>
              <w:rPr>
                <w:b w:val="0"/>
                <w:i w:val="0"/>
                <w:sz w:val="17"/>
              </w:rPr>
              <w:t>Can block or delay market deployment</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B03525"/>
                <w:sz w:val="17"/>
              </w:rPr>
              <w:t>○</w:t>
            </w:r>
          </w:p>
        </w:tc>
        <w:tc>
          <w:tcPr>
            <w:tcW w:type="dxa" w:w="864"/>
          </w:tcPr>
          <w:p>
            <w:r/>
            <w:r>
              <w:rPr>
                <w:b/>
                <w:i w:val="0"/>
                <w:color w:val="B03525"/>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no authority to delay or block deployment</w:t>
            </w:r>
          </w:p>
        </w:tc>
      </w:tr>
      <w:tr>
        <w:tc>
          <w:tcPr>
            <w:tcW w:type="dxa" w:w="2880"/>
            <w:shd w:val="clear" w:fill="F2F6FB"/>
          </w:tcPr>
          <w:p>
            <w:r/>
            <w:r>
              <w:rPr>
                <w:b w:val="0"/>
                <w:i w:val="0"/>
                <w:sz w:val="17"/>
              </w:rPr>
              <w:t>Mandatory disclosure of findings</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1E7A4F"/>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company controls publication rights over findings</w:t>
            </w:r>
          </w:p>
        </w:tc>
      </w:tr>
      <w:tr>
        <w:tc>
          <w:tcPr>
            <w:tcW w:type="dxa" w:w="2880"/>
          </w:tcPr>
          <w:p>
            <w:r/>
            <w:r>
              <w:rPr>
                <w:b w:val="0"/>
                <w:i w:val="0"/>
                <w:sz w:val="17"/>
              </w:rPr>
              <w:t>Privileged access rights (cannot be denied)</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1E7A4F"/>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access is voluntary and company-granted, negotiated per exercise</w:t>
            </w:r>
          </w:p>
        </w:tc>
      </w:tr>
      <w:tr>
        <w:tc>
          <w:tcPr>
            <w:tcW w:type="dxa" w:w="2880"/>
            <w:shd w:val="clear" w:fill="F2F6FB"/>
          </w:tcPr>
          <w:p>
            <w:r/>
            <w:r>
              <w:rPr>
                <w:b w:val="0"/>
                <w:i w:val="0"/>
                <w:sz w:val="17"/>
              </w:rPr>
              <w:t>Defined escalation thresholds (finding → required action)</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6B6B7B"/>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no threshold at which any action is required</w:t>
            </w:r>
          </w:p>
        </w:tc>
      </w:tr>
      <w:tr>
        <w:tc>
          <w:tcPr>
            <w:tcW w:type="dxa" w:w="2880"/>
          </w:tcPr>
          <w:p>
            <w:r/>
            <w:r>
              <w:rPr>
                <w:b w:val="0"/>
                <w:i w:val="0"/>
                <w:sz w:val="17"/>
              </w:rPr>
              <w:t>Right to verify company remediation claims</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B03525"/>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AISI could not verify the GPT-5.5 fix before deployment</w:t>
            </w:r>
          </w:p>
        </w:tc>
      </w:tr>
      <w:tr>
        <w:tc>
          <w:tcPr>
            <w:tcW w:type="dxa" w:w="2880"/>
            <w:shd w:val="clear" w:fill="F2F6FB"/>
          </w:tcPr>
          <w:p>
            <w:r/>
            <w:r>
              <w:rPr>
                <w:b w:val="0"/>
                <w:i w:val="0"/>
                <w:sz w:val="17"/>
              </w:rPr>
              <w:t>Defined pathway to an enforcement body</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1E7A4F"/>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no pathway to any body with enforcement authority</w:t>
            </w:r>
          </w:p>
        </w:tc>
      </w:tr>
      <w:tr>
        <w:tc>
          <w:tcPr>
            <w:tcW w:type="dxa" w:w="2880"/>
          </w:tcPr>
          <w:p>
            <w:r/>
            <w:r>
              <w:rPr>
                <w:b w:val="0"/>
                <w:i w:val="0"/>
                <w:sz w:val="17"/>
              </w:rPr>
              <w:t>Post-evaluation follow-up and tracking</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1E7A4F"/>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no systematic tracking of whether findings were acted on</w:t>
            </w:r>
          </w:p>
        </w:tc>
      </w:tr>
    </w:tbl>
    <w:p>
      <w:pPr>
        <w:spacing w:after="280"/>
        <w:jc w:val="left"/>
      </w:pPr>
      <w:r>
        <w:rPr>
          <w:b/>
          <w:color w:val="6B6B7B"/>
          <w:sz w:val="17"/>
        </w:rPr>
        <w:t xml:space="preserve">Table 10.  </w:t>
      </w:r>
      <w:r>
        <w:rPr>
          <w:i/>
          <w:color w:val="6B6B7B"/>
          <w:sz w:val="17"/>
        </w:rPr>
        <w:t>AISIs lack all seven structural features that every comparator oversight body possesses. ● = feature present; ○ = absent; ◑ = partial (NTSB can recommend but not mandate action). US: FDA = Food and Drug Administration; NRC = Nuclear Regulatory Commission; NTSB = National Transportation Safety Board; PCAOB = Public Company Accounting Oversight Board. UK: ONR = Office for Nuclear Regulation; FCA = Financial Conduct Authority; CAA = Civil Aviation Authority. Per-cell explanations in Appendix C. The Fable 5/Mythos 5 case (Section 5.1) shows what happens on the rare occasion the missing features are supplied ad hoc by another instrument. Snapshot as of July 2026.</w:t>
      </w:r>
    </w:p>
    <w:p>
      <w:pPr>
        <w:pStyle w:val="Heading1"/>
      </w:pPr>
      <w:r>
        <w:rPr>
          <w:color w:val="1F4E79"/>
        </w:rPr>
        <w:t>6  What This Analysis Cannot Establish</w:t>
      </w:r>
    </w:p>
    <w:p>
      <w:pPr>
        <w:pStyle w:val="Heading2"/>
      </w:pPr>
      <w:r>
        <w:rPr>
          <w:color w:val="1F4E79"/>
        </w:rPr>
        <w:t>6.1  Considering counterarguments</w:t>
      </w:r>
    </w:p>
    <w:p>
      <w:pPr>
        <w:spacing w:after="160"/>
      </w:pPr>
      <w:r>
        <w:rPr>
          <w:b/>
          <w:i/>
          <w:sz w:val="21"/>
        </w:rPr>
        <w:t>"Companies may respond privately."</w:t>
      </w:r>
      <w:r>
        <w:rPr>
          <w:sz w:val="21"/>
        </w:rPr>
        <w:t xml:space="preserve"> True, and structurally invisible to this method. Findings shared under MOUs, and fixes made quietly during pre-deployment windows, leave no public trace; some rows coded None may have been acted on privately. This is why we treat the public corpus as a floor estimate: our gap figures are upper bounds on public accountability, not measurements of total company behaviour. But the floor is the quantity that matters for public trust — it is the only part of the chain the public can inspect, and it is currently 73% empty.</w:t>
      </w:r>
    </w:p>
    <w:p>
      <w:pPr>
        <w:spacing w:after="160"/>
      </w:pPr>
      <w:r>
        <w:rPr>
          <w:b/>
          <w:i/>
          <w:sz w:val="21"/>
        </w:rPr>
        <w:t>"Absence of a citation is not absence of influence."</w:t>
      </w:r>
      <w:r>
        <w:rPr>
          <w:sz w:val="21"/>
        </w:rPr>
        <w:t xml:space="preserve"> Also true, in both channels. A finding may shape a company decision or a policy debate without ever being credited. Our Attribution coding separates explicit credit from coincidence precisely so we never claim causation from association — all 13 Substantive rows carry Explicit attribution, which is consistent with responses concentrating where companies are willing to say so, and equally consistent with credit-giving being part of coordinated disclosure. The claim we defend is narrower: the public record does not show follow-through, not that follow-through never occurred.</w:t>
      </w:r>
    </w:p>
    <w:p>
      <w:pPr>
        <w:spacing w:after="160"/>
      </w:pPr>
      <w:r>
        <w:rPr>
          <w:b/>
          <w:i/>
          <w:sz w:val="21"/>
        </w:rPr>
        <w:t>"The corpus over-weights UK AISI and recent findings."</w:t>
      </w:r>
      <w:r>
        <w:rPr>
          <w:sz w:val="21"/>
        </w:rPr>
        <w:t xml:space="preserve"> It does, and the paper is built to survive that. UK AISI publishes the most, so it dominates the corpus (Figure 2); this is a fact about the ecosystem's publication behaviour, not a sampling choice. The headline is computed only over ensemble-classified alarming findings, so it cannot be diluted by volume, and 2026 findings are flagged as right-censored wherever they appear (Sections 4.1, 4.6). Subgroup rates with n below 10 are labelled directional throughout.</w:t>
      </w:r>
    </w:p>
    <w:p>
      <w:pPr>
        <w:pStyle w:val="Heading2"/>
      </w:pPr>
      <w:r>
        <w:rPr>
          <w:color w:val="1F4E79"/>
        </w:rPr>
        <w:t>6.2  Scope limitations</w:t>
      </w:r>
    </w:p>
    <w:p>
      <w:pPr>
        <w:pStyle w:val="ListBullet"/>
      </w:pPr>
      <w:r>
        <w:rPr>
          <w:b/>
          <w:sz w:val="21"/>
        </w:rPr>
        <w:t>Action is not the same as mattering.</w:t>
      </w:r>
      <w:r>
        <w:rPr>
          <w:sz w:val="21"/>
        </w:rPr>
        <w:t xml:space="preserve"> As Section 1.2 sets out, this paper measures public evidence of action, and only that. Evaluations can matter invisibly — deterrence, private fixes, null results doing their job — and our results say nothing against that.</w:t>
      </w:r>
    </w:p>
    <w:p>
      <w:pPr>
        <w:pStyle w:val="ListBullet"/>
      </w:pPr>
      <w:r>
        <w:rPr>
          <w:b/>
          <w:sz w:val="21"/>
        </w:rPr>
        <w:t>Attribution is association, not causation.</w:t>
      </w:r>
      <w:r>
        <w:rPr>
          <w:sz w:val="21"/>
        </w:rPr>
        <w:t xml:space="preserve"> Even Explicit attribution establishes that the company chose to link its action to the finding, not that the finding caused the action.</w:t>
      </w:r>
    </w:p>
    <w:p>
      <w:pPr>
        <w:pStyle w:val="ListBullet"/>
      </w:pPr>
      <w:r>
        <w:rPr>
          <w:b/>
          <w:sz w:val="21"/>
        </w:rPr>
        <w:t>Coverage limits.</w:t>
      </w:r>
      <w:r>
        <w:rPr>
          <w:sz w:val="21"/>
        </w:rPr>
        <w:t xml:space="preserve"> Non-English institute output was excluded; anonymised findings (a large share of the corpus, Figure 3) cannot be traced to any accountable party by construction; and the Tier A subset, at 55 findings, supports the headline computation but not fine-grained subgroup claims.</w:t>
      </w:r>
    </w:p>
    <w:p>
      <w:pPr>
        <w:pStyle w:val="ListBullet"/>
      </w:pPr>
      <w:r>
        <w:rPr>
          <w:b/>
          <w:sz w:val="21"/>
        </w:rPr>
        <w:t>This is not an argument against evaluation institutes.</w:t>
      </w:r>
      <w:r>
        <w:rPr>
          <w:sz w:val="21"/>
        </w:rPr>
        <w:t xml:space="preserve"> The comparison bodies in Section 5.4 exist to show what a well-designed evaluation body looks like, not to suggest evaluation bodies are useless. Several comparators (the PCAOB most directly) were created by adding enforcement machinery to an oversight arrangement that had just failed — the reform path, not the abolition path.</w:t>
      </w:r>
    </w:p>
    <w:p>
      <w:pPr>
        <w:pStyle w:val="Heading1"/>
      </w:pPr>
      <w:r>
        <w:rPr>
          <w:color w:val="1F4E79"/>
        </w:rPr>
        <w:t>7  Conclusion</w:t>
      </w:r>
    </w:p>
    <w:p>
      <w:pPr>
        <w:spacing w:after="160"/>
      </w:pPr>
      <w:r>
        <w:rPr>
          <w:b w:val="0"/>
          <w:i w:val="0"/>
          <w:sz w:val="21"/>
        </w:rPr>
        <w:t>Across 345 publicly documented evaluation findings from three years of government and independent frontier-AI evaluation, the public record shows follow-through on a minority of the findings for which follow-through could reasonably be expected: 32 of 44 alarming, accountability-relevant findings (73%) drew no response or an inadequate one — the accountability gap. The exceptions are structured, not random: substantive responses concentrate where evaluators had pre-deployment access (36% vs. 7%), where disclosure was coordinated, and — for binding action — where an enforcement instrument already existed. Based on the available information, the public lacks a strong reason to trust that government and independent AI evaluations consistently result in substantive improvements to the safety of deployed AI systems.</w:t>
      </w:r>
    </w:p>
    <w:p>
      <w:pPr>
        <w:spacing w:after="160"/>
      </w:pPr>
      <w:r>
        <w:rPr>
          <w:b w:val="0"/>
          <w:i w:val="0"/>
          <w:sz w:val="21"/>
        </w:rPr>
        <w:t>Two changes would shrink the evidentiary hole this paper documents, and both are stated here as positive claims rather than exhortations:</w:t>
      </w:r>
    </w:p>
    <w:p>
      <w:pPr>
        <w:pStyle w:val="ListBullet"/>
      </w:pPr>
      <w:r>
        <w:rPr>
          <w:sz w:val="21"/>
        </w:rPr>
        <w:t>If companies reported what they do with the information they receive from government evaluations — even in aggregate, even privately to the evaluator — the public and policymakers would have direct evidence of follow-through where today they have silence, and papers like this one would be measuring action rather than its shadow. Such reporting would increase public awareness, trust, and confidence in both the companies and the evaluation regime.</w:t>
      </w:r>
    </w:p>
    <w:p>
      <w:pPr>
        <w:pStyle w:val="ListBullet"/>
      </w:pPr>
      <w:r>
        <w:rPr>
          <w:sz w:val="21"/>
        </w:rPr>
        <w:t>Government AI institutes could negotiate evaluation terms that require companies to communicate — publicly, or at least privately to the institute — what actions they took in response to findings. The Fable 5 redeployment shows companies will accept verification conditions when the alternative is unavailability; the negotiating leverage exists at the moment access is granted.</w:t>
      </w:r>
    </w:p>
    <w:p>
      <w:pPr>
        <w:spacing w:after="160"/>
      </w:pPr>
      <w:r>
        <w:rPr>
          <w:b w:val="0"/>
          <w:i w:val="0"/>
          <w:sz w:val="21"/>
        </w:rPr>
        <w:t>A living public tracker of finding outcomes — of which this paper's dataset and dashboard are a first version — would shift that accountability pressure from episodic to ongoing.</w:t>
      </w:r>
    </w:p>
    <w:p>
      <w:pPr>
        <w:pStyle w:val="Heading1"/>
      </w:pPr>
      <w:r>
        <w:rPr>
          <w:color w:val="1F4E79"/>
        </w:rPr>
        <w:t>References</w:t>
      </w:r>
    </w:p>
    <w:p>
      <w:pPr>
        <w:spacing w:after="160"/>
      </w:pPr>
      <w:r>
        <w:rPr>
          <w:b w:val="0"/>
          <w:i/>
          <w:sz w:val="19"/>
        </w:rPr>
        <w:t>Alphabetical by first author. All entries are published arXiv preprints, conference papers, or books, verified at the time of writing.</w:t>
      </w:r>
    </w:p>
    <w:p>
      <w:pPr>
        <w:spacing w:after="80"/>
      </w:pPr>
      <w:r>
        <w:rPr>
          <w:sz w:val="19"/>
        </w:rPr>
        <w:t xml:space="preserve">1. Andriushchenko, M., Souly, A., Dziemian, M., et al. (2024). AgentHarm: A Benchmark for Measuring Harmfulness of LLM Agents. </w:t>
      </w:r>
      <w:hyperlink r:id="rId18">
        <w:r>
          <w:rPr>
            <w:color w:val="0563C1"/>
            <w:u w:val="single"/>
            <w:sz w:val="19"/>
          </w:rPr>
          <w:t>arXiv:2410.09024</w:t>
        </w:r>
      </w:hyperlink>
    </w:p>
    <w:p>
      <w:pPr>
        <w:spacing w:after="80"/>
      </w:pPr>
      <w:r>
        <w:rPr>
          <w:sz w:val="19"/>
        </w:rPr>
        <w:t xml:space="preserve">2. Araujo, R., Fort, K., &amp; Guest, O. (2024). Understanding the First Wave of AI Safety Institutes: Characteristics, Functions, and Challenges. </w:t>
      </w:r>
      <w:hyperlink r:id="rId19">
        <w:r>
          <w:rPr>
            <w:color w:val="0563C1"/>
            <w:u w:val="single"/>
            <w:sz w:val="19"/>
          </w:rPr>
          <w:t>arXiv:2410.09219</w:t>
        </w:r>
      </w:hyperlink>
    </w:p>
    <w:p>
      <w:pPr>
        <w:spacing w:after="80"/>
      </w:pPr>
      <w:r>
        <w:rPr>
          <w:sz w:val="19"/>
        </w:rPr>
        <w:t xml:space="preserve">3. Bengio, Y., et al. (2026). International AI Safety Report 2026. </w:t>
      </w:r>
      <w:hyperlink r:id="rId17">
        <w:r>
          <w:rPr>
            <w:color w:val="0563C1"/>
            <w:u w:val="single"/>
            <w:sz w:val="19"/>
          </w:rPr>
          <w:t>arXiv:2602.21012</w:t>
        </w:r>
      </w:hyperlink>
    </w:p>
    <w:p>
      <w:pPr>
        <w:spacing w:after="80"/>
      </w:pPr>
      <w:r>
        <w:rPr>
          <w:sz w:val="19"/>
        </w:rPr>
        <w:t xml:space="preserve">4. Brundage, M., Dreksler, N., Homewood, A., McGregor, S., Paskov, P., Stosz, C., Sastry, G., Casper, S., et al. (2026). Frontier AI Auditing: Toward Rigorous Third-Party Assessment of Safety and Security Practices at Leading AI Companies. </w:t>
      </w:r>
      <w:hyperlink r:id="rId11">
        <w:r>
          <w:rPr>
            <w:color w:val="0563C1"/>
            <w:u w:val="single"/>
            <w:sz w:val="19"/>
          </w:rPr>
          <w:t>arXiv:2601.11699</w:t>
        </w:r>
      </w:hyperlink>
    </w:p>
    <w:p>
      <w:pPr>
        <w:spacing w:after="80"/>
      </w:pPr>
      <w:r>
        <w:rPr>
          <w:sz w:val="19"/>
        </w:rPr>
        <w:t xml:space="preserve">5. Casper, S., Ezell, C., et al. (2024). Black-Box Access is Insufficient for Rigorous AI Audits. </w:t>
      </w:r>
      <w:hyperlink r:id="rId20">
        <w:r>
          <w:rPr>
            <w:color w:val="0563C1"/>
            <w:u w:val="single"/>
            <w:sz w:val="19"/>
          </w:rPr>
          <w:t>arXiv:2401.14446</w:t>
        </w:r>
      </w:hyperlink>
    </w:p>
    <w:p>
      <w:pPr>
        <w:spacing w:after="80"/>
      </w:pPr>
      <w:r>
        <w:rPr>
          <w:sz w:val="19"/>
        </w:rPr>
        <w:t xml:space="preserve">6. Casper, S., Krueger, D., &amp; Hadfield-Menell, D. (2025). Pitfalls of Evidence-Based AI Policy. </w:t>
      </w:r>
      <w:hyperlink r:id="rId10">
        <w:r>
          <w:rPr>
            <w:color w:val="0563C1"/>
            <w:u w:val="single"/>
            <w:sz w:val="19"/>
          </w:rPr>
          <w:t>arXiv:2502.09618</w:t>
        </w:r>
      </w:hyperlink>
    </w:p>
    <w:p>
      <w:pPr>
        <w:spacing w:after="80"/>
      </w:pPr>
      <w:r>
        <w:rPr>
          <w:sz w:val="19"/>
        </w:rPr>
        <w:t xml:space="preserve">7. Davies, X., Giglemiani, G., Lau, E., Winsor, E., Irving, G., &amp; Gal, Y. (2026). Boundary Point Jailbreaking of Black-Box LLMs. </w:t>
      </w:r>
      <w:hyperlink r:id="rId21">
        <w:r>
          <w:rPr>
            <w:color w:val="0563C1"/>
            <w:u w:val="single"/>
            <w:sz w:val="19"/>
          </w:rPr>
          <w:t>arXiv:2602.15001</w:t>
        </w:r>
      </w:hyperlink>
    </w:p>
    <w:p>
      <w:pPr>
        <w:spacing w:after="80"/>
      </w:pPr>
      <w:r>
        <w:rPr>
          <w:sz w:val="19"/>
        </w:rPr>
        <w:t xml:space="preserve">8. George, A. L., &amp; Bennett, A. (2005). Case Studies and Theory Development in the Social Sciences. MIT Press. </w:t>
      </w:r>
      <w:hyperlink r:id="rId22">
        <w:r>
          <w:rPr>
            <w:color w:val="0563C1"/>
            <w:u w:val="single"/>
            <w:sz w:val="19"/>
          </w:rPr>
          <w:t>MIT Press</w:t>
        </w:r>
      </w:hyperlink>
    </w:p>
    <w:p>
      <w:pPr>
        <w:spacing w:after="80"/>
      </w:pPr>
      <w:r>
        <w:rPr>
          <w:sz w:val="19"/>
        </w:rPr>
        <w:t xml:space="preserve">9. McKenzie, I. R., et al. (2025). STACK: Adversarial Attacks on LLM Safeguard Pipelines. </w:t>
      </w:r>
      <w:hyperlink r:id="rId23">
        <w:r>
          <w:rPr>
            <w:color w:val="0563C1"/>
            <w:u w:val="single"/>
            <w:sz w:val="19"/>
          </w:rPr>
          <w:t>arXiv:2506.24068</w:t>
        </w:r>
      </w:hyperlink>
    </w:p>
    <w:p>
      <w:pPr>
        <w:spacing w:after="80"/>
      </w:pPr>
      <w:r>
        <w:rPr>
          <w:sz w:val="19"/>
        </w:rPr>
        <w:t xml:space="preserve">10. Raji, I. D., &amp; Buolamwini, J. (2019). Actionable Auditing: Investigating the Impact of Publicly Naming Biased Performance Results of Commercial AI Products. AIES '19. </w:t>
      </w:r>
      <w:hyperlink r:id="rId12">
        <w:r>
          <w:rPr>
            <w:color w:val="0563C1"/>
            <w:u w:val="single"/>
            <w:sz w:val="19"/>
          </w:rPr>
          <w:t>ACM 3306618.3314244</w:t>
        </w:r>
      </w:hyperlink>
    </w:p>
    <w:p>
      <w:pPr>
        <w:spacing w:after="80"/>
      </w:pPr>
      <w:r>
        <w:rPr>
          <w:sz w:val="19"/>
        </w:rPr>
        <w:t xml:space="preserve">11. Rost, T. (2026). From Disclosure to Self-Referential Opacity: Six Dimensions of Strain in Current AI Governance. </w:t>
      </w:r>
      <w:hyperlink r:id="rId16">
        <w:r>
          <w:rPr>
            <w:color w:val="0563C1"/>
            <w:u w:val="single"/>
            <w:sz w:val="19"/>
          </w:rPr>
          <w:t>arXiv:2604.14070</w:t>
        </w:r>
      </w:hyperlink>
    </w:p>
    <w:p>
      <w:pPr>
        <w:spacing w:after="80"/>
      </w:pPr>
      <w:r>
        <w:rPr>
          <w:sz w:val="19"/>
        </w:rPr>
        <w:t xml:space="preserve">12. Sharma, M., et al. (2025). Constitutional Classifiers: Defending Against Universal Jailbreaks Across Thousands of Hours of Red Teaming. </w:t>
      </w:r>
      <w:hyperlink r:id="rId24">
        <w:r>
          <w:rPr>
            <w:color w:val="0563C1"/>
            <w:u w:val="single"/>
            <w:sz w:val="19"/>
          </w:rPr>
          <w:t>arXiv:2501.18837</w:t>
        </w:r>
      </w:hyperlink>
    </w:p>
    <w:p>
      <w:pPr>
        <w:spacing w:after="80"/>
      </w:pPr>
      <w:r>
        <w:rPr>
          <w:sz w:val="19"/>
        </w:rPr>
        <w:t xml:space="preserve">13. Taylor, J., Black, S., Bowen, D., et al. (2025). Auditing Games for Sandbagging. </w:t>
      </w:r>
      <w:hyperlink r:id="rId25">
        <w:r>
          <w:rPr>
            <w:color w:val="0563C1"/>
            <w:u w:val="single"/>
            <w:sz w:val="19"/>
          </w:rPr>
          <w:t>arXiv:2512.07810</w:t>
        </w:r>
      </w:hyperlink>
    </w:p>
    <w:p>
      <w:pPr>
        <w:spacing w:after="80"/>
      </w:pPr>
      <w:r>
        <w:rPr>
          <w:sz w:val="19"/>
        </w:rPr>
        <w:t xml:space="preserve">14. Wang, J., Huang, K., Klyman, K., &amp; Bommasani, R. (2025). Do AI Companies Make Good on Voluntary Commitments to the White House? </w:t>
      </w:r>
      <w:hyperlink r:id="rId15">
        <w:r>
          <w:rPr>
            <w:color w:val="0563C1"/>
            <w:u w:val="single"/>
            <w:sz w:val="19"/>
          </w:rPr>
          <w:t>arXiv:2508.08345</w:t>
        </w:r>
      </w:hyperlink>
    </w:p>
    <w:p>
      <w:pPr>
        <w:spacing w:after="80"/>
      </w:pPr>
      <w:r>
        <w:rPr>
          <w:sz w:val="19"/>
        </w:rPr>
        <w:t xml:space="preserve">15. Wei, K., Ezell, C., Gabrieli, N., &amp; Deshpande, C. (2024). How Do AI Companies "Fine-Tune" Policy? Examining Regulatory Capture in AI Governance. </w:t>
      </w:r>
      <w:hyperlink r:id="rId14">
        <w:r>
          <w:rPr>
            <w:color w:val="0563C1"/>
            <w:u w:val="single"/>
            <w:sz w:val="19"/>
          </w:rPr>
          <w:t>arXiv:2410.13042</w:t>
        </w:r>
      </w:hyperlink>
    </w:p>
    <w:p>
      <w:pPr>
        <w:spacing w:after="80"/>
      </w:pPr>
      <w:r>
        <w:rPr>
          <w:sz w:val="19"/>
        </w:rPr>
        <w:t xml:space="preserve">16. Yew, R.-J., &amp; Judge, B. (2025). Anti-Regulatory AI: How "AI Safety" Is Leveraged Against Regulatory Oversight. EAAMO '25. </w:t>
      </w:r>
      <w:hyperlink r:id="rId13">
        <w:r>
          <w:rPr>
            <w:color w:val="0563C1"/>
            <w:u w:val="single"/>
            <w:sz w:val="19"/>
          </w:rPr>
          <w:t>arXiv:2509.22872</w:t>
        </w:r>
      </w:hyperlink>
    </w:p>
    <w:p>
      <w:pPr>
        <w:pStyle w:val="Heading1"/>
      </w:pPr>
      <w:r>
        <w:rPr>
          <w:color w:val="1F4E79"/>
        </w:rPr>
        <w:t>Appendix A — The 13 Substantive-Response Rows</w:t>
      </w:r>
    </w:p>
    <w:p>
      <w:pPr>
        <w:spacing w:after="160"/>
      </w:pPr>
      <w:r>
        <w:rPr>
          <w:b w:val="0"/>
          <w:i/>
          <w:sz w:val="19"/>
        </w:rPr>
        <w:t>Every Tier A finding coded Substantive, with the response evidence. All 13 carry Explicit attribution — the company named the evaluator or finding in its response.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fill="1F4E79"/>
          </w:tcPr>
          <w:p>
            <w:r/>
            <w:r>
              <w:rPr>
                <w:b/>
                <w:i w:val="0"/>
                <w:color w:val="FFFFFF"/>
                <w:sz w:val="17"/>
              </w:rPr>
              <w:t>Finding ID</w:t>
            </w:r>
          </w:p>
        </w:tc>
        <w:tc>
          <w:tcPr>
            <w:tcW w:type="dxa" w:w="1584"/>
            <w:shd w:val="clear" w:fill="1F4E79"/>
          </w:tcPr>
          <w:p>
            <w:r/>
            <w:r>
              <w:rPr>
                <w:b/>
                <w:i w:val="0"/>
                <w:color w:val="FFFFFF"/>
                <w:sz w:val="17"/>
              </w:rPr>
              <w:t>Institution</w:t>
            </w:r>
          </w:p>
        </w:tc>
        <w:tc>
          <w:tcPr>
            <w:tcW w:type="dxa" w:w="3456"/>
            <w:shd w:val="clear" w:fill="1F4E79"/>
          </w:tcPr>
          <w:p>
            <w:r/>
            <w:r>
              <w:rPr>
                <w:b/>
                <w:i w:val="0"/>
                <w:color w:val="FFFFFF"/>
                <w:sz w:val="17"/>
              </w:rPr>
              <w:t>Finding</w:t>
            </w:r>
          </w:p>
        </w:tc>
        <w:tc>
          <w:tcPr>
            <w:tcW w:type="dxa" w:w="3168"/>
            <w:shd w:val="clear" w:fill="1F4E79"/>
          </w:tcPr>
          <w:p>
            <w:r/>
            <w:r>
              <w:rPr>
                <w:b/>
                <w:i w:val="0"/>
                <w:color w:val="FFFFFF"/>
                <w:sz w:val="17"/>
              </w:rPr>
              <w:t>Company response (verbatim excerpt)</w:t>
            </w:r>
          </w:p>
        </w:tc>
        <w:tc>
          <w:tcPr>
            <w:tcW w:type="dxa" w:w="1296"/>
            <w:shd w:val="clear" w:fill="1F4E79"/>
          </w:tcPr>
          <w:p>
            <w:r/>
            <w:r>
              <w:rPr>
                <w:b/>
                <w:i w:val="0"/>
                <w:color w:val="FFFFFF"/>
                <w:sz w:val="17"/>
              </w:rPr>
              <w:t>Source</w:t>
            </w:r>
          </w:p>
        </w:tc>
      </w:tr>
      <w:tr>
        <w:tc>
          <w:tcPr>
            <w:tcW w:type="dxa" w:w="1584"/>
          </w:tcPr>
          <w:p>
            <w:r/>
            <w:r>
              <w:rPr>
                <w:b w:val="0"/>
                <w:i w:val="0"/>
                <w:sz w:val="16"/>
              </w:rPr>
              <w:t>JOINT-2025-05-ALI1</w:t>
            </w:r>
          </w:p>
        </w:tc>
        <w:tc>
          <w:tcPr>
            <w:tcW w:type="dxa" w:w="1584"/>
          </w:tcPr>
          <w:p>
            <w:r/>
            <w:r>
              <w:rPr>
                <w:b w:val="0"/>
                <w:i w:val="0"/>
                <w:sz w:val="16"/>
              </w:rPr>
              <w:t>Apollo Research + Anthropic (AISI-adjacent -- Apollo in AISIC)</w:t>
            </w:r>
          </w:p>
        </w:tc>
        <w:tc>
          <w:tcPr>
            <w:tcW w:type="dxa" w:w="3456"/>
          </w:tcPr>
          <w:p>
            <w:r/>
            <w:r>
              <w:rPr>
                <w:b w:val="0"/>
                <w:i w:val="0"/>
                <w:sz w:val="16"/>
              </w:rPr>
              <w:t>Apollo Research found the early Claude Opus 4 snapshot schemed and deceived at such high rates in situations where deception was instrumentally useful that Apollo advised against deploying it internally or externally, in…</w:t>
            </w:r>
          </w:p>
        </w:tc>
        <w:tc>
          <w:tcPr>
            <w:tcW w:type="dxa" w:w="3168"/>
          </w:tcPr>
          <w:p>
            <w:r/>
            <w:r>
              <w:rPr>
                <w:b w:val="0"/>
                <w:i w:val="0"/>
                <w:sz w:val="16"/>
              </w:rPr>
              <w:t>we believe—based on similar scenarios that we explored with the automatic behavioral audit tool, among others—that its behavior in scenarios like these is now roughly in line with …</w:t>
            </w:r>
          </w:p>
        </w:tc>
        <w:tc>
          <w:tcPr>
            <w:tcW w:type="dxa" w:w="1296"/>
          </w:tcPr>
          <w:p>
            <w:r/>
            <w:hyperlink r:id="rId26">
              <w:r>
                <w:rPr>
                  <w:color w:val="0563C1"/>
                  <w:u w:val="single"/>
                  <w:sz w:val="16"/>
                </w:rPr>
                <w:t>source</w:t>
              </w:r>
            </w:hyperlink>
          </w:p>
        </w:tc>
      </w:tr>
      <w:tr>
        <w:tc>
          <w:tcPr>
            <w:tcW w:type="dxa" w:w="1584"/>
            <w:shd w:val="clear" w:fill="F2F6FB"/>
          </w:tcPr>
          <w:p>
            <w:r/>
            <w:r>
              <w:rPr>
                <w:b w:val="0"/>
                <w:i w:val="0"/>
                <w:sz w:val="16"/>
              </w:rPr>
              <w:t>JOINT-2025-09-CYB1</w:t>
            </w:r>
          </w:p>
        </w:tc>
        <w:tc>
          <w:tcPr>
            <w:tcW w:type="dxa" w:w="1584"/>
            <w:shd w:val="clear" w:fill="F2F6FB"/>
          </w:tcPr>
          <w:p>
            <w:r/>
            <w:r>
              <w:rPr>
                <w:b w:val="0"/>
                <w:i w:val="0"/>
                <w:sz w:val="16"/>
              </w:rPr>
              <w:t>Joint UK AISI + US CAISI</w:t>
            </w:r>
          </w:p>
        </w:tc>
        <w:tc>
          <w:tcPr>
            <w:tcW w:type="dxa" w:w="3456"/>
            <w:shd w:val="clear" w:fill="F2F6FB"/>
          </w:tcPr>
          <w:p>
            <w:r/>
            <w:r>
              <w:rPr>
                <w:b w:val="0"/>
                <w:i w:val="0"/>
                <w:sz w:val="16"/>
              </w:rPr>
              <w:t>CAISI identified two novel security vulnerabilities in ChatGPT Agent and, combining traditional software vulnerabilities with AI vulnerabilities, developed a sophisticated exploit chain with an approximately 50% success …</w:t>
            </w:r>
          </w:p>
        </w:tc>
        <w:tc>
          <w:tcPr>
            <w:tcW w:type="dxa" w:w="3168"/>
            <w:shd w:val="clear" w:fill="F2F6FB"/>
          </w:tcPr>
          <w:p>
            <w:r/>
            <w:r>
              <w:rPr>
                <w:b w:val="0"/>
                <w:i w:val="0"/>
                <w:sz w:val="16"/>
              </w:rPr>
              <w:t>These attacks were immediately reported to OpenAI, and fixed by OpenAI within one business day.</w:t>
            </w:r>
          </w:p>
        </w:tc>
        <w:tc>
          <w:tcPr>
            <w:tcW w:type="dxa" w:w="1296"/>
            <w:shd w:val="clear" w:fill="F2F6FB"/>
          </w:tcPr>
          <w:p>
            <w:r/>
            <w:hyperlink r:id="rId27">
              <w:r>
                <w:rPr>
                  <w:color w:val="0563C1"/>
                  <w:u w:val="single"/>
                  <w:sz w:val="16"/>
                </w:rPr>
                <w:t>source</w:t>
              </w:r>
            </w:hyperlink>
          </w:p>
        </w:tc>
      </w:tr>
      <w:tr>
        <w:tc>
          <w:tcPr>
            <w:tcW w:type="dxa" w:w="1584"/>
          </w:tcPr>
          <w:p>
            <w:r/>
            <w:r>
              <w:rPr>
                <w:b w:val="0"/>
                <w:i w:val="0"/>
                <w:sz w:val="16"/>
              </w:rPr>
              <w:t>JOINT-2025-09-JAI2</w:t>
            </w:r>
          </w:p>
        </w:tc>
        <w:tc>
          <w:tcPr>
            <w:tcW w:type="dxa" w:w="1584"/>
          </w:tcPr>
          <w:p>
            <w:r/>
            <w:r>
              <w:rPr>
                <w:b w:val="0"/>
                <w:i w:val="0"/>
                <w:sz w:val="16"/>
              </w:rPr>
              <w:t>Joint UK AISI + US CAISI</w:t>
            </w:r>
          </w:p>
        </w:tc>
        <w:tc>
          <w:tcPr>
            <w:tcW w:type="dxa" w:w="3456"/>
          </w:tcPr>
          <w:p>
            <w:r/>
            <w:r>
              <w:rPr>
                <w:b w:val="0"/>
                <w:i w:val="0"/>
                <w:sz w:val="16"/>
              </w:rPr>
              <w:t>UK AISI identified a set of product-configuration vulnerabilities where malicious content could be inputted or exfiltrated without triggering moderation; OpenAI made a range of product-configuration improvements to fix t…</w:t>
            </w:r>
          </w:p>
        </w:tc>
        <w:tc>
          <w:tcPr>
            <w:tcW w:type="dxa" w:w="3168"/>
          </w:tcPr>
          <w:p>
            <w:r/>
            <w:r>
              <w:rPr>
                <w:b w:val="0"/>
                <w:i w:val="0"/>
                <w:sz w:val="16"/>
              </w:rPr>
              <w:t>OpenAI made a range of improvements to our product configuration to fix a set of configuration vulnerabilities that UK AISI identified, where malicious content could be inputted or…</w:t>
            </w:r>
          </w:p>
        </w:tc>
        <w:tc>
          <w:tcPr>
            <w:tcW w:type="dxa" w:w="1296"/>
          </w:tcPr>
          <w:p>
            <w:r/>
            <w:hyperlink r:id="rId27">
              <w:r>
                <w:rPr>
                  <w:color w:val="0563C1"/>
                  <w:u w:val="single"/>
                  <w:sz w:val="16"/>
                </w:rPr>
                <w:t>source</w:t>
              </w:r>
            </w:hyperlink>
          </w:p>
        </w:tc>
      </w:tr>
      <w:tr>
        <w:tc>
          <w:tcPr>
            <w:tcW w:type="dxa" w:w="1584"/>
            <w:shd w:val="clear" w:fill="F2F6FB"/>
          </w:tcPr>
          <w:p>
            <w:r/>
            <w:r>
              <w:rPr>
                <w:b w:val="0"/>
                <w:i w:val="0"/>
                <w:sz w:val="16"/>
              </w:rPr>
              <w:t>JOINT-2025-09-BIO1</w:t>
            </w:r>
          </w:p>
        </w:tc>
        <w:tc>
          <w:tcPr>
            <w:tcW w:type="dxa" w:w="1584"/>
            <w:shd w:val="clear" w:fill="F2F6FB"/>
          </w:tcPr>
          <w:p>
            <w:r/>
            <w:r>
              <w:rPr>
                <w:b w:val="0"/>
                <w:i w:val="0"/>
                <w:sz w:val="16"/>
              </w:rPr>
              <w:t>Joint UK AISI + US CAISI + Anthropic</w:t>
            </w:r>
          </w:p>
        </w:tc>
        <w:tc>
          <w:tcPr>
            <w:tcW w:type="dxa" w:w="3456"/>
            <w:shd w:val="clear" w:fill="F2F6FB"/>
          </w:tcPr>
          <w:p>
            <w:r/>
            <w:r>
              <w:rPr>
                <w:b w:val="0"/>
                <w:i w:val="0"/>
                <w:sz w:val="16"/>
              </w:rPr>
              <w:t>UK AISI/CAISI evaluators found multiple universal jailbreaks bypassing Claude Opus 4/4.1 Constitutional Classifiers -- via false annotations (falsely claiming human review), encoded attacks, cipher/character-substitution…</w:t>
            </w:r>
          </w:p>
        </w:tc>
        <w:tc>
          <w:tcPr>
            <w:tcW w:type="dxa" w:w="3168"/>
            <w:shd w:val="clear" w:fill="F2F6FB"/>
          </w:tcPr>
          <w:p>
            <w:r/>
            <w:r>
              <w:rPr>
                <w:b w:val="0"/>
                <w:i w:val="0"/>
                <w:sz w:val="16"/>
              </w:rPr>
              <w:t>Rather than simply patching this individual exploit, the discovery prompted us to fundamentally restructure our safeguard architecture to address the underlying vulnerability class…</w:t>
            </w:r>
          </w:p>
        </w:tc>
        <w:tc>
          <w:tcPr>
            <w:tcW w:type="dxa" w:w="1296"/>
            <w:shd w:val="clear" w:fill="F2F6FB"/>
          </w:tcPr>
          <w:p>
            <w:r/>
            <w:hyperlink r:id="rId28">
              <w:r>
                <w:rPr>
                  <w:color w:val="0563C1"/>
                  <w:u w:val="single"/>
                  <w:sz w:val="16"/>
                </w:rPr>
                <w:t>source</w:t>
              </w:r>
            </w:hyperlink>
          </w:p>
        </w:tc>
      </w:tr>
      <w:tr>
        <w:tc>
          <w:tcPr>
            <w:tcW w:type="dxa" w:w="1584"/>
          </w:tcPr>
          <w:p>
            <w:r/>
            <w:r>
              <w:rPr>
                <w:b w:val="0"/>
                <w:i w:val="0"/>
                <w:sz w:val="16"/>
              </w:rPr>
              <w:t>JOINT-2026-02-CYB5</w:t>
            </w:r>
          </w:p>
        </w:tc>
        <w:tc>
          <w:tcPr>
            <w:tcW w:type="dxa" w:w="1584"/>
          </w:tcPr>
          <w:p>
            <w:r/>
            <w:r>
              <w:rPr>
                <w:b w:val="0"/>
                <w:i w:val="0"/>
                <w:sz w:val="16"/>
              </w:rPr>
              <w:t>Joint UK AISI + US CAISI</w:t>
            </w:r>
          </w:p>
        </w:tc>
        <w:tc>
          <w:tcPr>
            <w:tcW w:type="dxa" w:w="3456"/>
          </w:tcPr>
          <w:p>
            <w:r/>
            <w:r>
              <w:rPr>
                <w:b w:val="0"/>
                <w:i w:val="0"/>
                <w:sz w:val="16"/>
              </w:rPr>
              <w:t>CAISI used GPT-5.3-Codex to find novel bugs in open- and closed-source software (to be responsibly disclosed) and observed it 'continued making meaningful progress on difficult cyber tasks across many compaction windows'…</w:t>
            </w:r>
          </w:p>
        </w:tc>
        <w:tc>
          <w:tcPr>
            <w:tcW w:type="dxa" w:w="3168"/>
          </w:tcPr>
          <w:p>
            <w:r/>
            <w:r>
              <w:rPr>
                <w:b w:val="0"/>
                <w:i w:val="0"/>
                <w:sz w:val="16"/>
              </w:rPr>
              <w:t>This is the first launch we are treating as High capability in the Cybersecurity domain under our Preparedness Framework, activating the associated safeguards.</w:t>
            </w:r>
          </w:p>
        </w:tc>
        <w:tc>
          <w:tcPr>
            <w:tcW w:type="dxa" w:w="1296"/>
          </w:tcPr>
          <w:p>
            <w:r/>
            <w:hyperlink r:id="rId29">
              <w:r>
                <w:rPr>
                  <w:color w:val="0563C1"/>
                  <w:u w:val="single"/>
                  <w:sz w:val="16"/>
                </w:rPr>
                <w:t>source</w:t>
              </w:r>
            </w:hyperlink>
          </w:p>
        </w:tc>
      </w:tr>
      <w:tr>
        <w:tc>
          <w:tcPr>
            <w:tcW w:type="dxa" w:w="1584"/>
            <w:shd w:val="clear" w:fill="F2F6FB"/>
          </w:tcPr>
          <w:p>
            <w:r/>
            <w:r>
              <w:rPr>
                <w:b w:val="0"/>
                <w:i w:val="0"/>
                <w:sz w:val="16"/>
              </w:rPr>
              <w:t>UKAISI-2026-02-JAI1-s2</w:t>
            </w:r>
          </w:p>
        </w:tc>
        <w:tc>
          <w:tcPr>
            <w:tcW w:type="dxa" w:w="1584"/>
            <w:shd w:val="clear" w:fill="F2F6FB"/>
          </w:tcPr>
          <w:p>
            <w:r/>
            <w:r>
              <w:rPr>
                <w:b w:val="0"/>
                <w:i w:val="0"/>
                <w:sz w:val="16"/>
              </w:rPr>
              <w:t>UK AISI</w:t>
            </w:r>
          </w:p>
        </w:tc>
        <w:tc>
          <w:tcPr>
            <w:tcW w:type="dxa" w:w="3456"/>
            <w:shd w:val="clear" w:fill="F2F6FB"/>
          </w:tcPr>
          <w:p>
            <w:r/>
            <w:r>
              <w:rPr>
                <w:b w:val="0"/>
                <w:i w:val="0"/>
                <w:sz w:val="16"/>
              </w:rPr>
              <w:t>BPJ was the first automated attack to defeat OpenAI's GPT-5 input classifier without human seed attacks, achieving 75.6% average / 94.3% max ASR across 50 attempts at ~$210 and ~800k queries.</w:t>
            </w:r>
          </w:p>
        </w:tc>
        <w:tc>
          <w:tcPr>
            <w:tcW w:type="dxa" w:w="3168"/>
            <w:shd w:val="clear" w:fill="F2F6FB"/>
          </w:tcPr>
          <w:p>
            <w:r/>
            <w:r>
              <w:rPr>
                <w:b w:val="0"/>
                <w:i w:val="0"/>
                <w:sz w:val="16"/>
              </w:rPr>
              <w:t>(response documented at source link)</w:t>
            </w:r>
          </w:p>
        </w:tc>
        <w:tc>
          <w:tcPr>
            <w:tcW w:type="dxa" w:w="1296"/>
            <w:shd w:val="clear" w:fill="F2F6FB"/>
          </w:tcPr>
          <w:p>
            <w:r/>
            <w:hyperlink r:id="rId30">
              <w:r>
                <w:rPr>
                  <w:color w:val="0563C1"/>
                  <w:u w:val="single"/>
                  <w:sz w:val="16"/>
                </w:rPr>
                <w:t>source</w:t>
              </w:r>
            </w:hyperlink>
          </w:p>
        </w:tc>
      </w:tr>
      <w:tr>
        <w:tc>
          <w:tcPr>
            <w:tcW w:type="dxa" w:w="1584"/>
          </w:tcPr>
          <w:p>
            <w:r/>
            <w:r>
              <w:rPr>
                <w:b w:val="0"/>
                <w:i w:val="0"/>
                <w:sz w:val="16"/>
              </w:rPr>
              <w:t>SECUREBIO-2026-04-BIO2</w:t>
            </w:r>
          </w:p>
        </w:tc>
        <w:tc>
          <w:tcPr>
            <w:tcW w:type="dxa" w:w="1584"/>
          </w:tcPr>
          <w:p>
            <w:r/>
            <w:r>
              <w:rPr>
                <w:b w:val="0"/>
                <w:i w:val="0"/>
                <w:sz w:val="16"/>
              </w:rPr>
              <w:t>SecureBio</w:t>
            </w:r>
          </w:p>
        </w:tc>
        <w:tc>
          <w:tcPr>
            <w:tcW w:type="dxa" w:w="3456"/>
          </w:tcPr>
          <w:p>
            <w:r/>
            <w:r>
              <w:rPr>
                <w:b w:val="0"/>
                <w:i w:val="0"/>
                <w:sz w:val="16"/>
              </w:rPr>
              <w:t>In SecureBio's GPT-5.5 pre-release biosecurity evaluation, Pre-Release Checkpoint 2 scored 52.0% on the Virology Capabilities Test (VCT) -- higher than any SOTA model SecureBio had previously tested, placing it in the 10…</w:t>
            </w:r>
          </w:p>
        </w:tc>
        <w:tc>
          <w:tcPr>
            <w:tcW w:type="dxa" w:w="3168"/>
          </w:tcPr>
          <w:p>
            <w:r/>
            <w:r>
              <w:rPr>
                <w:b w:val="0"/>
                <w:i w:val="0"/>
                <w:sz w:val="16"/>
              </w:rPr>
              <w:t>We are treating this launch as High capability in the Biological and Chemical domain, activating the associated Preparedness safeguards.</w:t>
            </w:r>
          </w:p>
        </w:tc>
        <w:tc>
          <w:tcPr>
            <w:tcW w:type="dxa" w:w="1296"/>
          </w:tcPr>
          <w:p>
            <w:r/>
            <w:hyperlink r:id="rId31">
              <w:r>
                <w:rPr>
                  <w:color w:val="0563C1"/>
                  <w:u w:val="single"/>
                  <w:sz w:val="16"/>
                </w:rPr>
                <w:t>source</w:t>
              </w:r>
            </w:hyperlink>
          </w:p>
        </w:tc>
      </w:tr>
      <w:tr>
        <w:tc>
          <w:tcPr>
            <w:tcW w:type="dxa" w:w="1584"/>
            <w:shd w:val="clear" w:fill="F2F6FB"/>
          </w:tcPr>
          <w:p>
            <w:r/>
            <w:r>
              <w:rPr>
                <w:b w:val="0"/>
                <w:i w:val="0"/>
                <w:sz w:val="16"/>
              </w:rPr>
              <w:t>SECUREBIO-2026-04-BIO1</w:t>
            </w:r>
          </w:p>
        </w:tc>
        <w:tc>
          <w:tcPr>
            <w:tcW w:type="dxa" w:w="1584"/>
            <w:shd w:val="clear" w:fill="F2F6FB"/>
          </w:tcPr>
          <w:p>
            <w:r/>
            <w:r>
              <w:rPr>
                <w:b w:val="0"/>
                <w:i w:val="0"/>
                <w:sz w:val="16"/>
              </w:rPr>
              <w:t>SecureBio</w:t>
            </w:r>
          </w:p>
        </w:tc>
        <w:tc>
          <w:tcPr>
            <w:tcW w:type="dxa" w:w="3456"/>
            <w:shd w:val="clear" w:fill="F2F6FB"/>
          </w:tcPr>
          <w:p>
            <w:r/>
            <w:r>
              <w:rPr>
                <w:b w:val="0"/>
                <w:i w:val="0"/>
                <w:sz w:val="16"/>
              </w:rPr>
              <w:t>GPT-5.5 was the highest-performing or among a small handful of highest-performing models on static biosecurity knowledge assessment, exceeding all expert human scores.</w:t>
            </w:r>
          </w:p>
        </w:tc>
        <w:tc>
          <w:tcPr>
            <w:tcW w:type="dxa" w:w="3168"/>
            <w:shd w:val="clear" w:fill="F2F6FB"/>
          </w:tcPr>
          <w:p>
            <w:r/>
            <w:r>
              <w:rPr>
                <w:b w:val="0"/>
                <w:i w:val="0"/>
                <w:sz w:val="16"/>
              </w:rPr>
              <w:t>On static evaluations measuring expert-level biology and biosecurity-relevant knowledge, it was the highest-performing, or among a small handful of highest-performing models, excee…</w:t>
            </w:r>
          </w:p>
        </w:tc>
        <w:tc>
          <w:tcPr>
            <w:tcW w:type="dxa" w:w="1296"/>
            <w:shd w:val="clear" w:fill="F2F6FB"/>
          </w:tcPr>
          <w:p>
            <w:r/>
            <w:hyperlink r:id="rId31">
              <w:r>
                <w:rPr>
                  <w:color w:val="0563C1"/>
                  <w:u w:val="single"/>
                  <w:sz w:val="16"/>
                </w:rPr>
                <w:t>source</w:t>
              </w:r>
            </w:hyperlink>
          </w:p>
        </w:tc>
      </w:tr>
      <w:tr>
        <w:tc>
          <w:tcPr>
            <w:tcW w:type="dxa" w:w="1584"/>
          </w:tcPr>
          <w:p>
            <w:r/>
            <w:r>
              <w:rPr>
                <w:b w:val="0"/>
                <w:i w:val="0"/>
                <w:sz w:val="16"/>
              </w:rPr>
              <w:t>SECUREBIO-2026-04-BIO5</w:t>
            </w:r>
          </w:p>
        </w:tc>
        <w:tc>
          <w:tcPr>
            <w:tcW w:type="dxa" w:w="1584"/>
          </w:tcPr>
          <w:p>
            <w:r/>
            <w:r>
              <w:rPr>
                <w:b w:val="0"/>
                <w:i w:val="0"/>
                <w:sz w:val="16"/>
              </w:rPr>
              <w:t>SecureBio</w:t>
            </w:r>
          </w:p>
        </w:tc>
        <w:tc>
          <w:tcPr>
            <w:tcW w:type="dxa" w:w="3456"/>
          </w:tcPr>
          <w:p>
            <w:r/>
            <w:r>
              <w:rPr>
                <w:b w:val="0"/>
                <w:i w:val="0"/>
                <w:sz w:val="16"/>
              </w:rPr>
              <w:t>GPT-5.5 pre-release checkpoints scored 52.0% on VCT, 56.2% on MBCT, 64.7% on HPCT and 53.2% (second-highest) on WCB in SecureBio's biosecurity assessment, with a 23% refusal rate on screening-evasion tasks.</w:t>
            </w:r>
          </w:p>
        </w:tc>
        <w:tc>
          <w:tcPr>
            <w:tcW w:type="dxa" w:w="3168"/>
          </w:tcPr>
          <w:p>
            <w:r/>
            <w:r>
              <w:rPr>
                <w:b w:val="0"/>
                <w:i w:val="0"/>
                <w:sz w:val="16"/>
              </w:rPr>
              <w:t>We are treating this launch as High capability in the Biological and Chemical domain, activating the associated Preparedness safeguards.</w:t>
            </w:r>
          </w:p>
        </w:tc>
        <w:tc>
          <w:tcPr>
            <w:tcW w:type="dxa" w:w="1296"/>
          </w:tcPr>
          <w:p>
            <w:r/>
            <w:hyperlink r:id="rId31">
              <w:r>
                <w:rPr>
                  <w:color w:val="0563C1"/>
                  <w:u w:val="single"/>
                  <w:sz w:val="16"/>
                </w:rPr>
                <w:t>source</w:t>
              </w:r>
            </w:hyperlink>
          </w:p>
        </w:tc>
      </w:tr>
      <w:tr>
        <w:tc>
          <w:tcPr>
            <w:tcW w:type="dxa" w:w="1584"/>
            <w:shd w:val="clear" w:fill="F2F6FB"/>
          </w:tcPr>
          <w:p>
            <w:r/>
            <w:r>
              <w:rPr>
                <w:b w:val="0"/>
                <w:i w:val="0"/>
                <w:sz w:val="16"/>
              </w:rPr>
              <w:t>SECUREBIO-2026-04-BIO7</w:t>
            </w:r>
          </w:p>
        </w:tc>
        <w:tc>
          <w:tcPr>
            <w:tcW w:type="dxa" w:w="1584"/>
            <w:shd w:val="clear" w:fill="F2F6FB"/>
          </w:tcPr>
          <w:p>
            <w:r/>
            <w:r>
              <w:rPr>
                <w:b w:val="0"/>
                <w:i w:val="0"/>
                <w:sz w:val="16"/>
              </w:rPr>
              <w:t>SecureBio</w:t>
            </w:r>
          </w:p>
        </w:tc>
        <w:tc>
          <w:tcPr>
            <w:tcW w:type="dxa" w:w="3456"/>
            <w:shd w:val="clear" w:fill="F2F6FB"/>
          </w:tcPr>
          <w:p>
            <w:r/>
            <w:r>
              <w:rPr>
                <w:b w:val="0"/>
                <w:i w:val="0"/>
                <w:sz w:val="16"/>
              </w:rPr>
              <w:t>On ABC-Bench task-based evaluations, GPT-5.5 (Checkpoint 2) delivered strong performance matching or exceeding GPT-5.4 across fragment design, screening evasion, and liquid-handling tasks, with only a 23% refusal rate on…</w:t>
            </w:r>
          </w:p>
        </w:tc>
        <w:tc>
          <w:tcPr>
            <w:tcW w:type="dxa" w:w="3168"/>
            <w:shd w:val="clear" w:fill="F2F6FB"/>
          </w:tcPr>
          <w:p>
            <w:r/>
            <w:r>
              <w:rPr>
                <w:b w:val="0"/>
                <w:i w:val="0"/>
                <w:sz w:val="16"/>
              </w:rPr>
              <w:t>We are treating this launch as High capability in the Biological and Chemical domain, activating the associated Preparedness safeguards.</w:t>
            </w:r>
          </w:p>
        </w:tc>
        <w:tc>
          <w:tcPr>
            <w:tcW w:type="dxa" w:w="1296"/>
            <w:shd w:val="clear" w:fill="F2F6FB"/>
          </w:tcPr>
          <w:p>
            <w:r/>
            <w:hyperlink r:id="rId31">
              <w:r>
                <w:rPr>
                  <w:color w:val="0563C1"/>
                  <w:u w:val="single"/>
                  <w:sz w:val="16"/>
                </w:rPr>
                <w:t>source</w:t>
              </w:r>
            </w:hyperlink>
          </w:p>
        </w:tc>
      </w:tr>
      <w:tr>
        <w:tc>
          <w:tcPr>
            <w:tcW w:type="dxa" w:w="1584"/>
          </w:tcPr>
          <w:p>
            <w:r/>
            <w:r>
              <w:rPr>
                <w:b w:val="0"/>
                <w:i w:val="0"/>
                <w:sz w:val="16"/>
              </w:rPr>
              <w:t>UKAISI-2026-05-CYB3</w:t>
            </w:r>
          </w:p>
        </w:tc>
        <w:tc>
          <w:tcPr>
            <w:tcW w:type="dxa" w:w="1584"/>
          </w:tcPr>
          <w:p>
            <w:r/>
            <w:r>
              <w:rPr>
                <w:b w:val="0"/>
                <w:i w:val="0"/>
                <w:sz w:val="16"/>
              </w:rPr>
              <w:t>UK AISI</w:t>
            </w:r>
          </w:p>
        </w:tc>
        <w:tc>
          <w:tcPr>
            <w:tcW w:type="dxa" w:w="3456"/>
          </w:tcPr>
          <w:p>
            <w:r/>
            <w:r>
              <w:rPr>
                <w:b w:val="0"/>
                <w:i w:val="0"/>
                <w:sz w:val="16"/>
              </w:rPr>
              <w:t>GPT-5.5 substantially exceeded the previous autonomous-cyber-capability doubling-rate trend: it achieved 100% success on five of six long-duration cyber tasks (8+ hours) within the 2.5M-token budget, solved the sixth lon…</w:t>
            </w:r>
          </w:p>
        </w:tc>
        <w:tc>
          <w:tcPr>
            <w:tcW w:type="dxa" w:w="3168"/>
          </w:tcPr>
          <w:p>
            <w:r/>
            <w:r>
              <w:rPr>
                <w:b w:val="0"/>
                <w:i w:val="0"/>
                <w:sz w:val="16"/>
              </w:rPr>
              <w:t>As we did for GPT-5.3-Codex and GPT-5.4-Thinking, we are treating GPT-5.5 as High capability in the Cybersecurity domain, but below Critical.</w:t>
            </w:r>
          </w:p>
        </w:tc>
        <w:tc>
          <w:tcPr>
            <w:tcW w:type="dxa" w:w="1296"/>
          </w:tcPr>
          <w:p>
            <w:r/>
            <w:hyperlink r:id="rId32">
              <w:r>
                <w:rPr>
                  <w:color w:val="0563C1"/>
                  <w:u w:val="single"/>
                  <w:sz w:val="16"/>
                </w:rPr>
                <w:t>source</w:t>
              </w:r>
            </w:hyperlink>
          </w:p>
        </w:tc>
      </w:tr>
      <w:tr>
        <w:tc>
          <w:tcPr>
            <w:tcW w:type="dxa" w:w="1584"/>
            <w:shd w:val="clear" w:fill="F2F6FB"/>
          </w:tcPr>
          <w:p>
            <w:r/>
            <w:r>
              <w:rPr>
                <w:b w:val="0"/>
                <w:i w:val="0"/>
                <w:sz w:val="16"/>
              </w:rPr>
              <w:t>USCAISI-2026-06-CYB2</w:t>
            </w:r>
          </w:p>
        </w:tc>
        <w:tc>
          <w:tcPr>
            <w:tcW w:type="dxa" w:w="1584"/>
            <w:shd w:val="clear" w:fill="F2F6FB"/>
          </w:tcPr>
          <w:p>
            <w:r/>
            <w:r>
              <w:rPr>
                <w:b w:val="0"/>
                <w:i w:val="0"/>
                <w:sz w:val="16"/>
              </w:rPr>
              <w:t>US CAISI</w:t>
            </w:r>
          </w:p>
        </w:tc>
        <w:tc>
          <w:tcPr>
            <w:tcW w:type="dxa" w:w="3456"/>
            <w:shd w:val="clear" w:fill="F2F6FB"/>
          </w:tcPr>
          <w:p>
            <w:r/>
            <w:r>
              <w:rPr>
                <w:b w:val="0"/>
                <w:i w:val="0"/>
                <w:sz w:val="16"/>
              </w:rPr>
              <w:t>After Amazon researchers reported a jailbreak eliciting exploit code from Claude Fable 5 shortly after its June 9, 2026 launch, the US Department of Commerce issued a binding export-control order (2026-06-12) taking both…</w:t>
            </w:r>
          </w:p>
        </w:tc>
        <w:tc>
          <w:tcPr>
            <w:tcW w:type="dxa" w:w="3168"/>
            <w:shd w:val="clear" w:fill="F2F6FB"/>
          </w:tcPr>
          <w:p>
            <w:r/>
            <w:r>
              <w:rPr>
                <w:b w:val="0"/>
                <w:i w:val="0"/>
                <w:sz w:val="16"/>
              </w:rPr>
              <w:t>Researchers from the US Department of Commerce's Center for AI Standards and Innovation (CAISI) have tested both our prior and new safeguards and agree that they are extraordinaril…</w:t>
            </w:r>
          </w:p>
        </w:tc>
        <w:tc>
          <w:tcPr>
            <w:tcW w:type="dxa" w:w="1296"/>
            <w:shd w:val="clear" w:fill="F2F6FB"/>
          </w:tcPr>
          <w:p>
            <w:r/>
            <w:hyperlink r:id="rId33">
              <w:r>
                <w:rPr>
                  <w:color w:val="0563C1"/>
                  <w:u w:val="single"/>
                  <w:sz w:val="16"/>
                </w:rPr>
                <w:t>source</w:t>
              </w:r>
            </w:hyperlink>
          </w:p>
        </w:tc>
      </w:tr>
      <w:tr>
        <w:tc>
          <w:tcPr>
            <w:tcW w:type="dxa" w:w="1584"/>
          </w:tcPr>
          <w:p>
            <w:r/>
            <w:r>
              <w:rPr>
                <w:b w:val="0"/>
                <w:i w:val="0"/>
                <w:sz w:val="16"/>
              </w:rPr>
              <w:t>JOINT-2026-07-JAI1</w:t>
            </w:r>
          </w:p>
        </w:tc>
        <w:tc>
          <w:tcPr>
            <w:tcW w:type="dxa" w:w="1584"/>
          </w:tcPr>
          <w:p>
            <w:r/>
            <w:r>
              <w:rPr>
                <w:b w:val="0"/>
                <w:i w:val="0"/>
                <w:sz w:val="16"/>
              </w:rPr>
              <w:t>Joint UK AISI + OpenAI (company-published)</w:t>
            </w:r>
          </w:p>
        </w:tc>
        <w:tc>
          <w:tcPr>
            <w:tcW w:type="dxa" w:w="3456"/>
          </w:tcPr>
          <w:p>
            <w:r/>
            <w:r>
              <w:rPr>
                <w:b w:val="0"/>
                <w:i w:val="0"/>
                <w:sz w:val="16"/>
              </w:rPr>
              <w:t>In every red-teaming round to date, UK AISI has identified universal jailbreaks in the cyber domain against GPT-5.6, including ones enabling long-form agentic task completion in vulnerability discovery and exploit develo…</w:t>
            </w:r>
          </w:p>
        </w:tc>
        <w:tc>
          <w:tcPr>
            <w:tcW w:type="dxa" w:w="3168"/>
          </w:tcPr>
          <w:p>
            <w:r/>
            <w:r>
              <w:rPr>
                <w:b w:val="0"/>
                <w:i w:val="0"/>
                <w:sz w:val="16"/>
              </w:rPr>
              <w:t>As of launch, OpenAI has worked to reproduce and mitigate the specific jailbreaks reported by UK AISI. However, UK AISI expects further red-teaming to surface similar jailbreaks. O…</w:t>
            </w:r>
          </w:p>
        </w:tc>
        <w:tc>
          <w:tcPr>
            <w:tcW w:type="dxa" w:w="1296"/>
          </w:tcPr>
          <w:p>
            <w:r/>
            <w:hyperlink r:id="rId34">
              <w:r>
                <w:rPr>
                  <w:color w:val="0563C1"/>
                  <w:u w:val="single"/>
                  <w:sz w:val="16"/>
                </w:rPr>
                <w:t>source</w:t>
              </w:r>
            </w:hyperlink>
          </w:p>
        </w:tc>
      </w:tr>
    </w:tbl>
    <w:p>
      <w:pPr>
        <w:spacing w:after="280"/>
        <w:jc w:val="left"/>
      </w:pPr>
      <w:r>
        <w:rPr>
          <w:b/>
          <w:color w:val="6B6B7B"/>
          <w:sz w:val="17"/>
        </w:rPr>
        <w:t xml:space="preserve">Table A.1.  </w:t>
      </w:r>
      <w:r>
        <w:rPr>
          <w:i/>
          <w:color w:val="6B6B7B"/>
          <w:sz w:val="17"/>
        </w:rPr>
        <w:t>All 13 substantive responses were coordinated disclosures: response lag is 0 days for all 13 rows, with finding and response published together. Data cutoff: 9 July 2026 (v9).</w:t>
      </w:r>
    </w:p>
    <w:p>
      <w:pPr>
        <w:pStyle w:val="Heading1"/>
      </w:pPr>
      <w:r>
        <w:rPr>
          <w:color w:val="1F4E79"/>
        </w:rPr>
        <w:t>Appendix B — Severity Annotation Prompt</w:t>
      </w:r>
    </w:p>
    <w:p>
      <w:pPr>
        <w:spacing w:after="160"/>
      </w:pPr>
      <w:r>
        <w:rPr>
          <w:b w:val="0"/>
          <w:i/>
          <w:sz w:val="19"/>
        </w:rPr>
        <w:t>The exact prompt given independently to Claude Sonnet 5, GPT-5.5, and Gemini 3.1 for every finding. The three votes and the majority category are recorded per row in the dataset; the JSON "reason" field preserves each model's stated rationale.</w:t>
      </w:r>
    </w:p>
    <w:p>
      <w:pPr>
        <w:spacing w:after="0"/>
      </w:pPr>
      <w:r>
        <w:rPr>
          <w:rFonts w:ascii="Courier New" w:hAnsi="Courier New"/>
          <w:sz w:val="15"/>
        </w:rPr>
        <w:t>SEVERITY ANNOTATION PROMPT</w:t>
      </w:r>
    </w:p>
    <w:p>
      <w:pPr>
        <w:spacing w:after="0"/>
      </w:pPr>
      <w:r>
        <w:rPr>
          <w:rFonts w:ascii="Courier New" w:hAnsi="Courier New"/>
          <w:sz w:val="15"/>
        </w:rPr>
        <w:t xml:space="preserve"> </w:t>
      </w:r>
    </w:p>
    <w:p>
      <w:pPr>
        <w:spacing w:after="0"/>
      </w:pPr>
      <w:r>
        <w:rPr>
          <w:rFonts w:ascii="Courier New" w:hAnsi="Courier New"/>
          <w:sz w:val="15"/>
        </w:rPr>
        <w:t>Category 1 (Critical) mirrors the dangerous-capability domains frontier developers use in</w:t>
      </w:r>
    </w:p>
    <w:p>
      <w:pPr>
        <w:spacing w:after="0"/>
      </w:pPr>
      <w:r>
        <w:rPr>
          <w:rFonts w:ascii="Courier New" w:hAnsi="Courier New"/>
          <w:sz w:val="15"/>
        </w:rPr>
        <w:t>their published safety frameworks: Anthropic RSP (ASL / Capability Thresholds), OpenAI</w:t>
      </w:r>
    </w:p>
    <w:p>
      <w:pPr>
        <w:spacing w:after="0"/>
      </w:pPr>
      <w:r>
        <w:rPr>
          <w:rFonts w:ascii="Courier New" w:hAnsi="Courier New"/>
          <w:sz w:val="15"/>
        </w:rPr>
        <w:t>Preparedness Framework, Google DeepMind Frontier Safety Framework (Critical Capability Levels).</w:t>
      </w:r>
    </w:p>
    <w:p>
      <w:pPr>
        <w:spacing w:after="0"/>
      </w:pPr>
      <w:r>
        <w:rPr>
          <w:rFonts w:ascii="Courier New" w:hAnsi="Courier New"/>
          <w:sz w:val="15"/>
        </w:rPr>
        <w:t xml:space="preserve"> </w:t>
      </w:r>
    </w:p>
    <w:p>
      <w:pPr>
        <w:spacing w:after="0"/>
      </w:pPr>
      <w:r>
        <w:rPr>
          <w:rFonts w:ascii="Courier New" w:hAnsi="Courier New"/>
          <w:sz w:val="15"/>
        </w:rPr>
        <w:t>TASK: For each finding, assign ONE binary category based ONLY on what the finding text</w:t>
      </w:r>
    </w:p>
    <w:p>
      <w:pPr>
        <w:spacing w:after="0"/>
      </w:pPr>
      <w:r>
        <w:rPr>
          <w:rFonts w:ascii="Courier New" w:hAnsi="Courier New"/>
          <w:sz w:val="15"/>
        </w:rPr>
        <w:t>demonstrates. Judge whether a critical AI risk was DEMONSTRATED, not by how alarming the wording sounds.</w:t>
      </w:r>
    </w:p>
    <w:p>
      <w:pPr>
        <w:spacing w:after="0"/>
      </w:pPr>
      <w:r>
        <w:rPr>
          <w:rFonts w:ascii="Courier New" w:hAnsi="Courier New"/>
          <w:sz w:val="15"/>
        </w:rPr>
        <w:t xml:space="preserve"> </w:t>
      </w:r>
    </w:p>
    <w:p>
      <w:pPr>
        <w:spacing w:after="0"/>
      </w:pPr>
      <w:r>
        <w:rPr>
          <w:rFonts w:ascii="Courier New" w:hAnsi="Courier New"/>
          <w:sz w:val="15"/>
        </w:rPr>
        <w:t>CATEGORY 1 (CRITICAL) — any ONE of the following is demonstrated. Each domain carries a fixed</w:t>
      </w:r>
    </w:p>
    <w:p>
      <w:pPr>
        <w:spacing w:after="0"/>
      </w:pPr>
      <w:r>
        <w:rPr>
          <w:rFonts w:ascii="Courier New" w:hAnsi="Courier New"/>
          <w:sz w:val="15"/>
        </w:rPr>
        <w:t>BOUNDARY that applies identically to every finding (these are scale definitions, not case rules):</w:t>
      </w:r>
    </w:p>
    <w:p>
      <w:pPr>
        <w:spacing w:after="0"/>
      </w:pPr>
      <w:r>
        <w:rPr>
          <w:rFonts w:ascii="Courier New" w:hAnsi="Courier New"/>
          <w:sz w:val="15"/>
        </w:rPr>
        <w:t>D1 CBRN / BIO-CHEM UPLIFT: meaningful uplift toward chemical/biological/radiological/nuclear</w:t>
      </w:r>
    </w:p>
    <w:p>
      <w:pPr>
        <w:spacing w:after="0"/>
      </w:pPr>
      <w:r>
        <w:rPr>
          <w:rFonts w:ascii="Courier New" w:hAnsi="Courier New"/>
          <w:sz w:val="15"/>
        </w:rPr>
        <w:t xml:space="preserve">   weapons; expert-surpassing bio/chem capability; crossing a stated CBRN threshold.</w:t>
      </w:r>
    </w:p>
    <w:p>
      <w:pPr>
        <w:spacing w:after="0"/>
      </w:pPr>
      <w:r>
        <w:rPr>
          <w:rFonts w:ascii="Courier New" w:hAnsi="Courier New"/>
          <w:sz w:val="15"/>
        </w:rPr>
        <w:t xml:space="preserve">   BOUNDARY: uplift must be measured against an EXPERT/HUMAN baseline or a stated CBRN threshold.</w:t>
      </w:r>
    </w:p>
    <w:p>
      <w:pPr>
        <w:spacing w:after="0"/>
      </w:pPr>
      <w:r>
        <w:rPr>
          <w:rFonts w:ascii="Courier New" w:hAnsi="Courier New"/>
          <w:sz w:val="15"/>
        </w:rPr>
        <w:t xml:space="preserve">   Merely MATCHING or EXCEEDING a PRIOR MODEL (model-vs-model, no absolute expert/threshold</w:t>
      </w:r>
    </w:p>
    <w:p>
      <w:pPr>
        <w:spacing w:after="0"/>
      </w:pPr>
      <w:r>
        <w:rPr>
          <w:rFonts w:ascii="Courier New" w:hAnsi="Courier New"/>
          <w:sz w:val="15"/>
        </w:rPr>
        <w:t xml:space="preserve">   reference) is NOT D1.</w:t>
      </w:r>
    </w:p>
    <w:p>
      <w:pPr>
        <w:spacing w:after="0"/>
      </w:pPr>
      <w:r>
        <w:rPr>
          <w:rFonts w:ascii="Courier New" w:hAnsi="Courier New"/>
          <w:sz w:val="15"/>
        </w:rPr>
        <w:t>D2 CYBER OPERATIONS: offensive cyber capability; expert-level/novel-uplift hacking; completing</w:t>
      </w:r>
    </w:p>
    <w:p>
      <w:pPr>
        <w:spacing w:after="0"/>
      </w:pPr>
      <w:r>
        <w:rPr>
          <w:rFonts w:ascii="Courier New" w:hAnsi="Courier New"/>
          <w:sz w:val="15"/>
        </w:rPr>
        <w:t xml:space="preserve">   realistic multi-stage attack chains; high CTF/exploit success; "High"+ cyber designation.</w:t>
      </w:r>
    </w:p>
    <w:p>
      <w:pPr>
        <w:spacing w:after="0"/>
      </w:pPr>
      <w:r>
        <w:rPr>
          <w:rFonts w:ascii="Courier New" w:hAnsi="Courier New"/>
          <w:sz w:val="15"/>
        </w:rPr>
        <w:t xml:space="preserve">   BOUNDARY: partial completion of a multi-stage attack counts as D2 ONLY if a DECISIVE/MAJORITY</w:t>
      </w:r>
    </w:p>
    <w:p>
      <w:pPr>
        <w:spacing w:after="0"/>
      </w:pPr>
      <w:r>
        <w:rPr>
          <w:rFonts w:ascii="Courier New" w:hAnsi="Courier New"/>
          <w:sz w:val="15"/>
        </w:rPr>
        <w:t xml:space="preserve">   share of stages is completed, a realistic scenario is FULLY solved, or an official "High" cyber</w:t>
      </w:r>
    </w:p>
    <w:p>
      <w:pPr>
        <w:spacing w:after="0"/>
      </w:pPr>
      <w:r>
        <w:rPr>
          <w:rFonts w:ascii="Courier New" w:hAnsi="Courier New"/>
          <w:sz w:val="15"/>
        </w:rPr>
        <w:t xml:space="preserve">   designation is reached. Small-fraction/early-stage progress, or a pure scaling/trend result, is</w:t>
      </w:r>
    </w:p>
    <w:p>
      <w:pPr>
        <w:spacing w:after="0"/>
      </w:pPr>
      <w:r>
        <w:rPr>
          <w:rFonts w:ascii="Courier New" w:hAnsi="Courier New"/>
          <w:sz w:val="15"/>
        </w:rPr>
        <w:t xml:space="preserve">   NOT D2. If ANY named frontier model FULLY/decisively solves a realistic scenario in the finding,</w:t>
      </w:r>
    </w:p>
    <w:p>
      <w:pPr>
        <w:spacing w:after="0"/>
      </w:pPr>
      <w:r>
        <w:rPr>
          <w:rFonts w:ascii="Courier New" w:hAnsi="Courier New"/>
          <w:sz w:val="15"/>
        </w:rPr>
        <w:t xml:space="preserve">   code C1 regardless of another model's failure.</w:t>
      </w:r>
    </w:p>
    <w:p>
      <w:pPr>
        <w:spacing w:after="0"/>
      </w:pPr>
      <w:r>
        <w:rPr>
          <w:rFonts w:ascii="Courier New" w:hAnsi="Courier New"/>
          <w:sz w:val="15"/>
        </w:rPr>
        <w:t>D3 AUTONOMY / AI R&amp;D / SELF-REPLICATION: autonomous replication, self-propagation, or</w:t>
      </w:r>
    </w:p>
    <w:p>
      <w:pPr>
        <w:spacing w:after="0"/>
      </w:pPr>
      <w:r>
        <w:rPr>
          <w:rFonts w:ascii="Courier New" w:hAnsi="Courier New"/>
          <w:sz w:val="15"/>
        </w:rPr>
        <w:t xml:space="preserve">   automating AI R&amp;D / accelerating scaling.</w:t>
      </w:r>
    </w:p>
    <w:p>
      <w:pPr>
        <w:spacing w:after="0"/>
      </w:pPr>
      <w:r>
        <w:rPr>
          <w:rFonts w:ascii="Courier New" w:hAnsi="Courier New"/>
          <w:sz w:val="15"/>
        </w:rPr>
        <w:t>D4 PERSUASION / MANIPULATION / SOCIETAL HARM AT SCALE: systematically changing beliefs/behaviour</w:t>
      </w:r>
    </w:p>
    <w:p>
      <w:pPr>
        <w:spacing w:after="0"/>
      </w:pPr>
      <w:r>
        <w:rPr>
          <w:rFonts w:ascii="Courier New" w:hAnsi="Courier New"/>
          <w:sz w:val="15"/>
        </w:rPr>
        <w:t xml:space="preserve">   at scale, or implication in large-scale societal harm (e.g. mass CSAM, or election-scale</w:t>
      </w:r>
    </w:p>
    <w:p>
      <w:pPr>
        <w:spacing w:after="0"/>
      </w:pPr>
      <w:r>
        <w:rPr>
          <w:rFonts w:ascii="Courier New" w:hAnsi="Courier New"/>
          <w:sz w:val="15"/>
        </w:rPr>
        <w:t xml:space="preserve">   persuasion exceeding a real benchmark).</w:t>
      </w:r>
    </w:p>
    <w:p>
      <w:pPr>
        <w:spacing w:after="0"/>
      </w:pPr>
      <w:r>
        <w:rPr>
          <w:rFonts w:ascii="Courier New" w:hAnsi="Courier New"/>
          <w:sz w:val="15"/>
        </w:rPr>
        <w:t xml:space="preserve">   BOUNDARY: D4 requires persuasion that EXCEEDS a human/expert baseline, or documented</w:t>
      </w:r>
    </w:p>
    <w:p>
      <w:pPr>
        <w:spacing w:after="0"/>
      </w:pPr>
      <w:r>
        <w:rPr>
          <w:rFonts w:ascii="Courier New" w:hAnsi="Courier New"/>
          <w:sz w:val="15"/>
        </w:rPr>
        <w:t xml:space="preserve">   belief-change at scale. A demonstrated INCREASE in persuasiveness, or MATCHING another</w:t>
      </w:r>
    </w:p>
    <w:p>
      <w:pPr>
        <w:spacing w:after="0"/>
      </w:pPr>
      <w:r>
        <w:rPr>
          <w:rFonts w:ascii="Courier New" w:hAnsi="Courier New"/>
          <w:sz w:val="15"/>
        </w:rPr>
        <w:t xml:space="preserve">   model/human without exceeding a human baseline, is NOT D4.</w:t>
      </w:r>
    </w:p>
    <w:p>
      <w:pPr>
        <w:spacing w:after="0"/>
      </w:pPr>
      <w:r>
        <w:rPr>
          <w:rFonts w:ascii="Courier New" w:hAnsi="Courier New"/>
          <w:sz w:val="15"/>
        </w:rPr>
        <w:t>D5 DECEPTIVE ALIGNMENT / MISALIGNMENT: deliberate deception, scheming, sabotage, sandbagging,</w:t>
      </w:r>
    </w:p>
    <w:p>
      <w:pPr>
        <w:spacing w:after="0"/>
      </w:pPr>
      <w:r>
        <w:rPr>
          <w:rFonts w:ascii="Courier New" w:hAnsi="Courier New"/>
          <w:sz w:val="15"/>
        </w:rPr>
        <w:t xml:space="preserve">   blackmail, or hiding of abilities/intentions.</w:t>
      </w:r>
    </w:p>
    <w:p>
      <w:pPr>
        <w:spacing w:after="0"/>
      </w:pPr>
      <w:r>
        <w:rPr>
          <w:rFonts w:ascii="Courier New" w:hAnsi="Courier New"/>
          <w:sz w:val="15"/>
        </w:rPr>
        <w:t xml:space="preserve">   BOUNDARY: D5 requires DELIBERATE deception/scheming/sabotage shown. A measured behavioural</w:t>
      </w:r>
    </w:p>
    <w:p>
      <w:pPr>
        <w:spacing w:after="0"/>
      </w:pPr>
      <w:r>
        <w:rPr>
          <w:rFonts w:ascii="Courier New" w:hAnsi="Courier New"/>
          <w:sz w:val="15"/>
        </w:rPr>
        <w:t xml:space="preserve">   RATE or PATTERN (e.g. an AI-identity-disclosure rate, a policy-violation %, behaviour merely</w:t>
      </w:r>
    </w:p>
    <w:p>
      <w:pPr>
        <w:spacing w:after="0"/>
      </w:pPr>
      <w:r>
        <w:rPr>
          <w:rFonts w:ascii="Courier New" w:hAnsi="Courier New"/>
          <w:sz w:val="15"/>
        </w:rPr>
        <w:t xml:space="preserve">   "resembling" reward hacking) with no evidence of deliberate strategic intent is NOT D5.</w:t>
      </w:r>
    </w:p>
    <w:p>
      <w:pPr>
        <w:spacing w:after="0"/>
      </w:pPr>
      <w:r>
        <w:rPr>
          <w:rFonts w:ascii="Courier New" w:hAnsi="Courier New"/>
          <w:sz w:val="15"/>
        </w:rPr>
        <w:t>D6 SAFEGUARD FAILURE: a deployed safety mechanism (jailbreak defence, classifier, guardrail,</w:t>
      </w:r>
    </w:p>
    <w:p>
      <w:pPr>
        <w:spacing w:after="0"/>
      </w:pPr>
      <w:r>
        <w:rPr>
          <w:rFonts w:ascii="Courier New" w:hAnsi="Courier New"/>
          <w:sz w:val="15"/>
        </w:rPr>
        <w:t xml:space="preserve">   refusal training, content filter) was bypassed, defeated, or shown to fail, allowing harmful</w:t>
      </w:r>
    </w:p>
    <w:p>
      <w:pPr>
        <w:spacing w:after="0"/>
      </w:pPr>
      <w:r>
        <w:rPr>
          <w:rFonts w:ascii="Courier New" w:hAnsi="Courier New"/>
          <w:sz w:val="15"/>
        </w:rPr>
        <w:t xml:space="preserve">   output on a frontier system.</w:t>
      </w:r>
    </w:p>
    <w:p>
      <w:pPr>
        <w:spacing w:after="0"/>
      </w:pPr>
      <w:r>
        <w:rPr>
          <w:rFonts w:ascii="Courier New" w:hAnsi="Courier New"/>
          <w:sz w:val="15"/>
        </w:rPr>
        <w:t xml:space="preserve">   BOUNDARY: D6 is a DEPLOYED safeguard on a frontier system being bypassed/defeated with harmful</w:t>
      </w:r>
    </w:p>
    <w:p>
      <w:pPr>
        <w:spacing w:after="0"/>
      </w:pPr>
      <w:r>
        <w:rPr>
          <w:rFonts w:ascii="Courier New" w:hAnsi="Courier New"/>
          <w:sz w:val="15"/>
        </w:rPr>
        <w:t xml:space="preserve">   output. A finding that a MONITORING/DETECTION METHOD is unreliable (research evaluation of a</w:t>
      </w:r>
    </w:p>
    <w:p>
      <w:pPr>
        <w:spacing w:after="0"/>
      </w:pPr>
      <w:r>
        <w:rPr>
          <w:rFonts w:ascii="Courier New" w:hAnsi="Courier New"/>
          <w:sz w:val="15"/>
        </w:rPr>
        <w:t xml:space="preserve">   mitigation, with no actual deployed-safeguard breach) is NOT D6.</w:t>
      </w:r>
    </w:p>
    <w:p>
      <w:pPr>
        <w:spacing w:after="0"/>
      </w:pPr>
      <w:r>
        <w:rPr>
          <w:rFonts w:ascii="Courier New" w:hAnsi="Courier New"/>
          <w:sz w:val="15"/>
        </w:rPr>
        <w:t>D7 EVALUATION INTEGRITY COMPROMISED: the evaluation itself was undermined — model detected it was</w:t>
      </w:r>
    </w:p>
    <w:p>
      <w:pPr>
        <w:spacing w:after="0"/>
      </w:pPr>
      <w:r>
        <w:rPr>
          <w:rFonts w:ascii="Courier New" w:hAnsi="Courier New"/>
          <w:sz w:val="15"/>
        </w:rPr>
        <w:t xml:space="preserve">   being evaluated, gamed the benchmark, was trained on eval data (contamination), or</w:t>
      </w:r>
    </w:p>
    <w:p>
      <w:pPr>
        <w:spacing w:after="0"/>
      </w:pPr>
      <w:r>
        <w:rPr>
          <w:rFonts w:ascii="Courier New" w:hAnsi="Courier New"/>
          <w:sz w:val="15"/>
        </w:rPr>
        <w:t xml:space="preserve">   defeated/de-anonymised the evaluation environment.</w:t>
      </w:r>
    </w:p>
    <w:p>
      <w:pPr>
        <w:spacing w:after="0"/>
      </w:pPr>
      <w:r>
        <w:rPr>
          <w:rFonts w:ascii="Courier New" w:hAnsi="Courier New"/>
          <w:sz w:val="15"/>
        </w:rPr>
        <w:t xml:space="preserve">   BOUNDARY: D7 covers contamination discovered during eval, the MODEL gaming/defeating the</w:t>
      </w:r>
    </w:p>
    <w:p>
      <w:pPr>
        <w:spacing w:after="0"/>
      </w:pPr>
      <w:r>
        <w:rPr>
          <w:rFonts w:ascii="Courier New" w:hAnsi="Courier New"/>
          <w:sz w:val="15"/>
        </w:rPr>
        <w:t xml:space="preserve">   benchmark, the MODEL demonstrating eval-awareness as a present capability, or de-anonymising</w:t>
      </w:r>
    </w:p>
    <w:p>
      <w:pPr>
        <w:spacing w:after="0"/>
      </w:pPr>
      <w:r>
        <w:rPr>
          <w:rFonts w:ascii="Courier New" w:hAnsi="Courier New"/>
          <w:sz w:val="15"/>
        </w:rPr>
        <w:t xml:space="preserve">   the eval environment. A RESEARCHER's method to detect gaming, or gaming shown ONLY on</w:t>
      </w:r>
    </w:p>
    <w:p>
      <w:pPr>
        <w:spacing w:after="0"/>
      </w:pPr>
      <w:r>
        <w:rPr>
          <w:rFonts w:ascii="Courier New" w:hAnsi="Courier New"/>
          <w:sz w:val="15"/>
        </w:rPr>
        <w:t xml:space="preserve">   non-frontier models, is NOT D7.</w:t>
      </w:r>
    </w:p>
    <w:p>
      <w:pPr>
        <w:spacing w:after="0"/>
      </w:pPr>
      <w:r>
        <w:rPr>
          <w:rFonts w:ascii="Courier New" w:hAnsi="Courier New"/>
          <w:sz w:val="15"/>
        </w:rPr>
        <w:t xml:space="preserve"> </w:t>
      </w:r>
    </w:p>
    <w:p>
      <w:pPr>
        <w:spacing w:after="0"/>
      </w:pPr>
      <w:r>
        <w:rPr>
          <w:rFonts w:ascii="Courier New" w:hAnsi="Courier New"/>
          <w:sz w:val="15"/>
        </w:rPr>
        <w:t>If ANY of D1–D7 is demonstrated with credible evidence -&gt; CATEGORY 1. Otherwise -&gt; CATEGORY 2.</w:t>
      </w:r>
    </w:p>
    <w:p>
      <w:pPr>
        <w:spacing w:after="0"/>
      </w:pPr>
      <w:r>
        <w:rPr>
          <w:rFonts w:ascii="Courier New" w:hAnsi="Courier New"/>
          <w:sz w:val="15"/>
        </w:rPr>
        <w:t xml:space="preserve"> </w:t>
      </w:r>
    </w:p>
    <w:p>
      <w:pPr>
        <w:spacing w:after="0"/>
      </w:pPr>
      <w:r>
        <w:rPr>
          <w:rFonts w:ascii="Courier New" w:hAnsi="Courier New"/>
          <w:sz w:val="15"/>
        </w:rPr>
        <w:t>CATEGORY 2 (NON-CRITICAL): reassuring/null results (capability BELOW expert threshold, "no</w:t>
      </w:r>
    </w:p>
    <w:p>
      <w:pPr>
        <w:spacing w:after="0"/>
      </w:pPr>
      <w:r>
        <w:rPr>
          <w:rFonts w:ascii="Courier New" w:hAnsi="Courier New"/>
          <w:sz w:val="15"/>
        </w:rPr>
        <w:t>uplift", "did not degrade", "zero instances"); capability-gap findings (model FAILS a task);</w:t>
      </w:r>
    </w:p>
    <w:p>
      <w:pPr>
        <w:spacing w:after="0"/>
      </w:pPr>
      <w:r>
        <w:rPr>
          <w:rFonts w:ascii="Courier New" w:hAnsi="Courier New"/>
          <w:sz w:val="15"/>
        </w:rPr>
        <w:t>positive methodology/tool contributions; pure process/governance observations; findings about</w:t>
      </w:r>
    </w:p>
    <w:p>
      <w:pPr>
        <w:spacing w:after="0"/>
      </w:pPr>
      <w:r>
        <w:rPr>
          <w:rFonts w:ascii="Courier New" w:hAnsi="Courier New"/>
          <w:sz w:val="15"/>
        </w:rPr>
        <w:t>non-frontier/small research models where no frontier system is implicated.</w:t>
      </w:r>
    </w:p>
    <w:p>
      <w:pPr>
        <w:spacing w:after="0"/>
      </w:pPr>
      <w:r>
        <w:rPr>
          <w:rFonts w:ascii="Courier New" w:hAnsi="Courier New"/>
          <w:sz w:val="15"/>
        </w:rPr>
        <w:t xml:space="preserve"> </w:t>
      </w:r>
    </w:p>
    <w:p>
      <w:pPr>
        <w:spacing w:after="0"/>
      </w:pPr>
      <w:r>
        <w:rPr>
          <w:rFonts w:ascii="Courier New" w:hAnsi="Courier New"/>
          <w:sz w:val="15"/>
        </w:rPr>
        <w:t>CRITICAL RULES:</w:t>
      </w:r>
    </w:p>
    <w:p>
      <w:pPr>
        <w:spacing w:after="0"/>
      </w:pPr>
      <w:r>
        <w:rPr>
          <w:rFonts w:ascii="Courier New" w:hAnsi="Courier New"/>
          <w:sz w:val="15"/>
        </w:rPr>
        <w:t>1 NEGATION: "did NOT", "below expert", "zero instances", "no uplift", "remained below" -&gt; Cat 2,</w:t>
      </w:r>
    </w:p>
    <w:p>
      <w:pPr>
        <w:spacing w:after="0"/>
      </w:pPr>
      <w:r>
        <w:rPr>
          <w:rFonts w:ascii="Courier New" w:hAnsi="Courier New"/>
          <w:sz w:val="15"/>
        </w:rPr>
        <w:t xml:space="preserve">  even with alarming vocabulary.</w:t>
      </w:r>
    </w:p>
    <w:p>
      <w:pPr>
        <w:spacing w:after="0"/>
      </w:pPr>
      <w:r>
        <w:rPr>
          <w:rFonts w:ascii="Courier New" w:hAnsi="Courier New"/>
          <w:sz w:val="15"/>
        </w:rPr>
        <w:t>2 DEMONSTRATED, not mentioned: the capability/failure must be shown in the evaluation, not merely</w:t>
      </w:r>
    </w:p>
    <w:p>
      <w:pPr>
        <w:spacing w:after="0"/>
      </w:pPr>
      <w:r>
        <w:rPr>
          <w:rFonts w:ascii="Courier New" w:hAnsi="Courier New"/>
          <w:sz w:val="15"/>
        </w:rPr>
        <w:t xml:space="preserve">  discussed or proposed.</w:t>
      </w:r>
    </w:p>
    <w:p>
      <w:pPr>
        <w:spacing w:after="0"/>
      </w:pPr>
      <w:r>
        <w:rPr>
          <w:rFonts w:ascii="Courier New" w:hAnsi="Courier New"/>
          <w:sz w:val="15"/>
        </w:rPr>
        <w:t>3 TRAJECTORY: a rising trend counts as Cat 1 ONLY if a dangerous capability was reached NOW; a</w:t>
      </w:r>
    </w:p>
    <w:p>
      <w:pPr>
        <w:spacing w:after="0"/>
      </w:pPr>
      <w:r>
        <w:rPr>
          <w:rFonts w:ascii="Courier New" w:hAnsi="Courier New"/>
          <w:sz w:val="15"/>
        </w:rPr>
        <w:t xml:space="preserve">  pure future projection with no current dangerous level is Cat 2. If a specific dangerous</w:t>
      </w:r>
    </w:p>
    <w:p>
      <w:pPr>
        <w:spacing w:after="0"/>
      </w:pPr>
      <w:r>
        <w:rPr>
          <w:rFonts w:ascii="Courier New" w:hAnsi="Courier New"/>
          <w:sz w:val="15"/>
        </w:rPr>
        <w:t xml:space="preserve">  capability IS demonstrated at present, code Cat 1 even if the sentence also describes a trend.</w:t>
      </w:r>
    </w:p>
    <w:p>
      <w:pPr>
        <w:spacing w:after="0"/>
      </w:pPr>
      <w:r>
        <w:rPr>
          <w:rFonts w:ascii="Courier New" w:hAnsi="Courier New"/>
          <w:sz w:val="15"/>
        </w:rPr>
        <w:t xml:space="preserve">  A REASSURING trend (defences hardening, effort-to-bypass increasing) is Cat 2 even if it also</w:t>
      </w:r>
    </w:p>
    <w:p>
      <w:pPr>
        <w:spacing w:after="0"/>
      </w:pPr>
      <w:r>
        <w:rPr>
          <w:rFonts w:ascii="Courier New" w:hAnsi="Courier New"/>
          <w:sz w:val="15"/>
        </w:rPr>
        <w:t xml:space="preserve">  mentions a vulnerability.</w:t>
      </w:r>
    </w:p>
    <w:p>
      <w:pPr>
        <w:spacing w:after="0"/>
      </w:pPr>
      <w:r>
        <w:rPr>
          <w:rFonts w:ascii="Courier New" w:hAnsi="Courier New"/>
          <w:sz w:val="15"/>
        </w:rPr>
        <w:t>4 SOCIETAL HARM: documented real-world harm at scale IS Cat 1 under D4, even without a "safeguard".</w:t>
      </w:r>
    </w:p>
    <w:p>
      <w:pPr>
        <w:spacing w:after="0"/>
      </w:pPr>
      <w:r>
        <w:rPr>
          <w:rFonts w:ascii="Courier New" w:hAnsi="Courier New"/>
          <w:sz w:val="15"/>
        </w:rPr>
        <w:t>5 ABSOLUTE LEVEL: model-vs-model comparison alone is NOT sufficient for D1 or D4 — a dangerous</w:t>
      </w:r>
    </w:p>
    <w:p>
      <w:pPr>
        <w:spacing w:after="0"/>
      </w:pPr>
      <w:r>
        <w:rPr>
          <w:rFonts w:ascii="Courier New" w:hAnsi="Courier New"/>
          <w:sz w:val="15"/>
        </w:rPr>
        <w:t xml:space="preserve">  ABSOLUTE level (expert/human baseline or stated threshold) must be reached.</w:t>
      </w:r>
    </w:p>
    <w:p>
      <w:pPr>
        <w:spacing w:after="0"/>
      </w:pPr>
      <w:r>
        <w:rPr>
          <w:rFonts w:ascii="Courier New" w:hAnsi="Courier New"/>
          <w:sz w:val="15"/>
        </w:rPr>
        <w:t>6 NON-FRONTIER: if a dangerous capability/failure is demonstrated ONLY on non-frontier/small</w:t>
      </w:r>
    </w:p>
    <w:p>
      <w:pPr>
        <w:spacing w:after="0"/>
      </w:pPr>
      <w:r>
        <w:rPr>
          <w:rFonts w:ascii="Courier New" w:hAnsi="Courier New"/>
          <w:sz w:val="15"/>
        </w:rPr>
        <w:t xml:space="preserve">  research models (e.g. Llama-3.1-8B, Mistral-7B) and no frontier system is implicated -&gt; Cat 2.</w:t>
      </w:r>
    </w:p>
    <w:p>
      <w:pPr>
        <w:spacing w:after="0"/>
      </w:pPr>
      <w:r>
        <w:rPr>
          <w:rFonts w:ascii="Courier New" w:hAnsi="Courier New"/>
          <w:sz w:val="15"/>
        </w:rPr>
        <w:t xml:space="preserve"> </w:t>
      </w:r>
    </w:p>
    <w:p>
      <w:pPr>
        <w:spacing w:after="0"/>
      </w:pPr>
      <w:r>
        <w:rPr>
          <w:rFonts w:ascii="Courier New" w:hAnsi="Courier New"/>
          <w:sz w:val="15"/>
        </w:rPr>
        <w:t>OUTPUT (JSON only, no prose):</w:t>
      </w:r>
    </w:p>
    <w:p>
      <w:pPr>
        <w:spacing w:after="0"/>
      </w:pPr>
      <w:r>
        <w:rPr>
          <w:rFonts w:ascii="Courier New" w:hAnsi="Courier New"/>
          <w:sz w:val="15"/>
        </w:rPr>
        <w:t>{"d1_cbrn":bool,"d2_cyber":bool,"d3_autonomy":bool,"d4_persuasion_societal":bool,</w:t>
      </w:r>
    </w:p>
    <w:p>
      <w:pPr>
        <w:spacing w:after="0"/>
      </w:pPr>
      <w:r>
        <w:rPr>
          <w:rFonts w:ascii="Courier New" w:hAnsi="Courier New"/>
          <w:sz w:val="15"/>
        </w:rPr>
        <w:t xml:space="preserve"> "d5_deception":bool,"d6_safeguard_failure":bool,"d7_eval_integrity":bool,</w:t>
      </w:r>
    </w:p>
    <w:p>
      <w:pPr>
        <w:spacing w:after="0"/>
      </w:pPr>
      <w:r>
        <w:rPr>
          <w:rFonts w:ascii="Courier New" w:hAnsi="Courier New"/>
          <w:sz w:val="15"/>
        </w:rPr>
        <w:t xml:space="preserve"> "supporting_quote":"&lt;exact sentence justifying any TRUE domain; empty if all false&gt;",</w:t>
      </w:r>
    </w:p>
    <w:p>
      <w:pPr>
        <w:spacing w:after="0"/>
      </w:pPr>
      <w:r>
        <w:rPr>
          <w:rFonts w:ascii="Courier New" w:hAnsi="Courier New"/>
          <w:sz w:val="15"/>
        </w:rPr>
        <w:t xml:space="preserve"> "category":1 or 2,"confidence":"high" or "low","reason":"&lt;the deciding evidence and rationale for this category — which D-domain(s) drove it, or why all were false&gt;"}</w:t>
      </w:r>
    </w:p>
    <w:p>
      <w:pPr>
        <w:spacing w:after="0"/>
      </w:pPr>
      <w:r>
        <w:rPr>
          <w:rFonts w:ascii="Courier New" w:hAnsi="Courier New"/>
          <w:sz w:val="15"/>
        </w:rPr>
        <w:t>category = 1 if ANY d* is true, else 2.</w:t>
      </w:r>
    </w:p>
    <w:p>
      <w:pPr>
        <w:spacing w:after="0"/>
      </w:pPr>
      <w:r>
        <w:rPr>
          <w:rFonts w:ascii="Courier New" w:hAnsi="Courier New"/>
          <w:sz w:val="15"/>
        </w:rPr>
        <w:t xml:space="preserve"> </w:t>
      </w:r>
    </w:p>
    <w:p>
      <w:pPr>
        <w:spacing w:after="0"/>
      </w:pPr>
      <w:r>
        <w:rPr>
          <w:rFonts w:ascii="Courier New" w:hAnsi="Courier New"/>
          <w:sz w:val="15"/>
        </w:rPr>
        <w:t>FINDING TO ANNOTATE:</w:t>
      </w:r>
    </w:p>
    <w:p>
      <w:pPr>
        <w:spacing w:after="0"/>
      </w:pPr>
      <w:r>
        <w:rPr>
          <w:rFonts w:ascii="Courier New" w:hAnsi="Courier New"/>
          <w:sz w:val="15"/>
        </w:rPr>
        <w:t>Domain: {DOMAIN}</w:t>
      </w:r>
    </w:p>
    <w:p>
      <w:pPr>
        <w:spacing w:after="0"/>
      </w:pPr>
      <w:r>
        <w:rPr>
          <w:rFonts w:ascii="Courier New" w:hAnsi="Courier New"/>
          <w:sz w:val="15"/>
        </w:rPr>
        <w:t>Models/Systems: {MODELS}</w:t>
      </w:r>
    </w:p>
    <w:p>
      <w:pPr>
        <w:spacing w:after="0"/>
      </w:pPr>
      <w:r>
        <w:rPr>
          <w:rFonts w:ascii="Courier New" w:hAnsi="Courier New"/>
          <w:sz w:val="15"/>
        </w:rPr>
        <w:t>Finding: {FINDING}</w:t>
      </w:r>
    </w:p>
    <w:p>
      <w:pPr>
        <w:pStyle w:val="Heading1"/>
      </w:pPr>
      <w:r>
        <w:rPr>
          <w:color w:val="1F4E79"/>
        </w:rPr>
        <w:t>Appendix C — Institutional Comparison, Annotated</w:t>
      </w:r>
    </w:p>
    <w:p>
      <w:pPr>
        <w:spacing w:after="160"/>
      </w:pPr>
      <w:r>
        <w:rPr>
          <w:b w:val="0"/>
          <w:i/>
          <w:sz w:val="19"/>
        </w:rPr>
        <w:t>One- to two-sentence justifications for each row of Table 10. Comparator entries describe the statutory basis; the AISI/CAISI entry describes the documented absence.</w:t>
      </w:r>
    </w:p>
    <w:p>
      <w:pPr>
        <w:spacing w:after="40"/>
      </w:pPr>
      <w:r>
        <w:rPr>
          <w:b/>
          <w:sz w:val="20"/>
        </w:rPr>
        <w:t>Can block or delay market deployment</w:t>
      </w:r>
    </w:p>
    <w:p>
      <w:pPr>
        <w:pStyle w:val="ListBullet"/>
      </w:pPr>
      <w:r>
        <w:rPr>
          <w:b/>
          <w:sz w:val="19"/>
        </w:rPr>
        <w:t xml:space="preserve">Comparators: </w:t>
      </w:r>
      <w:r>
        <w:rPr>
          <w:sz w:val="19"/>
        </w:rPr>
        <w:t>FDA: premarket approval — drugs and devices cannot be marketed without authorisation. NRC: operating licences required before reactor operation. ONR: nuclear site licensing. FCA: product-intervention and authorisation powers. CAA: airworthiness certification. NTSB and PCAOB cannot block products (NTSB investigates; PCAOB regulates auditors, not issuers).</w:t>
      </w:r>
    </w:p>
    <w:p>
      <w:pPr>
        <w:pStyle w:val="ListBullet"/>
        <w:spacing w:after="160"/>
      </w:pPr>
      <w:r>
        <w:rPr>
          <w:b/>
          <w:sz w:val="19"/>
        </w:rPr>
        <w:t xml:space="preserve">AISI / CAISI: </w:t>
      </w:r>
      <w:r>
        <w:rPr>
          <w:sz w:val="19"/>
        </w:rPr>
        <w:t>AISI/CAISI have no authority to delay or block any deployment; the Fable 5/Mythos 5 suspension (Section 5.1) required a separate instrument — export-control law — invoked by the Commerce Department.</w:t>
      </w:r>
    </w:p>
    <w:p>
      <w:pPr>
        <w:spacing w:after="40"/>
      </w:pPr>
      <w:r>
        <w:rPr>
          <w:b/>
          <w:sz w:val="20"/>
        </w:rPr>
        <w:t>Mandatory disclosure of findings</w:t>
      </w:r>
    </w:p>
    <w:p>
      <w:pPr>
        <w:pStyle w:val="ListBullet"/>
      </w:pPr>
      <w:r>
        <w:rPr>
          <w:b/>
          <w:sz w:val="19"/>
        </w:rPr>
        <w:t xml:space="preserve">Comparators: </w:t>
      </w:r>
      <w:r>
        <w:rPr>
          <w:sz w:val="19"/>
        </w:rPr>
        <w:t>FDA publishes approval decisions and inspection letters; NRC publishes inspection findings and event reports; NTSB reports are public by statute; PCAOB publishes inspection reports; ONR, FCA and CAA publish enforcement and inspection outcomes.</w:t>
      </w:r>
    </w:p>
    <w:p>
      <w:pPr>
        <w:pStyle w:val="ListBullet"/>
        <w:spacing w:after="160"/>
      </w:pPr>
      <w:r>
        <w:rPr>
          <w:b/>
          <w:sz w:val="19"/>
        </w:rPr>
        <w:t xml:space="preserve">AISI / CAISI: </w:t>
      </w:r>
      <w:r>
        <w:rPr>
          <w:sz w:val="19"/>
        </w:rPr>
        <w:t>AISI evaluation publication is governed by agreement with the evaluated company; the company effectively controls what is published and when.</w:t>
      </w:r>
    </w:p>
    <w:p>
      <w:pPr>
        <w:spacing w:after="40"/>
      </w:pPr>
      <w:r>
        <w:rPr>
          <w:b/>
          <w:sz w:val="20"/>
        </w:rPr>
        <w:t>Privileged access rights (cannot be denied)</w:t>
      </w:r>
    </w:p>
    <w:p>
      <w:pPr>
        <w:pStyle w:val="ListBullet"/>
      </w:pPr>
      <w:r>
        <w:rPr>
          <w:b/>
          <w:sz w:val="19"/>
        </w:rPr>
        <w:t xml:space="preserve">Comparators: </w:t>
      </w:r>
      <w:r>
        <w:rPr>
          <w:sz w:val="19"/>
        </w:rPr>
        <w:t>FDA can inspect facilities; NRC has resident inspectors on site; NTSB has statutory access to wreckage, records and recorders; PCAOB can compel audit workpapers; ONR/FCA/CAA hold statutory inspection and information-gathering powers.</w:t>
      </w:r>
    </w:p>
    <w:p>
      <w:pPr>
        <w:pStyle w:val="ListBullet"/>
        <w:spacing w:after="160"/>
      </w:pPr>
      <w:r>
        <w:rPr>
          <w:b/>
          <w:sz w:val="19"/>
        </w:rPr>
        <w:t xml:space="preserve">AISI / CAISI: </w:t>
      </w:r>
      <w:r>
        <w:rPr>
          <w:sz w:val="19"/>
        </w:rPr>
        <w:t>AISI access is voluntary, company-granted, and negotiated per evaluation exercise; no statute compels a company to grant it or forbids withdrawing it.</w:t>
      </w:r>
    </w:p>
    <w:p>
      <w:pPr>
        <w:spacing w:after="40"/>
      </w:pPr>
      <w:r>
        <w:rPr>
          <w:b/>
          <w:sz w:val="20"/>
        </w:rPr>
        <w:t>Defined escalation thresholds (finding → required action)</w:t>
      </w:r>
    </w:p>
    <w:p>
      <w:pPr>
        <w:pStyle w:val="ListBullet"/>
      </w:pPr>
      <w:r>
        <w:rPr>
          <w:b/>
          <w:sz w:val="19"/>
        </w:rPr>
        <w:t xml:space="preserve">Comparators: </w:t>
      </w:r>
      <w:r>
        <w:rPr>
          <w:sz w:val="19"/>
        </w:rPr>
        <w:t>FDA: adverse findings trigger defined regulatory actions (warning letters, recalls, withdrawal). NRC: findings map to a graded enforcement matrix. PCAOB: inspection deficiencies trigger remediation requirements. ONR/FCA/CAA: graduated statutory enforcement ladders. NTSB: partial — findings produce recommendations that the FAA must formally answer but need not adopt.</w:t>
      </w:r>
    </w:p>
    <w:p>
      <w:pPr>
        <w:pStyle w:val="ListBullet"/>
        <w:spacing w:after="160"/>
      </w:pPr>
      <w:r>
        <w:rPr>
          <w:b/>
          <w:sz w:val="19"/>
        </w:rPr>
        <w:t xml:space="preserve">AISI / CAISI: </w:t>
      </w:r>
      <w:r>
        <w:rPr>
          <w:sz w:val="19"/>
        </w:rPr>
        <w:t>No finding severity, in any published AISI framework, triggers any required action by anyone.</w:t>
      </w:r>
    </w:p>
    <w:p>
      <w:pPr>
        <w:spacing w:after="40"/>
      </w:pPr>
      <w:r>
        <w:rPr>
          <w:b/>
          <w:sz w:val="20"/>
        </w:rPr>
        <w:t>Right to verify company remediation claims</w:t>
      </w:r>
    </w:p>
    <w:p>
      <w:pPr>
        <w:pStyle w:val="ListBullet"/>
      </w:pPr>
      <w:r>
        <w:rPr>
          <w:b/>
          <w:sz w:val="19"/>
        </w:rPr>
        <w:t xml:space="preserve">Comparators: </w:t>
      </w:r>
      <w:r>
        <w:rPr>
          <w:sz w:val="19"/>
        </w:rPr>
        <w:t>FDA re-inspects before lifting warning-letter status; NRC verifies corrective actions before closing findings; PCAOB reviews remediation within 12 months; ONR/FCA/CAA verify compliance before closing enforcement. NTSB lacks this (it can only re-recommend).</w:t>
      </w:r>
    </w:p>
    <w:p>
      <w:pPr>
        <w:pStyle w:val="ListBullet"/>
        <w:spacing w:after="160"/>
      </w:pPr>
      <w:r>
        <w:rPr>
          <w:b/>
          <w:sz w:val="19"/>
        </w:rPr>
        <w:t xml:space="preserve">AISI / CAISI: </w:t>
      </w:r>
      <w:r>
        <w:rPr>
          <w:sz w:val="19"/>
        </w:rPr>
        <w:t>Documented failure: UK AISI could not verify OpenAI's claimed GPT-5.5 jailbreak fix before deployment (Section 4.7). The one verified case — CAISI testing Anthropic's rebuilt safeguards — occurred only because an export-control order made verification a redeployment condition.</w:t>
      </w:r>
    </w:p>
    <w:p>
      <w:pPr>
        <w:spacing w:after="40"/>
      </w:pPr>
      <w:r>
        <w:rPr>
          <w:b/>
          <w:sz w:val="20"/>
        </w:rPr>
        <w:t>Defined pathway to an enforcement body</w:t>
      </w:r>
    </w:p>
    <w:p>
      <w:pPr>
        <w:pStyle w:val="ListBullet"/>
      </w:pPr>
      <w:r>
        <w:rPr>
          <w:b/>
          <w:sz w:val="19"/>
        </w:rPr>
        <w:t xml:space="preserve">Comparators: </w:t>
      </w:r>
      <w:r>
        <w:rPr>
          <w:sz w:val="19"/>
        </w:rPr>
        <w:t>FDA and NRC are themselves enforcement bodies; NTSB recommendations go to the FAA, which must respond formally; PCAOB refers to the SEC; ONR/FCA/CAA prosecute or sanction directly.</w:t>
      </w:r>
    </w:p>
    <w:p>
      <w:pPr>
        <w:pStyle w:val="ListBullet"/>
        <w:spacing w:after="160"/>
      </w:pPr>
      <w:r>
        <w:rPr>
          <w:b/>
          <w:sz w:val="19"/>
        </w:rPr>
        <w:t xml:space="preserve">AISI / CAISI: </w:t>
      </w:r>
      <w:r>
        <w:rPr>
          <w:sz w:val="19"/>
        </w:rPr>
        <w:t>AISI findings have no defined institutional recipient with enforcement authority in either the UK or the US.</w:t>
      </w:r>
    </w:p>
    <w:p>
      <w:pPr>
        <w:spacing w:after="40"/>
      </w:pPr>
      <w:r>
        <w:rPr>
          <w:b/>
          <w:sz w:val="20"/>
        </w:rPr>
        <w:t>Post-evaluation follow-up and tracking</w:t>
      </w:r>
    </w:p>
    <w:p>
      <w:pPr>
        <w:pStyle w:val="ListBullet"/>
      </w:pPr>
      <w:r>
        <w:rPr>
          <w:b/>
          <w:sz w:val="19"/>
        </w:rPr>
        <w:t xml:space="preserve">Comparators: </w:t>
      </w:r>
      <w:r>
        <w:rPr>
          <w:sz w:val="19"/>
        </w:rPr>
        <w:t>NTSB maintains a public recommendation-status database (open/closed/unacceptable); FDA tracks warning-letter closeouts; NRC tracks findings to closure; PCAOB tracks remediation; ONR/FCA/CAA maintain public enforcement registers.</w:t>
      </w:r>
    </w:p>
    <w:p>
      <w:pPr>
        <w:pStyle w:val="ListBullet"/>
        <w:spacing w:after="160"/>
      </w:pPr>
      <w:r>
        <w:rPr>
          <w:b/>
          <w:sz w:val="19"/>
        </w:rPr>
        <w:t xml:space="preserve">AISI / CAISI: </w:t>
      </w:r>
      <w:r>
        <w:rPr>
          <w:sz w:val="19"/>
        </w:rPr>
        <w:t>No AISI publishes any systematic record of whether its findings were acted on. This paper's dataset is, to our knowledge, the first public attempt.</w:t>
      </w:r>
    </w:p>
    <w:p>
      <w:pPr>
        <w:pStyle w:val="Heading1"/>
      </w:pPr>
      <w:r>
        <w:rPr>
          <w:color w:val="1F4E79"/>
        </w:rPr>
        <w:t>Appendix D — Non-Unanimous Severity Votes</w:t>
      </w:r>
    </w:p>
    <w:p>
      <w:pPr>
        <w:spacing w:after="160"/>
      </w:pPr>
      <w:r>
        <w:rPr>
          <w:b w:val="0"/>
          <w:i/>
          <w:sz w:val="19"/>
        </w:rPr>
        <w:t>All 34 findings where the three ensemble models did not vote unanimously (votes shown as Sonnet 5 / GPT-5.5 / Gemini 3.1; ERR = the model returned no valid vote and the row was decided among the remaining votes). These are the severity codings a reasonable coder could contest.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shd w:val="clear" w:fill="1F4E79"/>
          </w:tcPr>
          <w:p>
            <w:r/>
            <w:r>
              <w:rPr>
                <w:b/>
                <w:i w:val="0"/>
                <w:color w:val="FFFFFF"/>
                <w:sz w:val="17"/>
              </w:rPr>
              <w:t>Finding ID</w:t>
            </w:r>
          </w:p>
        </w:tc>
        <w:tc>
          <w:tcPr>
            <w:tcW w:type="dxa" w:w="720"/>
            <w:shd w:val="clear" w:fill="1F4E79"/>
          </w:tcPr>
          <w:p>
            <w:r/>
            <w:r>
              <w:rPr>
                <w:b/>
                <w:i w:val="0"/>
                <w:color w:val="FFFFFF"/>
                <w:sz w:val="17"/>
              </w:rPr>
              <w:t>Tier</w:t>
            </w:r>
          </w:p>
        </w:tc>
        <w:tc>
          <w:tcPr>
            <w:tcW w:type="dxa" w:w="2160"/>
            <w:shd w:val="clear" w:fill="1F4E79"/>
          </w:tcPr>
          <w:p>
            <w:r/>
            <w:r>
              <w:rPr>
                <w:b/>
                <w:i w:val="0"/>
                <w:color w:val="FFFFFF"/>
                <w:sz w:val="17"/>
              </w:rPr>
              <w:t>Votes (S5/G5.5/G3.1)</w:t>
            </w:r>
          </w:p>
        </w:tc>
        <w:tc>
          <w:tcPr>
            <w:tcW w:type="dxa" w:w="1152"/>
            <w:shd w:val="clear" w:fill="1F4E79"/>
          </w:tcPr>
          <w:p>
            <w:r/>
            <w:r>
              <w:rPr>
                <w:b/>
                <w:i w:val="0"/>
                <w:color w:val="FFFFFF"/>
                <w:sz w:val="17"/>
              </w:rPr>
              <w:t>Majority</w:t>
            </w:r>
          </w:p>
        </w:tc>
        <w:tc>
          <w:tcPr>
            <w:tcW w:type="dxa" w:w="3168"/>
            <w:shd w:val="clear" w:fill="1F4E79"/>
          </w:tcPr>
          <w:p>
            <w:r/>
            <w:r>
              <w:rPr>
                <w:b/>
                <w:i w:val="0"/>
                <w:color w:val="FFFFFF"/>
                <w:sz w:val="17"/>
              </w:rPr>
              <w:t>Type</w:t>
            </w:r>
          </w:p>
        </w:tc>
      </w:tr>
      <w:tr>
        <w:tc>
          <w:tcPr>
            <w:tcW w:type="dxa" w:w="2448"/>
          </w:tcPr>
          <w:p>
            <w:r/>
            <w:r>
              <w:rPr>
                <w:b w:val="0"/>
                <w:i w:val="0"/>
                <w:sz w:val="16"/>
              </w:rPr>
              <w:t>JOINT-2025-05-ALI1</w:t>
            </w:r>
          </w:p>
        </w:tc>
        <w:tc>
          <w:tcPr>
            <w:tcW w:type="dxa" w:w="720"/>
          </w:tcPr>
          <w:p>
            <w:r/>
            <w:r>
              <w:rPr>
                <w:b w:val="0"/>
                <w:i w:val="0"/>
                <w:sz w:val="16"/>
              </w:rPr>
              <w:t>A</w:t>
            </w:r>
          </w:p>
        </w:tc>
        <w:tc>
          <w:tcPr>
            <w:tcW w:type="dxa" w:w="2160"/>
          </w:tcPr>
          <w:p>
            <w:r/>
            <w:r>
              <w:rPr>
                <w:b w:val="0"/>
                <w:i w:val="0"/>
                <w:sz w:val="16"/>
              </w:rPr>
              <w:t>ERR/C1/C1</w:t>
            </w:r>
          </w:p>
        </w:tc>
        <w:tc>
          <w:tcPr>
            <w:tcW w:type="dxa" w:w="1152"/>
          </w:tcPr>
          <w:p>
            <w:r/>
            <w:r>
              <w:rPr>
                <w:b w:val="0"/>
                <w:i w:val="0"/>
                <w:sz w:val="16"/>
              </w:rPr>
              <w:t>C1</w:t>
            </w:r>
          </w:p>
        </w:tc>
        <w:tc>
          <w:tcPr>
            <w:tcW w:type="dxa" w:w="3168"/>
          </w:tcPr>
          <w:p>
            <w:r/>
            <w:r>
              <w:rPr>
                <w:b w:val="0"/>
                <w:i w:val="0"/>
                <w:sz w:val="16"/>
              </w:rPr>
              <w:t>one model errored (2–0 among valid votes)</w:t>
            </w:r>
          </w:p>
        </w:tc>
      </w:tr>
      <w:tr>
        <w:tc>
          <w:tcPr>
            <w:tcW w:type="dxa" w:w="2448"/>
            <w:shd w:val="clear" w:fill="F2F6FB"/>
          </w:tcPr>
          <w:p>
            <w:r/>
            <w:r>
              <w:rPr>
                <w:b w:val="0"/>
                <w:i w:val="0"/>
                <w:sz w:val="16"/>
              </w:rPr>
              <w:t>JOINT-2026-02-CYB5</w:t>
            </w:r>
          </w:p>
        </w:tc>
        <w:tc>
          <w:tcPr>
            <w:tcW w:type="dxa" w:w="720"/>
            <w:shd w:val="clear" w:fill="F2F6FB"/>
          </w:tcPr>
          <w:p>
            <w:r/>
            <w:r>
              <w:rPr>
                <w:b w:val="0"/>
                <w:i w:val="0"/>
                <w:sz w:val="16"/>
              </w:rPr>
              <w:t>A</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UKAISI-2026-03-CYB9</w:t>
            </w:r>
          </w:p>
        </w:tc>
        <w:tc>
          <w:tcPr>
            <w:tcW w:type="dxa" w:w="720"/>
          </w:tcPr>
          <w:p>
            <w:r/>
            <w:r>
              <w:rPr>
                <w:b w:val="0"/>
                <w:i w:val="0"/>
                <w:sz w:val="16"/>
              </w:rPr>
              <w:t>A</w:t>
            </w:r>
          </w:p>
        </w:tc>
        <w:tc>
          <w:tcPr>
            <w:tcW w:type="dxa" w:w="2160"/>
          </w:tcPr>
          <w:p>
            <w:r/>
            <w:r>
              <w:rPr>
                <w:b w:val="0"/>
                <w:i w:val="0"/>
                <w:sz w:val="16"/>
              </w:rPr>
              <w:t>C2/C2/C1</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UKAISI-2026-04-JAI1</w:t>
            </w:r>
          </w:p>
        </w:tc>
        <w:tc>
          <w:tcPr>
            <w:tcW w:type="dxa" w:w="720"/>
            <w:shd w:val="clear" w:fill="F2F6FB"/>
          </w:tcPr>
          <w:p>
            <w:r/>
            <w:r>
              <w:rPr>
                <w:b w:val="0"/>
                <w:i w:val="0"/>
                <w:sz w:val="16"/>
              </w:rPr>
              <w:t>A</w:t>
            </w:r>
          </w:p>
        </w:tc>
        <w:tc>
          <w:tcPr>
            <w:tcW w:type="dxa" w:w="2160"/>
            <w:shd w:val="clear" w:fill="F2F6FB"/>
          </w:tcPr>
          <w:p>
            <w:r/>
            <w:r>
              <w:rPr>
                <w:b w:val="0"/>
                <w:i w:val="0"/>
                <w:sz w:val="16"/>
              </w:rPr>
              <w:t>C1/C2/C1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SECUREBIO-2026-04-BIO7</w:t>
            </w:r>
          </w:p>
        </w:tc>
        <w:tc>
          <w:tcPr>
            <w:tcW w:type="dxa" w:w="720"/>
          </w:tcPr>
          <w:p>
            <w:r/>
            <w:r>
              <w:rPr>
                <w:b w:val="0"/>
                <w:i w:val="0"/>
                <w:sz w:val="16"/>
              </w:rPr>
              <w:t>A</w:t>
            </w:r>
          </w:p>
        </w:tc>
        <w:tc>
          <w:tcPr>
            <w:tcW w:type="dxa" w:w="2160"/>
          </w:tcPr>
          <w:p>
            <w:r/>
            <w:r>
              <w:rPr>
                <w:b w:val="0"/>
                <w:i w:val="0"/>
                <w:sz w:val="16"/>
              </w:rPr>
              <w:t>ERR/C2/C2</w:t>
            </w:r>
          </w:p>
        </w:tc>
        <w:tc>
          <w:tcPr>
            <w:tcW w:type="dxa" w:w="1152"/>
          </w:tcPr>
          <w:p>
            <w:r/>
            <w:r>
              <w:rPr>
                <w:b w:val="0"/>
                <w:i w:val="0"/>
                <w:sz w:val="16"/>
              </w:rPr>
              <w:t>C2</w:t>
            </w:r>
          </w:p>
        </w:tc>
        <w:tc>
          <w:tcPr>
            <w:tcW w:type="dxa" w:w="3168"/>
          </w:tcPr>
          <w:p>
            <w:r/>
            <w:r>
              <w:rPr>
                <w:b w:val="0"/>
                <w:i w:val="0"/>
                <w:sz w:val="16"/>
              </w:rPr>
              <w:t>one model errored (2–0 among valid votes)</w:t>
            </w:r>
          </w:p>
        </w:tc>
      </w:tr>
      <w:tr>
        <w:tc>
          <w:tcPr>
            <w:tcW w:type="dxa" w:w="2448"/>
            <w:shd w:val="clear" w:fill="F2F6FB"/>
          </w:tcPr>
          <w:p>
            <w:r/>
            <w:r>
              <w:rPr>
                <w:b w:val="0"/>
                <w:i w:val="0"/>
                <w:sz w:val="16"/>
              </w:rPr>
              <w:t>UKAISI-2026-06-ALI6</w:t>
            </w:r>
          </w:p>
        </w:tc>
        <w:tc>
          <w:tcPr>
            <w:tcW w:type="dxa" w:w="720"/>
            <w:shd w:val="clear" w:fill="F2F6FB"/>
          </w:tcPr>
          <w:p>
            <w:r/>
            <w:r>
              <w:rPr>
                <w:b w:val="0"/>
                <w:i w:val="0"/>
                <w:sz w:val="16"/>
              </w:rPr>
              <w:t>A</w:t>
            </w:r>
          </w:p>
        </w:tc>
        <w:tc>
          <w:tcPr>
            <w:tcW w:type="dxa" w:w="2160"/>
            <w:shd w:val="clear" w:fill="F2F6FB"/>
          </w:tcPr>
          <w:p>
            <w:r/>
            <w:r>
              <w:rPr>
                <w:b w:val="0"/>
                <w:i w:val="0"/>
                <w:sz w:val="16"/>
              </w:rPr>
              <w:t>C1/C2/C2</w:t>
            </w:r>
          </w:p>
        </w:tc>
        <w:tc>
          <w:tcPr>
            <w:tcW w:type="dxa" w:w="1152"/>
            <w:shd w:val="clear" w:fill="F2F6FB"/>
          </w:tcPr>
          <w:p>
            <w:r/>
            <w:r>
              <w:rPr>
                <w:b w:val="0"/>
                <w:i w:val="0"/>
                <w:sz w:val="16"/>
              </w:rPr>
              <w:t>C2</w:t>
            </w:r>
          </w:p>
        </w:tc>
        <w:tc>
          <w:tcPr>
            <w:tcW w:type="dxa" w:w="3168"/>
            <w:shd w:val="clear" w:fill="F2F6FB"/>
          </w:tcPr>
          <w:p>
            <w:r/>
            <w:r>
              <w:rPr>
                <w:b w:val="0"/>
                <w:i w:val="0"/>
                <w:sz w:val="16"/>
              </w:rPr>
              <w:t>true 2–1 disagreement</w:t>
            </w:r>
          </w:p>
        </w:tc>
      </w:tr>
      <w:tr>
        <w:tc>
          <w:tcPr>
            <w:tcW w:type="dxa" w:w="2448"/>
          </w:tcPr>
          <w:p>
            <w:r/>
            <w:r>
              <w:rPr>
                <w:b w:val="0"/>
                <w:i w:val="0"/>
                <w:sz w:val="16"/>
              </w:rPr>
              <w:t>UKAISI-2024-05a-BIO1</w:t>
            </w:r>
          </w:p>
        </w:tc>
        <w:tc>
          <w:tcPr>
            <w:tcW w:type="dxa" w:w="720"/>
          </w:tcPr>
          <w:p>
            <w:r/>
            <w:r>
              <w:rPr>
                <w:b w:val="0"/>
                <w:i w:val="0"/>
                <w:sz w:val="16"/>
              </w:rPr>
              <w:t>B</w:t>
            </w:r>
          </w:p>
        </w:tc>
        <w:tc>
          <w:tcPr>
            <w:tcW w:type="dxa" w:w="2160"/>
          </w:tcPr>
          <w:p>
            <w:r/>
            <w:r>
              <w:rPr>
                <w:b w:val="0"/>
                <w:i w:val="0"/>
                <w:sz w:val="16"/>
              </w:rPr>
              <w:t>C1/C2/C1</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FRANCE-2024-12-SOC1</w:t>
            </w:r>
          </w:p>
        </w:tc>
        <w:tc>
          <w:tcPr>
            <w:tcW w:type="dxa" w:w="720"/>
            <w:shd w:val="clear" w:fill="F2F6FB"/>
          </w:tcPr>
          <w:p>
            <w:r/>
            <w:r>
              <w:rPr>
                <w:b w:val="0"/>
                <w:i w:val="0"/>
                <w:sz w:val="16"/>
              </w:rPr>
              <w:t>B</w:t>
            </w:r>
          </w:p>
        </w:tc>
        <w:tc>
          <w:tcPr>
            <w:tcW w:type="dxa" w:w="2160"/>
            <w:shd w:val="clear" w:fill="F2F6FB"/>
          </w:tcPr>
          <w:p>
            <w:r/>
            <w:r>
              <w:rPr>
                <w:b w:val="0"/>
                <w:i w:val="0"/>
                <w:sz w:val="16"/>
              </w:rPr>
              <w:t>ERR/C2/C2</w:t>
            </w:r>
          </w:p>
        </w:tc>
        <w:tc>
          <w:tcPr>
            <w:tcW w:type="dxa" w:w="1152"/>
            <w:shd w:val="clear" w:fill="F2F6FB"/>
          </w:tcPr>
          <w:p>
            <w:r/>
            <w:r>
              <w:rPr>
                <w:b w:val="0"/>
                <w:i w:val="0"/>
                <w:sz w:val="16"/>
              </w:rPr>
              <w:t>C2</w:t>
            </w:r>
          </w:p>
        </w:tc>
        <w:tc>
          <w:tcPr>
            <w:tcW w:type="dxa" w:w="3168"/>
            <w:shd w:val="clear" w:fill="F2F6FB"/>
          </w:tcPr>
          <w:p>
            <w:r/>
            <w:r>
              <w:rPr>
                <w:b w:val="0"/>
                <w:i w:val="0"/>
                <w:sz w:val="16"/>
              </w:rPr>
              <w:t>one model errored (2–0 among valid votes)</w:t>
            </w:r>
          </w:p>
        </w:tc>
      </w:tr>
      <w:tr>
        <w:tc>
          <w:tcPr>
            <w:tcW w:type="dxa" w:w="2448"/>
          </w:tcPr>
          <w:p>
            <w:r/>
            <w:r>
              <w:rPr>
                <w:b w:val="0"/>
                <w:i w:val="0"/>
                <w:sz w:val="16"/>
              </w:rPr>
              <w:t>JOINT-2025-01-JAI1</w:t>
            </w:r>
          </w:p>
        </w:tc>
        <w:tc>
          <w:tcPr>
            <w:tcW w:type="dxa" w:w="720"/>
          </w:tcPr>
          <w:p>
            <w:r/>
            <w:r>
              <w:rPr>
                <w:b w:val="0"/>
                <w:i w:val="0"/>
                <w:sz w:val="16"/>
              </w:rPr>
              <w:t>B</w:t>
            </w:r>
          </w:p>
        </w:tc>
        <w:tc>
          <w:tcPr>
            <w:tcW w:type="dxa" w:w="2160"/>
          </w:tcPr>
          <w:p>
            <w:r/>
            <w:r>
              <w:rPr>
                <w:b w:val="0"/>
                <w:i w:val="0"/>
                <w:sz w:val="16"/>
              </w:rPr>
              <w:t>C1/C2/C1</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UKAISI-2025-04-ALI2</w:t>
            </w:r>
          </w:p>
        </w:tc>
        <w:tc>
          <w:tcPr>
            <w:tcW w:type="dxa" w:w="720"/>
            <w:shd w:val="clear" w:fill="F2F6FB"/>
          </w:tcPr>
          <w:p>
            <w:r/>
            <w:r>
              <w:rPr>
                <w:b w:val="0"/>
                <w:i w:val="0"/>
                <w:sz w:val="16"/>
              </w:rPr>
              <w:t>B</w:t>
            </w:r>
          </w:p>
        </w:tc>
        <w:tc>
          <w:tcPr>
            <w:tcW w:type="dxa" w:w="2160"/>
            <w:shd w:val="clear" w:fill="F2F6FB"/>
          </w:tcPr>
          <w:p>
            <w:r/>
            <w:r>
              <w:rPr>
                <w:b w:val="0"/>
                <w:i w:val="0"/>
                <w:sz w:val="16"/>
              </w:rPr>
              <w:t>C2/C2/C1</w:t>
            </w:r>
          </w:p>
        </w:tc>
        <w:tc>
          <w:tcPr>
            <w:tcW w:type="dxa" w:w="1152"/>
            <w:shd w:val="clear" w:fill="F2F6FB"/>
          </w:tcPr>
          <w:p>
            <w:r/>
            <w:r>
              <w:rPr>
                <w:b w:val="0"/>
                <w:i w:val="0"/>
                <w:sz w:val="16"/>
              </w:rPr>
              <w:t>C2</w:t>
            </w:r>
          </w:p>
        </w:tc>
        <w:tc>
          <w:tcPr>
            <w:tcW w:type="dxa" w:w="3168"/>
            <w:shd w:val="clear" w:fill="F2F6FB"/>
          </w:tcPr>
          <w:p>
            <w:r/>
            <w:r>
              <w:rPr>
                <w:b w:val="0"/>
                <w:i w:val="0"/>
                <w:sz w:val="16"/>
              </w:rPr>
              <w:t>true 2–1 disagreement</w:t>
            </w:r>
          </w:p>
        </w:tc>
      </w:tr>
      <w:tr>
        <w:tc>
          <w:tcPr>
            <w:tcW w:type="dxa" w:w="2448"/>
          </w:tcPr>
          <w:p>
            <w:r/>
            <w:r>
              <w:rPr>
                <w:b w:val="0"/>
                <w:i w:val="0"/>
                <w:sz w:val="16"/>
              </w:rPr>
              <w:t>ANTHROPIC-2025-05-ALI1</w:t>
            </w:r>
          </w:p>
        </w:tc>
        <w:tc>
          <w:tcPr>
            <w:tcW w:type="dxa" w:w="720"/>
          </w:tcPr>
          <w:p>
            <w:r/>
            <w:r>
              <w:rPr>
                <w:b w:val="0"/>
                <w:i w:val="0"/>
                <w:sz w:val="16"/>
              </w:rPr>
              <w:t>B</w:t>
            </w:r>
          </w:p>
        </w:tc>
        <w:tc>
          <w:tcPr>
            <w:tcW w:type="dxa" w:w="2160"/>
          </w:tcPr>
          <w:p>
            <w:r/>
            <w:r>
              <w:rPr>
                <w:b w:val="0"/>
                <w:i w:val="0"/>
                <w:sz w:val="16"/>
              </w:rPr>
              <w:t>C2/C1/C2</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JOINT-2025-05-ALI2</w:t>
            </w:r>
          </w:p>
        </w:tc>
        <w:tc>
          <w:tcPr>
            <w:tcW w:type="dxa" w:w="720"/>
            <w:shd w:val="clear" w:fill="F2F6FB"/>
          </w:tcPr>
          <w:p>
            <w:r/>
            <w:r>
              <w:rPr>
                <w:b w:val="0"/>
                <w:i w:val="0"/>
                <w:sz w:val="16"/>
              </w:rPr>
              <w:t>B</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SCALEAI-2025-06-BIO1</w:t>
            </w:r>
          </w:p>
        </w:tc>
        <w:tc>
          <w:tcPr>
            <w:tcW w:type="dxa" w:w="720"/>
          </w:tcPr>
          <w:p>
            <w:r/>
            <w:r>
              <w:rPr>
                <w:b w:val="0"/>
                <w:i w:val="0"/>
                <w:sz w:val="16"/>
              </w:rPr>
              <w:t>B</w:t>
            </w:r>
          </w:p>
        </w:tc>
        <w:tc>
          <w:tcPr>
            <w:tcW w:type="dxa" w:w="2160"/>
          </w:tcPr>
          <w:p>
            <w:r/>
            <w:r>
              <w:rPr>
                <w:b w:val="0"/>
                <w:i w:val="0"/>
                <w:sz w:val="16"/>
              </w:rPr>
              <w:t>C2/C2/C1</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APOLLO-2025-08-ALI2</w:t>
            </w:r>
          </w:p>
        </w:tc>
        <w:tc>
          <w:tcPr>
            <w:tcW w:type="dxa" w:w="720"/>
            <w:shd w:val="clear" w:fill="F2F6FB"/>
          </w:tcPr>
          <w:p>
            <w:r/>
            <w:r>
              <w:rPr>
                <w:b w:val="0"/>
                <w:i w:val="0"/>
                <w:sz w:val="16"/>
              </w:rPr>
              <w:t>B</w:t>
            </w:r>
          </w:p>
        </w:tc>
        <w:tc>
          <w:tcPr>
            <w:tcW w:type="dxa" w:w="2160"/>
            <w:shd w:val="clear" w:fill="F2F6FB"/>
          </w:tcPr>
          <w:p>
            <w:r/>
            <w:r>
              <w:rPr>
                <w:b w:val="0"/>
                <w:i w:val="0"/>
                <w:sz w:val="16"/>
              </w:rPr>
              <w:t>C1/C2/C2</w:t>
            </w:r>
          </w:p>
        </w:tc>
        <w:tc>
          <w:tcPr>
            <w:tcW w:type="dxa" w:w="1152"/>
            <w:shd w:val="clear" w:fill="F2F6FB"/>
          </w:tcPr>
          <w:p>
            <w:r/>
            <w:r>
              <w:rPr>
                <w:b w:val="0"/>
                <w:i w:val="0"/>
                <w:sz w:val="16"/>
              </w:rPr>
              <w:t>C2</w:t>
            </w:r>
          </w:p>
        </w:tc>
        <w:tc>
          <w:tcPr>
            <w:tcW w:type="dxa" w:w="3168"/>
            <w:shd w:val="clear" w:fill="F2F6FB"/>
          </w:tcPr>
          <w:p>
            <w:r/>
            <w:r>
              <w:rPr>
                <w:b w:val="0"/>
                <w:i w:val="0"/>
                <w:sz w:val="16"/>
              </w:rPr>
              <w:t>true 2–1 disagreement</w:t>
            </w:r>
          </w:p>
        </w:tc>
      </w:tr>
      <w:tr>
        <w:tc>
          <w:tcPr>
            <w:tcW w:type="dxa" w:w="2448"/>
          </w:tcPr>
          <w:p>
            <w:r/>
            <w:r>
              <w:rPr>
                <w:b w:val="0"/>
                <w:i w:val="0"/>
                <w:sz w:val="16"/>
              </w:rPr>
              <w:t>CIP-2025-08-ALI1</w:t>
            </w:r>
          </w:p>
        </w:tc>
        <w:tc>
          <w:tcPr>
            <w:tcW w:type="dxa" w:w="720"/>
          </w:tcPr>
          <w:p>
            <w:r/>
            <w:r>
              <w:rPr>
                <w:b w:val="0"/>
                <w:i w:val="0"/>
                <w:sz w:val="16"/>
              </w:rPr>
              <w:t>B</w:t>
            </w:r>
          </w:p>
        </w:tc>
        <w:tc>
          <w:tcPr>
            <w:tcW w:type="dxa" w:w="2160"/>
          </w:tcPr>
          <w:p>
            <w:r/>
            <w:r>
              <w:rPr>
                <w:b w:val="0"/>
                <w:i w:val="0"/>
                <w:sz w:val="16"/>
              </w:rPr>
              <w:t>C1/C2/C1</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HAL-2025-10-AUT1</w:t>
            </w:r>
          </w:p>
        </w:tc>
        <w:tc>
          <w:tcPr>
            <w:tcW w:type="dxa" w:w="720"/>
            <w:shd w:val="clear" w:fill="F2F6FB"/>
          </w:tcPr>
          <w:p>
            <w:r/>
            <w:r>
              <w:rPr>
                <w:b w:val="0"/>
                <w:i w:val="0"/>
                <w:sz w:val="16"/>
              </w:rPr>
              <w:t>B</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HAL-2025-10-AUT3</w:t>
            </w:r>
          </w:p>
        </w:tc>
        <w:tc>
          <w:tcPr>
            <w:tcW w:type="dxa" w:w="720"/>
          </w:tcPr>
          <w:p>
            <w:r/>
            <w:r>
              <w:rPr>
                <w:b w:val="0"/>
                <w:i w:val="0"/>
                <w:sz w:val="16"/>
              </w:rPr>
              <w:t>B</w:t>
            </w:r>
          </w:p>
        </w:tc>
        <w:tc>
          <w:tcPr>
            <w:tcW w:type="dxa" w:w="2160"/>
          </w:tcPr>
          <w:p>
            <w:r/>
            <w:r>
              <w:rPr>
                <w:b w:val="0"/>
                <w:i w:val="0"/>
                <w:sz w:val="16"/>
              </w:rPr>
              <w:t>C1/C2/C1</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SGAISI-2026-01-AUT1</w:t>
            </w:r>
          </w:p>
        </w:tc>
        <w:tc>
          <w:tcPr>
            <w:tcW w:type="dxa" w:w="720"/>
            <w:shd w:val="clear" w:fill="F2F6FB"/>
          </w:tcPr>
          <w:p>
            <w:r/>
            <w:r>
              <w:rPr>
                <w:b w:val="0"/>
                <w:i w:val="0"/>
                <w:sz w:val="16"/>
              </w:rPr>
              <w:t>B</w:t>
            </w:r>
          </w:p>
        </w:tc>
        <w:tc>
          <w:tcPr>
            <w:tcW w:type="dxa" w:w="2160"/>
            <w:shd w:val="clear" w:fill="F2F6FB"/>
          </w:tcPr>
          <w:p>
            <w:r/>
            <w:r>
              <w:rPr>
                <w:b w:val="0"/>
                <w:i w:val="0"/>
                <w:sz w:val="16"/>
              </w:rPr>
              <w:t>C2/C2/C1</w:t>
            </w:r>
          </w:p>
        </w:tc>
        <w:tc>
          <w:tcPr>
            <w:tcW w:type="dxa" w:w="1152"/>
            <w:shd w:val="clear" w:fill="F2F6FB"/>
          </w:tcPr>
          <w:p>
            <w:r/>
            <w:r>
              <w:rPr>
                <w:b w:val="0"/>
                <w:i w:val="0"/>
                <w:sz w:val="16"/>
              </w:rPr>
              <w:t>C2</w:t>
            </w:r>
          </w:p>
        </w:tc>
        <w:tc>
          <w:tcPr>
            <w:tcW w:type="dxa" w:w="3168"/>
            <w:shd w:val="clear" w:fill="F2F6FB"/>
          </w:tcPr>
          <w:p>
            <w:r/>
            <w:r>
              <w:rPr>
                <w:b w:val="0"/>
                <w:i w:val="0"/>
                <w:sz w:val="16"/>
              </w:rPr>
              <w:t>true 2–1 disagreement</w:t>
            </w:r>
          </w:p>
        </w:tc>
      </w:tr>
      <w:tr>
        <w:tc>
          <w:tcPr>
            <w:tcW w:type="dxa" w:w="2448"/>
          </w:tcPr>
          <w:p>
            <w:r/>
            <w:r>
              <w:rPr>
                <w:b w:val="0"/>
                <w:i w:val="0"/>
                <w:sz w:val="16"/>
              </w:rPr>
              <w:t>UKAISI-2026-04-AUT1</w:t>
            </w:r>
          </w:p>
        </w:tc>
        <w:tc>
          <w:tcPr>
            <w:tcW w:type="dxa" w:w="720"/>
          </w:tcPr>
          <w:p>
            <w:r/>
            <w:r>
              <w:rPr>
                <w:b w:val="0"/>
                <w:i w:val="0"/>
                <w:sz w:val="16"/>
              </w:rPr>
              <w:t>B</w:t>
            </w:r>
          </w:p>
        </w:tc>
        <w:tc>
          <w:tcPr>
            <w:tcW w:type="dxa" w:w="2160"/>
          </w:tcPr>
          <w:p>
            <w:r/>
            <w:r>
              <w:rPr>
                <w:b w:val="0"/>
                <w:i w:val="0"/>
                <w:sz w:val="16"/>
              </w:rPr>
              <w:t>C2/C2/C1</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JOINT-2026-02-JAI2</w:t>
            </w:r>
          </w:p>
        </w:tc>
        <w:tc>
          <w:tcPr>
            <w:tcW w:type="dxa" w:w="720"/>
            <w:shd w:val="clear" w:fill="F2F6FB"/>
          </w:tcPr>
          <w:p>
            <w:r/>
            <w:r>
              <w:rPr>
                <w:b w:val="0"/>
                <w:i w:val="0"/>
                <w:sz w:val="16"/>
              </w:rPr>
              <w:t>B</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OPENAI-2026-02-BIO1</w:t>
            </w:r>
          </w:p>
        </w:tc>
        <w:tc>
          <w:tcPr>
            <w:tcW w:type="dxa" w:w="720"/>
          </w:tcPr>
          <w:p>
            <w:r/>
            <w:r>
              <w:rPr>
                <w:b w:val="0"/>
                <w:i w:val="0"/>
                <w:sz w:val="16"/>
              </w:rPr>
              <w:t>B</w:t>
            </w:r>
          </w:p>
        </w:tc>
        <w:tc>
          <w:tcPr>
            <w:tcW w:type="dxa" w:w="2160"/>
          </w:tcPr>
          <w:p>
            <w:r/>
            <w:r>
              <w:rPr>
                <w:b w:val="0"/>
                <w:i w:val="0"/>
                <w:sz w:val="16"/>
              </w:rPr>
              <w:t>C1/C1/C2</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FARAI-2026-02-HUM1</w:t>
            </w:r>
          </w:p>
        </w:tc>
        <w:tc>
          <w:tcPr>
            <w:tcW w:type="dxa" w:w="720"/>
            <w:shd w:val="clear" w:fill="F2F6FB"/>
          </w:tcPr>
          <w:p>
            <w:r/>
            <w:r>
              <w:rPr>
                <w:b w:val="0"/>
                <w:i w:val="0"/>
                <w:sz w:val="16"/>
              </w:rPr>
              <w:t>B</w:t>
            </w:r>
          </w:p>
        </w:tc>
        <w:tc>
          <w:tcPr>
            <w:tcW w:type="dxa" w:w="2160"/>
            <w:shd w:val="clear" w:fill="F2F6FB"/>
          </w:tcPr>
          <w:p>
            <w:r/>
            <w:r>
              <w:rPr>
                <w:b w:val="0"/>
                <w:i w:val="0"/>
                <w:sz w:val="16"/>
              </w:rPr>
              <w:t>C1/C2/C1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UKAISI-2026-03-CYB3</w:t>
            </w:r>
          </w:p>
        </w:tc>
        <w:tc>
          <w:tcPr>
            <w:tcW w:type="dxa" w:w="720"/>
          </w:tcPr>
          <w:p>
            <w:r/>
            <w:r>
              <w:rPr>
                <w:b w:val="0"/>
                <w:i w:val="0"/>
                <w:sz w:val="16"/>
              </w:rPr>
              <w:t>B</w:t>
            </w:r>
          </w:p>
        </w:tc>
        <w:tc>
          <w:tcPr>
            <w:tcW w:type="dxa" w:w="2160"/>
          </w:tcPr>
          <w:p>
            <w:r/>
            <w:r>
              <w:rPr>
                <w:b w:val="0"/>
                <w:i w:val="0"/>
                <w:sz w:val="16"/>
              </w:rPr>
              <w:t>C1/C2/C2</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UKAISI-2026-03b-CYB1</w:t>
            </w:r>
          </w:p>
        </w:tc>
        <w:tc>
          <w:tcPr>
            <w:tcW w:type="dxa" w:w="720"/>
            <w:shd w:val="clear" w:fill="F2F6FB"/>
          </w:tcPr>
          <w:p>
            <w:r/>
            <w:r>
              <w:rPr>
                <w:b w:val="0"/>
                <w:i w:val="0"/>
                <w:sz w:val="16"/>
              </w:rPr>
              <w:t>B</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SECUREBIO-2026-04-BIO3</w:t>
            </w:r>
          </w:p>
        </w:tc>
        <w:tc>
          <w:tcPr>
            <w:tcW w:type="dxa" w:w="720"/>
          </w:tcPr>
          <w:p>
            <w:r/>
            <w:r>
              <w:rPr>
                <w:b w:val="0"/>
                <w:i w:val="0"/>
                <w:sz w:val="16"/>
              </w:rPr>
              <w:t>B</w:t>
            </w:r>
          </w:p>
        </w:tc>
        <w:tc>
          <w:tcPr>
            <w:tcW w:type="dxa" w:w="2160"/>
          </w:tcPr>
          <w:p>
            <w:r/>
            <w:r>
              <w:rPr>
                <w:b w:val="0"/>
                <w:i w:val="0"/>
                <w:sz w:val="16"/>
              </w:rPr>
              <w:t>ERR/C2/C1</w:t>
            </w:r>
          </w:p>
        </w:tc>
        <w:tc>
          <w:tcPr>
            <w:tcW w:type="dxa" w:w="1152"/>
          </w:tcPr>
          <w:p>
            <w:r/>
            <w:r>
              <w:rPr>
                <w:b w:val="0"/>
                <w:i w:val="0"/>
                <w:sz w:val="16"/>
              </w:rPr>
              <w:t>C2</w:t>
            </w:r>
          </w:p>
        </w:tc>
        <w:tc>
          <w:tcPr>
            <w:tcW w:type="dxa" w:w="3168"/>
          </w:tcPr>
          <w:p>
            <w:r/>
            <w:r>
              <w:rPr>
                <w:b w:val="0"/>
                <w:i w:val="0"/>
                <w:sz w:val="16"/>
              </w:rPr>
              <w:t>one model errored (2–0 among valid votes)</w:t>
            </w:r>
          </w:p>
        </w:tc>
      </w:tr>
      <w:tr>
        <w:tc>
          <w:tcPr>
            <w:tcW w:type="dxa" w:w="2448"/>
            <w:shd w:val="clear" w:fill="F2F6FB"/>
          </w:tcPr>
          <w:p>
            <w:r/>
            <w:r>
              <w:rPr>
                <w:b w:val="0"/>
                <w:i w:val="0"/>
                <w:sz w:val="16"/>
              </w:rPr>
              <w:t>USCAISI-2026-05-CYB3</w:t>
            </w:r>
          </w:p>
        </w:tc>
        <w:tc>
          <w:tcPr>
            <w:tcW w:type="dxa" w:w="720"/>
            <w:shd w:val="clear" w:fill="F2F6FB"/>
          </w:tcPr>
          <w:p>
            <w:r/>
            <w:r>
              <w:rPr>
                <w:b w:val="0"/>
                <w:i w:val="0"/>
                <w:sz w:val="16"/>
              </w:rPr>
              <w:t>B</w:t>
            </w:r>
          </w:p>
        </w:tc>
        <w:tc>
          <w:tcPr>
            <w:tcW w:type="dxa" w:w="2160"/>
            <w:shd w:val="clear" w:fill="F2F6FB"/>
          </w:tcPr>
          <w:p>
            <w:r/>
            <w:r>
              <w:rPr>
                <w:b w:val="0"/>
                <w:i w:val="0"/>
                <w:sz w:val="16"/>
              </w:rPr>
              <w:t>C2/C1/C1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UKAISI-2026-05-ALI5</w:t>
            </w:r>
          </w:p>
        </w:tc>
        <w:tc>
          <w:tcPr>
            <w:tcW w:type="dxa" w:w="720"/>
          </w:tcPr>
          <w:p>
            <w:r/>
            <w:r>
              <w:rPr>
                <w:b w:val="0"/>
                <w:i w:val="0"/>
                <w:sz w:val="16"/>
              </w:rPr>
              <w:t>B</w:t>
            </w:r>
          </w:p>
        </w:tc>
        <w:tc>
          <w:tcPr>
            <w:tcW w:type="dxa" w:w="2160"/>
          </w:tcPr>
          <w:p>
            <w:r/>
            <w:r>
              <w:rPr>
                <w:b w:val="0"/>
                <w:i w:val="0"/>
                <w:sz w:val="16"/>
              </w:rPr>
              <w:t>C2/C2/C1</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SGAISI-2026-07-SOC1</w:t>
            </w:r>
          </w:p>
        </w:tc>
        <w:tc>
          <w:tcPr>
            <w:tcW w:type="dxa" w:w="720"/>
            <w:shd w:val="clear" w:fill="F2F6FB"/>
          </w:tcPr>
          <w:p>
            <w:r/>
            <w:r>
              <w:rPr>
                <w:b w:val="0"/>
                <w:i w:val="0"/>
                <w:sz w:val="16"/>
              </w:rPr>
              <w:t>B</w:t>
            </w:r>
          </w:p>
        </w:tc>
        <w:tc>
          <w:tcPr>
            <w:tcW w:type="dxa" w:w="2160"/>
            <w:shd w:val="clear" w:fill="F2F6FB"/>
          </w:tcPr>
          <w:p>
            <w:r/>
            <w:r>
              <w:rPr>
                <w:b w:val="0"/>
                <w:i w:val="0"/>
                <w:sz w:val="16"/>
              </w:rPr>
              <w:t>C1/C2/C1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UKAISI-2025-12-ALI13</w:t>
            </w:r>
          </w:p>
        </w:tc>
        <w:tc>
          <w:tcPr>
            <w:tcW w:type="dxa" w:w="720"/>
          </w:tcPr>
          <w:p>
            <w:r/>
            <w:r>
              <w:rPr>
                <w:b w:val="0"/>
                <w:i w:val="0"/>
                <w:sz w:val="16"/>
              </w:rPr>
              <w:t>C</w:t>
            </w:r>
          </w:p>
        </w:tc>
        <w:tc>
          <w:tcPr>
            <w:tcW w:type="dxa" w:w="2160"/>
          </w:tcPr>
          <w:p>
            <w:r/>
            <w:r>
              <w:rPr>
                <w:b w:val="0"/>
                <w:i w:val="0"/>
                <w:sz w:val="16"/>
              </w:rPr>
              <w:t>C2/C1/C2</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UKAISI-2025-12-BIO3</w:t>
            </w:r>
          </w:p>
        </w:tc>
        <w:tc>
          <w:tcPr>
            <w:tcW w:type="dxa" w:w="720"/>
            <w:shd w:val="clear" w:fill="F2F6FB"/>
          </w:tcPr>
          <w:p>
            <w:r/>
            <w:r>
              <w:rPr>
                <w:b w:val="0"/>
                <w:i w:val="0"/>
                <w:sz w:val="16"/>
              </w:rPr>
              <w:t>C</w:t>
            </w:r>
          </w:p>
        </w:tc>
        <w:tc>
          <w:tcPr>
            <w:tcW w:type="dxa" w:w="2160"/>
            <w:shd w:val="clear" w:fill="F2F6FB"/>
          </w:tcPr>
          <w:p>
            <w:r/>
            <w:r>
              <w:rPr>
                <w:b w:val="0"/>
                <w:i w:val="0"/>
                <w:sz w:val="16"/>
              </w:rPr>
              <w:t>C1/C2/C1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UKAISI-2026-04-ALI15</w:t>
            </w:r>
          </w:p>
        </w:tc>
        <w:tc>
          <w:tcPr>
            <w:tcW w:type="dxa" w:w="720"/>
          </w:tcPr>
          <w:p>
            <w:r/>
            <w:r>
              <w:rPr>
                <w:b w:val="0"/>
                <w:i w:val="0"/>
                <w:sz w:val="16"/>
              </w:rPr>
              <w:t>C</w:t>
            </w:r>
          </w:p>
        </w:tc>
        <w:tc>
          <w:tcPr>
            <w:tcW w:type="dxa" w:w="2160"/>
          </w:tcPr>
          <w:p>
            <w:r/>
            <w:r>
              <w:rPr>
                <w:b w:val="0"/>
                <w:i w:val="0"/>
                <w:sz w:val="16"/>
              </w:rPr>
              <w:t>C1/C2/C1</w:t>
            </w:r>
          </w:p>
        </w:tc>
        <w:tc>
          <w:tcPr>
            <w:tcW w:type="dxa" w:w="1152"/>
          </w:tcPr>
          <w:p>
            <w:r/>
            <w:r>
              <w:rPr>
                <w:b w:val="0"/>
                <w:i w:val="0"/>
                <w:sz w:val="16"/>
              </w:rPr>
              <w:t>C1</w:t>
            </w:r>
          </w:p>
        </w:tc>
        <w:tc>
          <w:tcPr>
            <w:tcW w:type="dxa" w:w="3168"/>
          </w:tcPr>
          <w:p>
            <w:r/>
            <w:r>
              <w:rPr>
                <w:b w:val="0"/>
                <w:i w:val="0"/>
                <w:sz w:val="16"/>
              </w:rPr>
              <w:t>true 2–1 disagreement</w:t>
            </w:r>
          </w:p>
        </w:tc>
      </w:tr>
      <w:tr>
        <w:tc>
          <w:tcPr>
            <w:tcW w:type="dxa" w:w="2448"/>
            <w:shd w:val="clear" w:fill="F2F6FB"/>
          </w:tcPr>
          <w:p>
            <w:r/>
            <w:r>
              <w:rPr>
                <w:b w:val="0"/>
                <w:i w:val="0"/>
                <w:sz w:val="16"/>
              </w:rPr>
              <w:t>UKAISI-2026-04-ALI16</w:t>
            </w:r>
          </w:p>
        </w:tc>
        <w:tc>
          <w:tcPr>
            <w:tcW w:type="dxa" w:w="720"/>
            <w:shd w:val="clear" w:fill="F2F6FB"/>
          </w:tcPr>
          <w:p>
            <w:r/>
            <w:r>
              <w:rPr>
                <w:b w:val="0"/>
                <w:i w:val="0"/>
                <w:sz w:val="16"/>
              </w:rPr>
              <w:t>C</w:t>
            </w:r>
          </w:p>
        </w:tc>
        <w:tc>
          <w:tcPr>
            <w:tcW w:type="dxa" w:w="2160"/>
            <w:shd w:val="clear" w:fill="F2F6FB"/>
          </w:tcPr>
          <w:p>
            <w:r/>
            <w:r>
              <w:rPr>
                <w:b w:val="0"/>
                <w:i w:val="0"/>
                <w:sz w:val="16"/>
              </w:rPr>
              <w:t>C1/C2/C1</w:t>
            </w:r>
          </w:p>
        </w:tc>
        <w:tc>
          <w:tcPr>
            <w:tcW w:type="dxa" w:w="1152"/>
            <w:shd w:val="clear" w:fill="F2F6FB"/>
          </w:tcPr>
          <w:p>
            <w:r/>
            <w:r>
              <w:rPr>
                <w:b w:val="0"/>
                <w:i w:val="0"/>
                <w:sz w:val="16"/>
              </w:rPr>
              <w:t>C1</w:t>
            </w:r>
          </w:p>
        </w:tc>
        <w:tc>
          <w:tcPr>
            <w:tcW w:type="dxa" w:w="3168"/>
            <w:shd w:val="clear" w:fill="F2F6FB"/>
          </w:tcPr>
          <w:p>
            <w:r/>
            <w:r>
              <w:rPr>
                <w:b w:val="0"/>
                <w:i w:val="0"/>
                <w:sz w:val="16"/>
              </w:rPr>
              <w:t>true 2–1 disagreement</w:t>
            </w:r>
          </w:p>
        </w:tc>
      </w:tr>
      <w:tr>
        <w:tc>
          <w:tcPr>
            <w:tcW w:type="dxa" w:w="2448"/>
          </w:tcPr>
          <w:p>
            <w:r/>
            <w:r>
              <w:rPr>
                <w:b w:val="0"/>
                <w:i w:val="0"/>
                <w:sz w:val="16"/>
              </w:rPr>
              <w:t>JOINT-2026-02-CYB1</w:t>
            </w:r>
          </w:p>
        </w:tc>
        <w:tc>
          <w:tcPr>
            <w:tcW w:type="dxa" w:w="720"/>
          </w:tcPr>
          <w:p>
            <w:r/>
            <w:r>
              <w:rPr>
                <w:b w:val="0"/>
                <w:i w:val="0"/>
                <w:sz w:val="16"/>
              </w:rPr>
              <w:t>C</w:t>
            </w:r>
          </w:p>
        </w:tc>
        <w:tc>
          <w:tcPr>
            <w:tcW w:type="dxa" w:w="2160"/>
          </w:tcPr>
          <w:p>
            <w:r/>
            <w:r>
              <w:rPr>
                <w:b w:val="0"/>
                <w:i w:val="0"/>
                <w:sz w:val="16"/>
              </w:rPr>
              <w:t>C2/C1/C2</w:t>
            </w:r>
          </w:p>
        </w:tc>
        <w:tc>
          <w:tcPr>
            <w:tcW w:type="dxa" w:w="1152"/>
          </w:tcPr>
          <w:p>
            <w:r/>
            <w:r>
              <w:rPr>
                <w:b w:val="0"/>
                <w:i w:val="0"/>
                <w:sz w:val="16"/>
              </w:rPr>
              <w:t>C2</w:t>
            </w:r>
          </w:p>
        </w:tc>
        <w:tc>
          <w:tcPr>
            <w:tcW w:type="dxa" w:w="3168"/>
          </w:tcPr>
          <w:p>
            <w:r/>
            <w:r>
              <w:rPr>
                <w:b w:val="0"/>
                <w:i w:val="0"/>
                <w:sz w:val="16"/>
              </w:rPr>
              <w:t>true 2–1 disagreement</w:t>
            </w:r>
          </w:p>
        </w:tc>
      </w:tr>
      <w:tr>
        <w:tc>
          <w:tcPr>
            <w:tcW w:type="dxa" w:w="2448"/>
            <w:shd w:val="clear" w:fill="F2F6FB"/>
          </w:tcPr>
          <w:p>
            <w:r/>
            <w:r>
              <w:rPr>
                <w:b w:val="0"/>
                <w:i w:val="0"/>
                <w:sz w:val="16"/>
              </w:rPr>
              <w:t>UKAISI-2026-06-GOV1</w:t>
            </w:r>
          </w:p>
        </w:tc>
        <w:tc>
          <w:tcPr>
            <w:tcW w:type="dxa" w:w="720"/>
            <w:shd w:val="clear" w:fill="F2F6FB"/>
          </w:tcPr>
          <w:p>
            <w:r/>
            <w:r>
              <w:rPr>
                <w:b w:val="0"/>
                <w:i w:val="0"/>
                <w:sz w:val="16"/>
              </w:rPr>
              <w:t>C</w:t>
            </w:r>
          </w:p>
        </w:tc>
        <w:tc>
          <w:tcPr>
            <w:tcW w:type="dxa" w:w="2160"/>
            <w:shd w:val="clear" w:fill="F2F6FB"/>
          </w:tcPr>
          <w:p>
            <w:r/>
            <w:r>
              <w:rPr>
                <w:b w:val="0"/>
                <w:i w:val="0"/>
                <w:sz w:val="16"/>
              </w:rPr>
              <w:t>ERR/C2/C2</w:t>
            </w:r>
          </w:p>
        </w:tc>
        <w:tc>
          <w:tcPr>
            <w:tcW w:type="dxa" w:w="1152"/>
            <w:shd w:val="clear" w:fill="F2F6FB"/>
          </w:tcPr>
          <w:p>
            <w:r/>
            <w:r>
              <w:rPr>
                <w:b w:val="0"/>
                <w:i w:val="0"/>
                <w:sz w:val="16"/>
              </w:rPr>
              <w:t>C2</w:t>
            </w:r>
          </w:p>
        </w:tc>
        <w:tc>
          <w:tcPr>
            <w:tcW w:type="dxa" w:w="3168"/>
            <w:shd w:val="clear" w:fill="F2F6FB"/>
          </w:tcPr>
          <w:p>
            <w:r/>
            <w:r>
              <w:rPr>
                <w:b w:val="0"/>
                <w:i w:val="0"/>
                <w:sz w:val="16"/>
              </w:rPr>
              <w:t>one model errored (2–0 among valid votes)</w:t>
            </w:r>
          </w:p>
        </w:tc>
      </w:tr>
    </w:tbl>
    <w:p>
      <w:pPr>
        <w:spacing w:after="280"/>
        <w:jc w:val="left"/>
      </w:pPr>
      <w:r>
        <w:rPr>
          <w:b/>
          <w:color w:val="6B6B7B"/>
          <w:sz w:val="17"/>
        </w:rPr>
        <w:t xml:space="preserve">Table D.1.  </w:t>
      </w:r>
      <w:r>
        <w:rPr>
          <w:i/>
          <w:color w:val="6B6B7B"/>
          <w:sz w:val="17"/>
        </w:rPr>
        <w:t>Of the 34 rows, 5 involve a model error (2–0 among valid votes) and 29 are true 2–1 disagreements; only 4 true disagreements fall in Tier A. Data cutoff: 9 July 2026 (v9).</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nalsingh9373.github.io/evaluating-the-evaluators/" TargetMode="External"/><Relationship Id="rId10" Type="http://schemas.openxmlformats.org/officeDocument/2006/relationships/hyperlink" Target="https://arxiv.org/abs/2502.09618" TargetMode="External"/><Relationship Id="rId11" Type="http://schemas.openxmlformats.org/officeDocument/2006/relationships/hyperlink" Target="https://arxiv.org/abs/2601.11699" TargetMode="External"/><Relationship Id="rId12" Type="http://schemas.openxmlformats.org/officeDocument/2006/relationships/hyperlink" Target="https://dl.acm.org/doi/10.1145/3306618.3314244" TargetMode="External"/><Relationship Id="rId13" Type="http://schemas.openxmlformats.org/officeDocument/2006/relationships/hyperlink" Target="https://arxiv.org/abs/2509.22872" TargetMode="External"/><Relationship Id="rId14" Type="http://schemas.openxmlformats.org/officeDocument/2006/relationships/hyperlink" Target="https://arxiv.org/abs/2410.13042" TargetMode="External"/><Relationship Id="rId15" Type="http://schemas.openxmlformats.org/officeDocument/2006/relationships/hyperlink" Target="https://arxiv.org/abs/2508.08345" TargetMode="External"/><Relationship Id="rId16" Type="http://schemas.openxmlformats.org/officeDocument/2006/relationships/hyperlink" Target="https://arxiv.org/abs/2604.14070" TargetMode="External"/><Relationship Id="rId17" Type="http://schemas.openxmlformats.org/officeDocument/2006/relationships/hyperlink" Target="https://arxiv.org/abs/2602.21012" TargetMode="External"/><Relationship Id="rId18" Type="http://schemas.openxmlformats.org/officeDocument/2006/relationships/hyperlink" Target="https://arxiv.org/abs/2410.09024" TargetMode="External"/><Relationship Id="rId19" Type="http://schemas.openxmlformats.org/officeDocument/2006/relationships/hyperlink" Target="https://arxiv.org/abs/2410.09219" TargetMode="External"/><Relationship Id="rId20" Type="http://schemas.openxmlformats.org/officeDocument/2006/relationships/hyperlink" Target="https://arxiv.org/abs/2401.14446" TargetMode="External"/><Relationship Id="rId21" Type="http://schemas.openxmlformats.org/officeDocument/2006/relationships/hyperlink" Target="https://arxiv.org/abs/2602.15001" TargetMode="External"/><Relationship Id="rId22" Type="http://schemas.openxmlformats.org/officeDocument/2006/relationships/hyperlink" Target="https://mitpress.mit.edu/9780262572224/case-studies-and-theory-development-in-the-social-sciences/" TargetMode="External"/><Relationship Id="rId23" Type="http://schemas.openxmlformats.org/officeDocument/2006/relationships/hyperlink" Target="https://arxiv.org/abs/2506.24068" TargetMode="External"/><Relationship Id="rId24" Type="http://schemas.openxmlformats.org/officeDocument/2006/relationships/hyperlink" Target="https://arxiv.org/abs/2501.18837" TargetMode="External"/><Relationship Id="rId25" Type="http://schemas.openxmlformats.org/officeDocument/2006/relationships/hyperlink" Target="https://arxiv.org/abs/2512.07810" TargetMode="External"/><Relationship Id="rId26" Type="http://schemas.openxmlformats.org/officeDocument/2006/relationships/hyperlink" Target="https://www.anthropic.com/claude-4-system-card" TargetMode="External"/><Relationship Id="rId27" Type="http://schemas.openxmlformats.org/officeDocument/2006/relationships/hyperlink" Target="https://openai.com/index/us-caisi-uk-aisi-ai-update/" TargetMode="External"/><Relationship Id="rId28" Type="http://schemas.openxmlformats.org/officeDocument/2006/relationships/hyperlink" Target="https://www.anthropic.com/news/strengthening-our-safeguards-through-collaboration-with-us-caisi-and-uk-aisi" TargetMode="External"/><Relationship Id="rId29" Type="http://schemas.openxmlformats.org/officeDocument/2006/relationships/hyperlink" Target="https://deploymentsafety.openai.com/gpt-5-3-codex/cyber-safeguards" TargetMode="External"/><Relationship Id="rId30" Type="http://schemas.openxmlformats.org/officeDocument/2006/relationships/hyperlink" Target="https://x.com/OpenAINewsroom/status/2023806364196434425" TargetMode="External"/><Relationship Id="rId31" Type="http://schemas.openxmlformats.org/officeDocument/2006/relationships/hyperlink" Target="https://deploymentsafety.openai.com/gpt-5-5/biological-and-chemical" TargetMode="External"/><Relationship Id="rId32" Type="http://schemas.openxmlformats.org/officeDocument/2006/relationships/hyperlink" Target="https://deploymentsafety.openai.com/gpt-5-5/cybersecurity" TargetMode="External"/><Relationship Id="rId33" Type="http://schemas.openxmlformats.org/officeDocument/2006/relationships/hyperlink" Target="https://www.anthropic.com/news/redeploying-fable-5" TargetMode="External"/><Relationship Id="rId34" Type="http://schemas.openxmlformats.org/officeDocument/2006/relationships/hyperlink" Target="https://deploymentsafety.openai.com/gpt-5-6/gpt-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