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 Third-party AI Evaluations Lead to Meaningful Action?</w:t>
      </w:r>
    </w:p>
    <w:p>
      <w:pPr>
        <w:jc w:val="center"/>
      </w:pPr>
      <w:r>
        <w:rPr>
          <w:i/>
          <w:color w:val="6B6B7B"/>
          <w:sz w:val="22"/>
        </w:rPr>
        <w:t>Evaluating the Evaluators: tracing publicly documented evaluation findings from government AI institutes and independent evaluators to their downstream responses, September 2023 – July 2026</w:t>
      </w:r>
    </w:p>
    <w:p>
      <w:pPr>
        <w:jc w:val="center"/>
      </w:pPr>
      <w:r>
        <w:rPr>
          <w:sz w:val="22"/>
        </w:rPr>
        <w:t>Kunal Singh</w:t>
      </w:r>
    </w:p>
    <w:p>
      <w:pPr>
        <w:jc w:val="center"/>
      </w:pPr>
      <w:hyperlink r:id="rId9">
        <w:r>
          <w:rPr>
            <w:color w:val="0563C1"/>
            <w:u w:val="single"/>
            <w:sz w:val="20"/>
          </w:rPr>
          <w:t>Interactive dashboard</w:t>
        </w:r>
      </w:hyperlink>
      <w:r>
        <w:rPr>
          <w:color w:val="6B6B7B"/>
          <w:sz w:val="20"/>
        </w:rPr>
        <w:t xml:space="preserve">   ·   Dataset: v9 (345 findings, one row per finding)</w:t>
      </w:r>
    </w:p>
    <w:p/>
    <w:p>
      <w:pPr>
        <w:pStyle w:val="Heading1"/>
      </w:pPr>
      <w:r>
        <w:rPr>
          <w:color w:val="1F4E79"/>
        </w:rPr>
        <w:t>Abstract</w:t>
      </w:r>
    </w:p>
    <w:p>
      <w:pPr>
        <w:spacing w:after="160"/>
      </w:pPr>
      <w:r>
        <w:rPr>
          <w:b w:val="0"/>
          <w:i w:val="0"/>
          <w:sz w:val="21"/>
        </w:rPr>
        <w:t>Government AI Institutes (GAIs) and a handful of independent AI evaluators (IAEs) now evaluate frontier AI systems, pre- and post-deployment (depending upon access), so that governance does not depend entirely on self-reporting by frontier labs. But the existence of evaluations alone does not mean that they are meaningful. Here, we study the extent to which frontier AI system evaluations are acted on — as measured strictly by the public record. Our question is narrow by design: we ask what public evidence exists that evaluation findings were acted on, not whether evaluations "matter" in some broader sense.</w:t>
      </w:r>
    </w:p>
    <w:p>
      <w:pPr>
        <w:spacing w:after="160"/>
      </w:pPr>
      <w:r>
        <w:rPr>
          <w:b w:val="0"/>
          <w:i w:val="0"/>
          <w:sz w:val="21"/>
        </w:rPr>
        <w:t>We build a database of 345 publicly documented evaluation findings drawn from 153 evaluation reports by GAIs and IAEs — including the UK AI Security Institute (UK AISI), the US Center for AI Standards and Innovation (US CAISI), METR, SecureBio, Apollo Research, and others — covering September 2023 to July 2026, and trace the downstream response across three channels: company response and model updates, parliamentary and congressional action, and ecosystem uptake. Of the 55 findings that name a specific company or model and describe something a response would reasonably be expected for, 44 were classified as genuinely alarming by a three-model severity ensemble. Of those 44: 23 (52%) received no located company response at all, 9 (20%) received only a partial or acknowledged-but-unactioned one, and just 11 (25%) received something we would call proportionate. Combined, 32 of 44 alarming, accountability-relevant findings (73%) show no evidence of an adequate response in the public record.</w:t>
      </w:r>
    </w:p>
    <w:p>
      <w:pPr>
        <w:spacing w:after="160"/>
      </w:pPr>
      <w:r>
        <w:rPr>
          <w:b w:val="0"/>
          <w:i w:val="0"/>
          <w:sz w:val="21"/>
        </w:rPr>
        <w:t>In light of these possible gaps between evaluation results and meaningful action, we consider how oversight bodies in other industries — including the FDA (Food and Drug Administration), NRC (Nuclear Regulatory Commission), NTSB (National Transportation Safety Board), and PCAOB (Public Company Accounting Oversight Board) — are designed to ensure that shortcomings identified in evaluations are actioned. We conclude that, based on the available information, the public lacks a strong reason to trust that government and independent AI evaluations consistently result in substantive improvements to the safety of deployed AI systems.</w:t>
      </w:r>
    </w:p>
    <w:p>
      <w:pPr>
        <w:pStyle w:val="Heading1"/>
      </w:pPr>
      <w:r>
        <w:rPr>
          <w:color w:val="1F4E79"/>
        </w:rPr>
        <w:t>1  Introduction</w:t>
      </w:r>
    </w:p>
    <w:p>
      <w:pPr>
        <w:pStyle w:val="Heading2"/>
      </w:pPr>
      <w:r>
        <w:rPr>
          <w:color w:val="1F4E79"/>
        </w:rPr>
        <w:t>1.1  What the record shows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4E79"/>
          </w:tcPr>
          <w:p>
            <w:r/>
            <w:r>
              <w:rPr>
                <w:b/>
                <w:i w:val="0"/>
                <w:color w:val="FFFFFF"/>
                <w:sz w:val="19"/>
              </w:rPr>
              <w:t>Outcome</w:t>
            </w:r>
          </w:p>
        </w:tc>
        <w:tc>
          <w:tcPr>
            <w:tcW w:type="dxa" w:w="1440"/>
            <w:shd w:val="clear" w:fill="1F4E79"/>
          </w:tcPr>
          <w:p>
            <w:r/>
            <w:r>
              <w:rPr>
                <w:b/>
                <w:i w:val="0"/>
                <w:color w:val="FFFFFF"/>
                <w:sz w:val="19"/>
              </w:rPr>
              <w:t>n / % of 44 C1</w:t>
            </w:r>
          </w:p>
        </w:tc>
        <w:tc>
          <w:tcPr>
            <w:tcW w:type="dxa" w:w="5040"/>
            <w:shd w:val="clear" w:fill="1F4E79"/>
          </w:tcPr>
          <w:p>
            <w:r/>
            <w:r>
              <w:rPr>
                <w:b/>
                <w:i w:val="0"/>
                <w:color w:val="FFFFFF"/>
                <w:sz w:val="19"/>
              </w:rPr>
              <w:t>Key example</w:t>
            </w:r>
          </w:p>
        </w:tc>
      </w:tr>
      <w:tr>
        <w:tc>
          <w:tcPr>
            <w:tcW w:type="dxa" w:w="3168"/>
            <w:shd w:val="clear" w:fill="F5DBD5"/>
          </w:tcPr>
          <w:p>
            <w:r/>
            <w:r>
              <w:rPr>
                <w:b w:val="0"/>
                <w:i w:val="0"/>
                <w:sz w:val="19"/>
              </w:rPr>
              <w:t>No publicly documented company response found</w:t>
            </w:r>
          </w:p>
        </w:tc>
        <w:tc>
          <w:tcPr>
            <w:tcW w:type="dxa" w:w="1440"/>
            <w:shd w:val="clear" w:fill="F5DBD5"/>
          </w:tcPr>
          <w:p>
            <w:r/>
            <w:r>
              <w:rPr>
                <w:b w:val="0"/>
                <w:i w:val="0"/>
                <w:sz w:val="19"/>
              </w:rPr>
              <w:t>23  /  52%</w:t>
            </w:r>
          </w:p>
        </w:tc>
        <w:tc>
          <w:tcPr>
            <w:tcW w:type="dxa" w:w="5040"/>
            <w:shd w:val="clear" w:fill="F5DBD5"/>
          </w:tcPr>
          <w:p>
            <w:r/>
            <w:r>
              <w:rPr>
                <w:b w:val="0"/>
                <w:i w:val="0"/>
                <w:sz w:val="19"/>
              </w:rPr>
              <w:t>UK AISI's AgentHarm benchmark found six separate frontier models complying with malicious agentic requests at high rates, by default or under a simple universal jailbreak template (worst case: 82.2% harm score with only 1.1% refusal, no attack needed); no company response documented for any of them.</w:t>
            </w:r>
          </w:p>
        </w:tc>
      </w:tr>
      <w:tr>
        <w:tc>
          <w:tcPr>
            <w:tcW w:type="dxa" w:w="3168"/>
            <w:shd w:val="clear" w:fill="FBEAD1"/>
          </w:tcPr>
          <w:p>
            <w:r/>
            <w:r>
              <w:rPr>
                <w:b w:val="0"/>
                <w:i w:val="0"/>
                <w:sz w:val="19"/>
              </w:rPr>
              <w:t>Partial or acknowledged, no substantive fix confirmed</w:t>
            </w:r>
          </w:p>
        </w:tc>
        <w:tc>
          <w:tcPr>
            <w:tcW w:type="dxa" w:w="1440"/>
            <w:shd w:val="clear" w:fill="FBEAD1"/>
          </w:tcPr>
          <w:p>
            <w:r/>
            <w:r>
              <w:rPr>
                <w:b w:val="0"/>
                <w:i w:val="0"/>
                <w:sz w:val="19"/>
              </w:rPr>
              <w:t>9  /  20%</w:t>
            </w:r>
          </w:p>
        </w:tc>
        <w:tc>
          <w:tcPr>
            <w:tcW w:type="dxa" w:w="5040"/>
            <w:shd w:val="clear" w:fill="FBEAD1"/>
          </w:tcPr>
          <w:p>
            <w:r/>
            <w:r>
              <w:rPr>
                <w:b w:val="0"/>
                <w:i w:val="0"/>
                <w:sz w:val="19"/>
              </w:rPr>
              <w:t>A finding acknowledged in follow-on discussion or system-card language, with no specific attributed mitigation described.</w:t>
            </w:r>
          </w:p>
        </w:tc>
      </w:tr>
      <w:tr>
        <w:tc>
          <w:tcPr>
            <w:tcW w:type="dxa" w:w="3168"/>
            <w:shd w:val="clear" w:fill="DCEFE7"/>
          </w:tcPr>
          <w:p>
            <w:r/>
            <w:r>
              <w:rPr>
                <w:b w:val="0"/>
                <w:i w:val="0"/>
                <w:sz w:val="19"/>
              </w:rPr>
              <w:t>Proportionate response documented</w:t>
            </w:r>
          </w:p>
        </w:tc>
        <w:tc>
          <w:tcPr>
            <w:tcW w:type="dxa" w:w="1440"/>
            <w:shd w:val="clear" w:fill="DCEFE7"/>
          </w:tcPr>
          <w:p>
            <w:r/>
            <w:r>
              <w:rPr>
                <w:b w:val="0"/>
                <w:i w:val="0"/>
                <w:sz w:val="19"/>
              </w:rPr>
              <w:t>11  /  25%</w:t>
            </w:r>
          </w:p>
        </w:tc>
        <w:tc>
          <w:tcPr>
            <w:tcW w:type="dxa" w:w="5040"/>
            <w:shd w:val="clear" w:fill="DCEFE7"/>
          </w:tcPr>
          <w:p>
            <w:r/>
            <w:r>
              <w:rPr>
                <w:b w:val="0"/>
                <w:i w:val="0"/>
                <w:sz w:val="19"/>
              </w:rPr>
              <w:t>Anthropic fundamentally restructured its Constitutional Classifier safeguard architecture after UK AISI / US CAISI evaluators found universal jailbreaks bypassing it.</w:t>
            </w:r>
          </w:p>
        </w:tc>
      </w:tr>
      <w:tr>
        <w:tc>
          <w:tcPr>
            <w:tcW w:type="dxa" w:w="3168"/>
            <w:shd w:val="clear" w:fill="EDEDF1"/>
          </w:tcPr>
          <w:p>
            <w:r/>
            <w:r>
              <w:rPr>
                <w:b w:val="0"/>
                <w:i w:val="0"/>
                <w:sz w:val="19"/>
              </w:rPr>
              <w:t>Too recent to judge</w:t>
            </w:r>
          </w:p>
        </w:tc>
        <w:tc>
          <w:tcPr>
            <w:tcW w:type="dxa" w:w="1440"/>
            <w:shd w:val="clear" w:fill="EDEDF1"/>
          </w:tcPr>
          <w:p>
            <w:r/>
            <w:r>
              <w:rPr>
                <w:b w:val="0"/>
                <w:i w:val="0"/>
                <w:sz w:val="19"/>
              </w:rPr>
              <w:t>1  /  2%</w:t>
            </w:r>
          </w:p>
        </w:tc>
        <w:tc>
          <w:tcPr>
            <w:tcW w:type="dxa" w:w="5040"/>
            <w:shd w:val="clear" w:fill="EDEDF1"/>
          </w:tcPr>
          <w:p>
            <w:r/>
            <w:r>
              <w:rPr>
                <w:b w:val="0"/>
                <w:i w:val="0"/>
                <w:sz w:val="19"/>
              </w:rPr>
              <w:t>A 2026 finding close enough to publication that a response, if any, may not yet be visible in the public record.</w:t>
            </w:r>
          </w:p>
        </w:tc>
      </w:tr>
    </w:tbl>
    <w:p>
      <w:pPr>
        <w:spacing w:after="280"/>
        <w:jc w:val="left"/>
      </w:pPr>
      <w:r>
        <w:rPr>
          <w:b/>
          <w:color w:val="6B6B7B"/>
          <w:sz w:val="17"/>
        </w:rPr>
        <w:t xml:space="preserve">Table 1.  </w:t>
      </w:r>
      <w:r>
        <w:rPr>
          <w:i/>
          <w:color w:val="6B6B7B"/>
          <w:sz w:val="17"/>
        </w:rPr>
        <w:t>Outcomes among the 44 alarming (C1) findings within our accountability-relevant tier (see Section 3.2), September 2023 – July 2026. All counts derived from dataset v9; the two red/orange rows sum to the 73% gap discussed in Section 4.1.</w:t>
      </w:r>
    </w:p>
    <w:p>
      <w:pPr>
        <w:spacing w:after="160"/>
      </w:pPr>
      <w:r>
        <w:rPr>
          <w:b w:val="0"/>
          <w:i w:val="0"/>
          <w:sz w:val="21"/>
        </w:rPr>
        <w:t>This paper asks one question: when a government or independent AI evaluation finds something alarming about a named frontier system, does anything change — to public knowledge? Nobody has yet traced government and third-party AI evaluation findings to downstream outcomes across this many institutions. Casper, Krueger &amp; Hadfield-Menell (2025) show how "evidence-based policy" rhetoric can itself delay regulation. Brundage, Casper et al. (2026) propose assurance levels for evaluation rigor. Araujo, Fort &amp; Guest (2024) remains the best primer on AISI institutional design, but it is not built to measure outcomes. This paper fills that specific gap.</w:t>
      </w:r>
    </w:p>
    <w:p>
      <w:pPr>
        <w:pStyle w:val="Heading2"/>
      </w:pPr>
      <w:r>
        <w:rPr>
          <w:color w:val="1F4E79"/>
        </w:rPr>
        <w:t>1.2  What this paper does — and does not — claim</w:t>
      </w:r>
    </w:p>
    <w:p>
      <w:pPr>
        <w:spacing w:after="160"/>
      </w:pPr>
      <w:r>
        <w:rPr>
          <w:b w:val="0"/>
          <w:i w:val="0"/>
          <w:sz w:val="21"/>
        </w:rPr>
        <w:t>One caution shapes everything that follows: a finding being publicly actioned is not the same thing as a finding mattering, and we are careful not to conflate the two. Our focus is strictly on what public evidence exists about action. An evaluation that surfaces nothing important, or nothing actionable, is not necessarily a bad evaluation — null results are a legitimate and useful output of a functioning evaluation ecosystem. And some benefits of evaluations may be completely invisible to a study like ours: a company that knows it will be evaluated is more likely to do its due diligence beforehand, and may patch problems before the evaluation ever happens. That deterrence effect would leave no trace in our data. What this paper measures is therefore a specific, narrower thing: when an alarming finding about a named system is published, does the public record contain evidence that anyone did anything about it? That narrower thing is still worth measuring — it is the only part of the accountability chain the public can inspect.</w:t>
      </w:r>
    </w:p>
    <w:p>
      <w:pPr>
        <w:pStyle w:val="Heading1"/>
      </w:pPr>
      <w:r>
        <w:rPr>
          <w:color w:val="1F4E79"/>
        </w:rPr>
        <w:t>2  Related Work</w:t>
      </w:r>
    </w:p>
    <w:p>
      <w:pPr>
        <w:pStyle w:val="Heading2"/>
      </w:pPr>
      <w:r>
        <w:rPr>
          <w:color w:val="1F4E79"/>
        </w:rPr>
        <w:t>2.1  What AISIs are and what they were designed to do</w:t>
      </w:r>
    </w:p>
    <w:p>
      <w:pPr>
        <w:spacing w:after="160"/>
      </w:pPr>
      <w:r>
        <w:rPr>
          <w:b w:val="0"/>
          <w:i w:val="0"/>
          <w:sz w:val="21"/>
        </w:rPr>
        <w:t>The first wave of AI Safety Institutes — in the UK, US, Japan, Singapore, and Canada — was established from late 2023 onward, in part to independently evaluate frontier AI systems and reduce governance dependence on self-reporting by the companies that build them (Araujo, Fort &amp; Guest, 2024). Their four core functions are research, standards, cooperation, and serving as a source of technical expertise inside government. New institutes are still being launched, so the design questions this paper raises apply to institutions that do not yet exist as much as to those that do. None of the first-wave institutes was given enforcement authority; whether their findings lead to action is left to company discretion and to whatever external pressure the findings generate.</w:t>
      </w:r>
    </w:p>
    <w:p>
      <w:pPr>
        <w:pStyle w:val="Heading2"/>
      </w:pPr>
      <w:r>
        <w:rPr>
          <w:color w:val="1F4E79"/>
        </w:rPr>
        <w:t>2.2  Prior work</w:t>
      </w:r>
    </w:p>
    <w:p>
      <w:pPr>
        <w:pStyle w:val="ListBullet"/>
      </w:pPr>
      <w:r>
        <w:rPr>
          <w:b/>
          <w:sz w:val="21"/>
        </w:rPr>
        <w:t>Casper, Krueger &amp; Hadfield-Menell (2025), "Pitfalls of Evidence-Based AI Policy"</w:t>
      </w:r>
      <w:r>
        <w:rPr>
          <w:sz w:val="21"/>
        </w:rPr>
        <w:t xml:space="preserve"> — demanding evidence before acting can itself become a delay tactic, drawing on tobacco and fossil-fuel regulatory history as parallels. [</w:t>
      </w:r>
      <w:hyperlink r:id="rId10">
        <w:r>
          <w:rPr>
            <w:color w:val="0563C1"/>
            <w:u w:val="single"/>
            <w:sz w:val="21"/>
          </w:rPr>
          <w:t>link</w:t>
        </w:r>
      </w:hyperlink>
      <w:r>
        <w:rPr>
          <w:sz w:val="21"/>
        </w:rPr>
        <w:t>]</w:t>
      </w:r>
    </w:p>
    <w:p>
      <w:pPr>
        <w:pStyle w:val="ListBullet"/>
      </w:pPr>
      <w:r>
        <w:rPr>
          <w:b/>
          <w:sz w:val="21"/>
        </w:rPr>
        <w:t>Brundage, Casper et al. (2026), "Frontier AI Auditing"</w:t>
      </w:r>
      <w:r>
        <w:rPr>
          <w:sz w:val="21"/>
        </w:rPr>
        <w:t xml:space="preserve"> — proposes AI Assurance Levels for third-party audit rigor; focused on the evaluation itself, not what happens after publication. [</w:t>
      </w:r>
      <w:hyperlink r:id="rId11">
        <w:r>
          <w:rPr>
            <w:color w:val="0563C1"/>
            <w:u w:val="single"/>
            <w:sz w:val="21"/>
          </w:rPr>
          <w:t>link</w:t>
        </w:r>
      </w:hyperlink>
      <w:r>
        <w:rPr>
          <w:sz w:val="21"/>
        </w:rPr>
        <w:t>]</w:t>
      </w:r>
    </w:p>
    <w:p>
      <w:pPr>
        <w:pStyle w:val="ListBullet"/>
      </w:pPr>
      <w:r>
        <w:rPr>
          <w:b/>
          <w:sz w:val="21"/>
        </w:rPr>
        <w:t>Raji &amp; Buolamwini (2019), "Actionable Auditing"</w:t>
      </w:r>
      <w:r>
        <w:rPr>
          <w:sz w:val="21"/>
        </w:rPr>
        <w:t xml:space="preserve"> — the closest methodological ancestor: audits of commercial facial-analysis systems, followed up to measure whether the audited companies actually changed their products. [</w:t>
      </w:r>
      <w:hyperlink r:id="rId12">
        <w:r>
          <w:rPr>
            <w:color w:val="0563C1"/>
            <w:u w:val="single"/>
            <w:sz w:val="21"/>
          </w:rPr>
          <w:t>link</w:t>
        </w:r>
      </w:hyperlink>
      <w:r>
        <w:rPr>
          <w:sz w:val="21"/>
        </w:rPr>
        <w:t>]</w:t>
      </w:r>
    </w:p>
    <w:p>
      <w:pPr>
        <w:pStyle w:val="ListBullet"/>
      </w:pPr>
      <w:r>
        <w:rPr>
          <w:b/>
          <w:sz w:val="21"/>
        </w:rPr>
        <w:t>Yew &amp; Judge (2025), "Anti-Regulatory AI"</w:t>
      </w:r>
      <w:r>
        <w:rPr>
          <w:sz w:val="21"/>
        </w:rPr>
        <w:t xml:space="preserve"> — industry-sponsored safety research and alliances can legitimize light-touch oversight; treated here as a live hypothesis, not a conclusion. [</w:t>
      </w:r>
      <w:hyperlink r:id="rId13">
        <w:r>
          <w:rPr>
            <w:color w:val="0563C1"/>
            <w:u w:val="single"/>
            <w:sz w:val="21"/>
          </w:rPr>
          <w:t>link</w:t>
        </w:r>
      </w:hyperlink>
      <w:r>
        <w:rPr>
          <w:sz w:val="21"/>
        </w:rPr>
        <w:t>]</w:t>
      </w:r>
    </w:p>
    <w:p>
      <w:pPr>
        <w:pStyle w:val="ListBullet"/>
      </w:pPr>
      <w:r>
        <w:rPr>
          <w:b/>
          <w:sz w:val="21"/>
        </w:rPr>
        <w:t>Wei, Ezell, Gabrieli &amp; Deshpande (2024), "How Do AI Companies Fine-Tune Policy?"</w:t>
      </w:r>
      <w:r>
        <w:rPr>
          <w:sz w:val="21"/>
        </w:rPr>
        <w:t xml:space="preserve"> — capture mechanisms in US AI policy generally, predating the 2025 UK/US AISI restructurings. [</w:t>
      </w:r>
      <w:hyperlink r:id="rId14">
        <w:r>
          <w:rPr>
            <w:color w:val="0563C1"/>
            <w:u w:val="single"/>
            <w:sz w:val="21"/>
          </w:rPr>
          <w:t>link</w:t>
        </w:r>
      </w:hyperlink>
      <w:r>
        <w:rPr>
          <w:sz w:val="21"/>
        </w:rPr>
        <w:t>]</w:t>
      </w:r>
    </w:p>
    <w:p>
      <w:pPr>
        <w:pStyle w:val="ListBullet"/>
      </w:pPr>
      <w:r>
        <w:rPr>
          <w:b/>
          <w:sz w:val="21"/>
        </w:rPr>
        <w:t>Wang, Huang, Klyman &amp; Bommasani (2025), "Do AI Companies Make Good on Voluntary Commitments to the White House?"</w:t>
      </w:r>
      <w:r>
        <w:rPr>
          <w:sz w:val="21"/>
        </w:rPr>
        <w:t xml:space="preserve"> — scores 16 companies against their own 2023 voluntary commitments and finds an average compliance score of just 53%, with self-reporting as the only accountability mechanism. The closest existing analogue to this paper's method, applied to a different commitment structure. [</w:t>
      </w:r>
      <w:hyperlink r:id="rId15">
        <w:r>
          <w:rPr>
            <w:color w:val="0563C1"/>
            <w:u w:val="single"/>
            <w:sz w:val="21"/>
          </w:rPr>
          <w:t>link</w:t>
        </w:r>
      </w:hyperlink>
      <w:r>
        <w:rPr>
          <w:sz w:val="21"/>
        </w:rPr>
        <w:t>]</w:t>
      </w:r>
    </w:p>
    <w:p>
      <w:pPr>
        <w:pStyle w:val="ListBullet"/>
      </w:pPr>
      <w:r>
        <w:rPr>
          <w:b/>
          <w:sz w:val="21"/>
        </w:rPr>
        <w:t>Rost (2026), "From Disclosure to Self-Referential Opacity"</w:t>
      </w:r>
      <w:r>
        <w:rPr>
          <w:sz w:val="21"/>
        </w:rPr>
        <w:t xml:space="preserve"> — identifies disclosure-without-follow-up as one of six structural strain points in current AI governance; this paper supplies a measured instance of exactly that strain point. [</w:t>
      </w:r>
      <w:hyperlink r:id="rId16">
        <w:r>
          <w:rPr>
            <w:color w:val="0563C1"/>
            <w:u w:val="single"/>
            <w:sz w:val="21"/>
          </w:rPr>
          <w:t>link</w:t>
        </w:r>
      </w:hyperlink>
      <w:r>
        <w:rPr>
          <w:sz w:val="21"/>
        </w:rPr>
        <w:t>]</w:t>
      </w:r>
    </w:p>
    <w:p>
      <w:pPr>
        <w:pStyle w:val="ListBullet"/>
      </w:pPr>
      <w:r>
        <w:rPr>
          <w:b/>
          <w:sz w:val="21"/>
        </w:rPr>
        <w:t>Bengio et al. (2026), "International AI Safety Report 2026"</w:t>
      </w:r>
      <w:r>
        <w:rPr>
          <w:sz w:val="21"/>
        </w:rPr>
        <w:t xml:space="preserve"> — already states that "reliable pre-deployment safety testing has become harder to conduct"; independent confirmation that the problem this paper documents is visible even from inside the institutions doing the evaluating. [</w:t>
      </w:r>
      <w:hyperlink r:id="rId17">
        <w:r>
          <w:rPr>
            <w:color w:val="0563C1"/>
            <w:u w:val="single"/>
            <w:sz w:val="21"/>
          </w:rPr>
          <w:t>link</w:t>
        </w:r>
      </w:hyperlink>
      <w:r>
        <w:rPr>
          <w:sz w:val="21"/>
        </w:rPr>
        <w:t>]</w:t>
      </w:r>
    </w:p>
    <w:p>
      <w:pPr>
        <w:pStyle w:val="Heading2"/>
      </w:pPr>
      <w:r>
        <w:rPr>
          <w:color w:val="1F4E79"/>
        </w:rPr>
        <w:t>2.3  When oversight exists but does not bind: historical precedents</w:t>
      </w:r>
    </w:p>
    <w:p>
      <w:pPr>
        <w:spacing w:after="160"/>
      </w:pPr>
      <w:r>
        <w:rPr>
          <w:b w:val="0"/>
          <w:i w:val="0"/>
          <w:sz w:val="21"/>
        </w:rPr>
        <w:t>The gap this paper measures — an oversight mechanism that produces findings without producing consequences — is not new to AI. History offers repeated examples of industries operating under formal oversight while dangerous practices or outright fraud continued for years. Enron was audited continuously by Arthur Andersen, one of the five largest accounting firms in the world, which certified its financial statements every year until weeks before the company collapsed in 2001; the auditing relationship existed, produced documents, and changed nothing — and the eventual response was the creation of the PCAOB, an oversight body with the mandatory-inspection and enforcement powers its predecessor arrangement lacked. The FAA's delegation of certification work to Boeing itself preceded the two 737 MAX crashes of 2018–2019, in which the certifying authority formally reviewed a flight-control system it did not independently understand. Credit-rating agencies rated the structured products at the center of the 2008 financial crisis under an issuer-pays model, with formal regulatory recognition but no accountability for the ratings' accuracy. The common structure across these cases is the one this paper tests for in AI: evaluation without a pathway from finding to required action tends toward documentation of problems rather than correction of them. Notably, several of the comparison bodies we examine in Section 5.4 — the PCAOB most directly — were created as corrections after exactly this failure mode became visible. To our knowledge, no existing work systematically traces AI evaluation findings to downstream outcomes across institutions; that is the gap this paper addresses, and the historical record suggests it is worth measuring before, rather than after, the institutional design hardens.</w:t>
      </w:r>
    </w:p>
    <w:p>
      <w:pPr>
        <w:pStyle w:val="Heading1"/>
      </w:pPr>
      <w:r>
        <w:rPr>
          <w:color w:val="1F4E79"/>
        </w:rPr>
        <w:t>3  Data and Methods</w:t>
      </w:r>
    </w:p>
    <w:p>
      <w:pPr>
        <w:pStyle w:val="Heading2"/>
      </w:pPr>
      <w:r>
        <w:rPr>
          <w:color w:val="1F4E79"/>
        </w:rPr>
        <w:t>3.1  Data collection</w:t>
      </w:r>
    </w:p>
    <w:p>
      <w:pPr>
        <w:spacing w:after="160"/>
      </w:pPr>
      <w:r>
        <w:rPr>
          <w:b w:val="0"/>
          <w:i w:val="0"/>
          <w:sz w:val="21"/>
        </w:rPr>
        <w:t>We collected every publicly documented evaluation finding from UK AISI, US CAISI, and other national or joint institutes (including the Singapore, Korea, Japan and Australia AI Safety Institutes, France's PEReN/INESIA, and International Network joint testing exercises), plus independent evaluators such as METR, SecureBio and Apollo Research where they work alongside a government institute or evaluate a frontier model with comparable rigor, published between September 2023 and July 2026 (the bulk of the corpus begins in 2024; only 3 findings predate it). Sources: institute blog posts and progress reports, joint evaluation publications, the International Network's Joint Testing Exercise reports, and company model/system cards that reference an institute's evaluation. The unit of analysis is one row per finding, as a single report frequently yields several independently codeable findings (a jailbreak report, for instance, might yield one finding about the base attack-success rate and a separate one about a specific bypass technique). This produced 345 rows from 153 distinct evaluation reports.</w:t>
      </w:r>
    </w:p>
    <w:p>
      <w:pPr>
        <w:spacing w:after="160"/>
      </w:pPr>
      <w:r>
        <w:rPr>
          <w:b w:val="0"/>
          <w:i w:val="0"/>
          <w:sz w:val="21"/>
        </w:rPr>
        <w:t>What is excluded. Findings shared privately with a company under a memorandum of understanding, and never published, are by definition invisible to us and are not included. We also dropped non-English-language institute output (mostly Japan's J-AISI) for translation-reliability reasons.</w:t>
      </w:r>
    </w:p>
    <w:p>
      <w:pPr>
        <w:spacing w:after="160"/>
      </w:pPr>
      <w:r>
        <w:rPr>
          <w:b w:val="0"/>
          <w:i/>
          <w:sz w:val="21"/>
        </w:rPr>
        <w:t>Figures 1–3 describe the corpus: who reports findings, whose models the findings concern, and under what access conditions the evaluations ran.</w:t>
      </w:r>
    </w:p>
    <w:p>
      <w:pPr>
        <w:jc w:val="center"/>
        <w:shd w:val="clear" w:fill="EAF1F8"/>
      </w:pPr>
      <w:r>
        <w:rPr>
          <w:b/>
          <w:color w:val="1F4E79"/>
          <w:sz w:val="20"/>
        </w:rPr>
        <w:t>[ Figure 1 — file: fig1_institutions.png in Desktop/evaluating-the-evaluators-figures ]</w:t>
      </w:r>
    </w:p>
    <w:p>
      <w:pPr>
        <w:spacing w:after="280"/>
        <w:jc w:val="left"/>
      </w:pPr>
      <w:r>
        <w:rPr>
          <w:b/>
          <w:color w:val="6B6B7B"/>
          <w:sz w:val="17"/>
        </w:rPr>
        <w:t xml:space="preserve">Figure 1.  </w:t>
      </w:r>
      <w:r>
        <w:rPr>
          <w:i/>
          <w:color w:val="6B6B7B"/>
          <w:sz w:val="17"/>
        </w:rPr>
        <w:t>Findings per reporting institution (n = 345). Institutions are grouped; "Other third-party evaluators" collapses roughly thirty distinct organisations including Holistic AI, Princeton HAL, Transluce, Shanghai AI Lab, and LatticeFlow. UK AISI standalone reports account for just over half the corpus.</w:t>
      </w:r>
    </w:p>
    <w:p>
      <w:pPr>
        <w:jc w:val="center"/>
        <w:shd w:val="clear" w:fill="EAF1F8"/>
      </w:pPr>
      <w:r>
        <w:rPr>
          <w:b/>
          <w:color w:val="1F4E79"/>
          <w:sz w:val="20"/>
        </w:rPr>
        <w:t>[ Figure 2 — file: fig2_developers.png in Desktop/evaluating-the-evaluators-figures ]</w:t>
      </w:r>
    </w:p>
    <w:p>
      <w:pPr>
        <w:spacing w:after="280"/>
        <w:jc w:val="left"/>
      </w:pPr>
      <w:r>
        <w:rPr>
          <w:b/>
          <w:color w:val="6B6B7B"/>
          <w:sz w:val="17"/>
        </w:rPr>
        <w:t xml:space="preserve">Figure 2.  </w:t>
      </w:r>
      <w:r>
        <w:rPr>
          <w:i/>
          <w:color w:val="6B6B7B"/>
          <w:sz w:val="17"/>
        </w:rPr>
        <w:t>Findings per model developer. A finding naming models from several developers is counted once per developer, so bars sum to more than 345. The largest single bar is findings about anonymised or unspecified models — anonymisation itself limits accountability, a point Section 3.2 formalises.</w:t>
      </w:r>
    </w:p>
    <w:p>
      <w:pPr>
        <w:jc w:val="center"/>
        <w:shd w:val="clear" w:fill="EAF1F8"/>
      </w:pPr>
      <w:r>
        <w:rPr>
          <w:b/>
          <w:color w:val="1F4E79"/>
          <w:sz w:val="20"/>
        </w:rPr>
        <w:t>[ Figure 3 — file: fig3_access.png in Desktop/evaluating-the-evaluators-figures ]</w:t>
      </w:r>
    </w:p>
    <w:p>
      <w:pPr>
        <w:spacing w:after="280"/>
        <w:jc w:val="left"/>
      </w:pPr>
      <w:r>
        <w:rPr>
          <w:b/>
          <w:color w:val="6B6B7B"/>
          <w:sz w:val="17"/>
        </w:rPr>
        <w:t xml:space="preserve">Figure 3.  </w:t>
      </w:r>
      <w:r>
        <w:rPr>
          <w:i/>
          <w:color w:val="6B6B7B"/>
          <w:sz w:val="17"/>
        </w:rPr>
        <w:t>Findings per access type. Post-deployment evaluation dominates the public record; pre-deployment access — the condition Section 4.3 shows is associated with substantive responses — covers less than a quarter of findings. "N/A" covers governance and methodology findings with no evaluated system.</w:t>
      </w:r>
    </w:p>
    <w:p>
      <w:pPr>
        <w:pStyle w:val="Heading2"/>
      </w:pPr>
      <w:r>
        <w:rPr>
          <w:color w:val="1F4E79"/>
        </w:rPr>
        <w:t>3.2  Outcome-relevance taxonomy</w:t>
      </w:r>
    </w:p>
    <w:p>
      <w:pPr>
        <w:spacing w:after="160"/>
      </w:pPr>
      <w:r>
        <w:rPr>
          <w:b w:val="0"/>
          <w:i w:val="0"/>
          <w:sz w:val="21"/>
        </w:rPr>
        <w:t>Every finding sits in one of three tiers. Tier A names a specific company or model (not an anonymised placeholder), describes a result an ordinary reader would recognise as concerning, and is the kind of thing a response would reasonably be expected for. It is the only tier we compute a proportionality judgment for (Section 4), because it is the only tier with a specific, identifiable party whose silence actually means something. Tier B is genuinely concerning but has no specific accountable party — anonymised-model results, methodology findings such as sandbagging-detection research, and "reassuring" findings where a suspected risk did not materialise. Tier C is not concerning at all. Tier B and C findings stay in the corpus, just outside the proportionality computation.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4E79"/>
          </w:tcPr>
          <w:p>
            <w:r/>
            <w:r>
              <w:rPr>
                <w:b/>
                <w:i w:val="0"/>
                <w:color w:val="FFFFFF"/>
                <w:sz w:val="19"/>
              </w:rPr>
              <w:t>Tier</w:t>
            </w:r>
          </w:p>
        </w:tc>
        <w:tc>
          <w:tcPr>
            <w:tcW w:type="dxa" w:w="864"/>
            <w:shd w:val="clear" w:fill="1F4E79"/>
          </w:tcPr>
          <w:p>
            <w:r/>
            <w:r>
              <w:rPr>
                <w:b/>
                <w:i w:val="0"/>
                <w:color w:val="FFFFFF"/>
                <w:sz w:val="19"/>
              </w:rPr>
              <w:t>n</w:t>
            </w:r>
          </w:p>
        </w:tc>
        <w:tc>
          <w:tcPr>
            <w:tcW w:type="dxa" w:w="1440"/>
            <w:shd w:val="clear" w:fill="1F4E79"/>
          </w:tcPr>
          <w:p>
            <w:r/>
            <w:r>
              <w:rPr>
                <w:b/>
                <w:i w:val="0"/>
                <w:color w:val="FFFFFF"/>
                <w:sz w:val="19"/>
              </w:rPr>
              <w:t>% of corpus</w:t>
            </w:r>
          </w:p>
        </w:tc>
        <w:tc>
          <w:tcPr>
            <w:tcW w:type="dxa" w:w="4320"/>
            <w:shd w:val="clear" w:fill="1F4E79"/>
          </w:tcPr>
          <w:p>
            <w:r/>
            <w:r>
              <w:rPr>
                <w:b/>
                <w:i w:val="0"/>
                <w:color w:val="FFFFFF"/>
                <w:sz w:val="19"/>
              </w:rPr>
              <w:t>What it is</w:t>
            </w:r>
          </w:p>
        </w:tc>
      </w:tr>
      <w:tr>
        <w:tc>
          <w:tcPr>
            <w:tcW w:type="dxa" w:w="3168"/>
          </w:tcPr>
          <w:p>
            <w:r/>
            <w:r>
              <w:rPr>
                <w:b w:val="0"/>
                <w:i w:val="0"/>
                <w:sz w:val="19"/>
              </w:rPr>
              <w:t>Tier A — accountability-relevant</w:t>
            </w:r>
          </w:p>
        </w:tc>
        <w:tc>
          <w:tcPr>
            <w:tcW w:type="dxa" w:w="864"/>
          </w:tcPr>
          <w:p>
            <w:r/>
            <w:r>
              <w:rPr>
                <w:b w:val="0"/>
                <w:i w:val="0"/>
                <w:sz w:val="19"/>
              </w:rPr>
              <w:t>55</w:t>
            </w:r>
          </w:p>
        </w:tc>
        <w:tc>
          <w:tcPr>
            <w:tcW w:type="dxa" w:w="1440"/>
          </w:tcPr>
          <w:p>
            <w:r/>
            <w:r>
              <w:rPr>
                <w:b w:val="0"/>
                <w:i w:val="0"/>
                <w:sz w:val="19"/>
              </w:rPr>
              <w:t>16%</w:t>
            </w:r>
          </w:p>
        </w:tc>
        <w:tc>
          <w:tcPr>
            <w:tcW w:type="dxa" w:w="4320"/>
          </w:tcPr>
          <w:p>
            <w:r/>
            <w:r>
              <w:rPr>
                <w:b w:val="0"/>
                <w:i w:val="0"/>
                <w:sz w:val="19"/>
              </w:rPr>
              <w:t>Named company/model + concerning + response expected. Only tier scored for proportionality.</w:t>
            </w:r>
          </w:p>
        </w:tc>
      </w:tr>
      <w:tr>
        <w:tc>
          <w:tcPr>
            <w:tcW w:type="dxa" w:w="3168"/>
            <w:shd w:val="clear" w:fill="F2F6FB"/>
          </w:tcPr>
          <w:p>
            <w:r/>
            <w:r>
              <w:rPr>
                <w:b w:val="0"/>
                <w:i w:val="0"/>
                <w:sz w:val="19"/>
              </w:rPr>
              <w:t>Tier B — concerning, no accountable party</w:t>
            </w:r>
          </w:p>
        </w:tc>
        <w:tc>
          <w:tcPr>
            <w:tcW w:type="dxa" w:w="864"/>
            <w:shd w:val="clear" w:fill="F2F6FB"/>
          </w:tcPr>
          <w:p>
            <w:r/>
            <w:r>
              <w:rPr>
                <w:b w:val="0"/>
                <w:i w:val="0"/>
                <w:sz w:val="19"/>
              </w:rPr>
              <w:t>185</w:t>
            </w:r>
          </w:p>
        </w:tc>
        <w:tc>
          <w:tcPr>
            <w:tcW w:type="dxa" w:w="1440"/>
            <w:shd w:val="clear" w:fill="F2F6FB"/>
          </w:tcPr>
          <w:p>
            <w:r/>
            <w:r>
              <w:rPr>
                <w:b w:val="0"/>
                <w:i w:val="0"/>
                <w:sz w:val="19"/>
              </w:rPr>
              <w:t>54%</w:t>
            </w:r>
          </w:p>
        </w:tc>
        <w:tc>
          <w:tcPr>
            <w:tcW w:type="dxa" w:w="4320"/>
            <w:shd w:val="clear" w:fill="F2F6FB"/>
          </w:tcPr>
          <w:p>
            <w:r/>
            <w:r>
              <w:rPr>
                <w:b w:val="0"/>
                <w:i w:val="0"/>
                <w:sz w:val="19"/>
              </w:rPr>
              <w:t>Anonymised models, methodology findings, reassuring nulls.</w:t>
            </w:r>
          </w:p>
        </w:tc>
      </w:tr>
      <w:tr>
        <w:tc>
          <w:tcPr>
            <w:tcW w:type="dxa" w:w="3168"/>
          </w:tcPr>
          <w:p>
            <w:r/>
            <w:r>
              <w:rPr>
                <w:b w:val="0"/>
                <w:i w:val="0"/>
                <w:sz w:val="19"/>
              </w:rPr>
              <w:t>Tier C — not concerning</w:t>
            </w:r>
          </w:p>
        </w:tc>
        <w:tc>
          <w:tcPr>
            <w:tcW w:type="dxa" w:w="864"/>
          </w:tcPr>
          <w:p>
            <w:r/>
            <w:r>
              <w:rPr>
                <w:b w:val="0"/>
                <w:i w:val="0"/>
                <w:sz w:val="19"/>
              </w:rPr>
              <w:t>105</w:t>
            </w:r>
          </w:p>
        </w:tc>
        <w:tc>
          <w:tcPr>
            <w:tcW w:type="dxa" w:w="1440"/>
          </w:tcPr>
          <w:p>
            <w:r/>
            <w:r>
              <w:rPr>
                <w:b w:val="0"/>
                <w:i w:val="0"/>
                <w:sz w:val="19"/>
              </w:rPr>
              <w:t>30%</w:t>
            </w:r>
          </w:p>
        </w:tc>
        <w:tc>
          <w:tcPr>
            <w:tcW w:type="dxa" w:w="4320"/>
          </w:tcPr>
          <w:p>
            <w:r/>
            <w:r>
              <w:rPr>
                <w:b w:val="0"/>
                <w:i w:val="0"/>
                <w:sz w:val="19"/>
              </w:rPr>
              <w:t>Excluded from the accountability analysis entirely.</w:t>
            </w:r>
          </w:p>
        </w:tc>
      </w:tr>
    </w:tbl>
    <w:p>
      <w:pPr>
        <w:spacing w:after="280"/>
        <w:jc w:val="left"/>
      </w:pPr>
      <w:r>
        <w:rPr>
          <w:b/>
          <w:color w:val="6B6B7B"/>
          <w:sz w:val="17"/>
        </w:rPr>
        <w:t xml:space="preserve">Table 2.  </w:t>
      </w:r>
      <w:r>
        <w:rPr>
          <w:i/>
          <w:color w:val="6B6B7B"/>
          <w:sz w:val="17"/>
        </w:rPr>
        <w:t>The three-tier taxonomy. Anonymised findings are structurally unaccountable: nobody can be silent about a finding that names nobody.</w:t>
      </w:r>
    </w:p>
    <w:p>
      <w:pPr>
        <w:pStyle w:val="Heading2"/>
      </w:pPr>
      <w:r>
        <w:rPr>
          <w:color w:val="1F4E79"/>
        </w:rPr>
        <w:t>3.3  Severity of risk: a three-model ensemble</w:t>
      </w:r>
    </w:p>
    <w:p>
      <w:pPr>
        <w:spacing w:after="160"/>
      </w:pPr>
      <w:r>
        <w:rPr>
          <w:b w:val="0"/>
          <w:i w:val="0"/>
          <w:sz w:val="21"/>
        </w:rPr>
        <w:t>One person applying a High/Medium/Low rubric puts a lot of weight on one coder's judgment, however careful. Instead, every finding's severity comes from three independently queried frontier models — Claude Sonnet 5, GPT-5.5, and Gemini 3.1 — each applying the same binary rubric: C1 ("alarming": a critical capability or safeguard failure demonstrated, mirroring the dangerous-capability domains in published frontier safety frameworks) or C2 ("not alarming"). Disagreement is resolved by majority vote, with the disagreement itself kept on the record rather than smoothed over. The full annotation prompt, including the seven capability domains (D1–D7) and their fixed decision boundaries, is reproduced in Appendix B.</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fill="1F4E79"/>
          </w:tcPr>
          <w:p>
            <w:r/>
            <w:r>
              <w:rPr>
                <w:b/>
                <w:i w:val="0"/>
                <w:color w:val="FFFFFF"/>
                <w:sz w:val="19"/>
              </w:rPr>
              <w:t>Subset</w:t>
            </w:r>
          </w:p>
        </w:tc>
        <w:tc>
          <w:tcPr>
            <w:tcW w:type="dxa" w:w="1152"/>
            <w:shd w:val="clear" w:fill="1F4E79"/>
          </w:tcPr>
          <w:p>
            <w:r/>
            <w:r>
              <w:rPr>
                <w:b/>
                <w:i w:val="0"/>
                <w:color w:val="FFFFFF"/>
                <w:sz w:val="19"/>
              </w:rPr>
              <w:t>n</w:t>
            </w:r>
          </w:p>
        </w:tc>
        <w:tc>
          <w:tcPr>
            <w:tcW w:type="dxa" w:w="1728"/>
            <w:shd w:val="clear" w:fill="1F4E79"/>
          </w:tcPr>
          <w:p>
            <w:r/>
            <w:r>
              <w:rPr>
                <w:b/>
                <w:i w:val="0"/>
                <w:color w:val="FFFFFF"/>
                <w:sz w:val="19"/>
              </w:rPr>
              <w:t>Unanimous</w:t>
            </w:r>
          </w:p>
        </w:tc>
        <w:tc>
          <w:tcPr>
            <w:tcW w:type="dxa" w:w="1152"/>
            <w:shd w:val="clear" w:fill="1F4E79"/>
          </w:tcPr>
          <w:p>
            <w:r/>
            <w:r>
              <w:rPr>
                <w:b/>
                <w:i w:val="0"/>
                <w:color w:val="FFFFFF"/>
                <w:sz w:val="19"/>
              </w:rPr>
              <w:t>Split</w:t>
            </w:r>
          </w:p>
        </w:tc>
        <w:tc>
          <w:tcPr>
            <w:tcW w:type="dxa" w:w="2304"/>
            <w:shd w:val="clear" w:fill="1F4E79"/>
          </w:tcPr>
          <w:p>
            <w:r/>
            <w:r>
              <w:rPr>
                <w:b/>
                <w:i w:val="0"/>
                <w:color w:val="FFFFFF"/>
                <w:sz w:val="19"/>
              </w:rPr>
              <w:t>Agreement rate</w:t>
            </w:r>
          </w:p>
        </w:tc>
      </w:tr>
      <w:tr>
        <w:tc>
          <w:tcPr>
            <w:tcW w:type="dxa" w:w="2304"/>
          </w:tcPr>
          <w:p>
            <w:r/>
            <w:r>
              <w:rPr>
                <w:b w:val="0"/>
                <w:i w:val="0"/>
                <w:sz w:val="19"/>
              </w:rPr>
              <w:t>All findings</w:t>
            </w:r>
          </w:p>
        </w:tc>
        <w:tc>
          <w:tcPr>
            <w:tcW w:type="dxa" w:w="1152"/>
          </w:tcPr>
          <w:p>
            <w:r/>
            <w:r>
              <w:rPr>
                <w:b w:val="0"/>
                <w:i w:val="0"/>
                <w:sz w:val="19"/>
              </w:rPr>
              <w:t>345</w:t>
            </w:r>
          </w:p>
        </w:tc>
        <w:tc>
          <w:tcPr>
            <w:tcW w:type="dxa" w:w="1728"/>
          </w:tcPr>
          <w:p>
            <w:r/>
            <w:r>
              <w:rPr>
                <w:b w:val="0"/>
                <w:i w:val="0"/>
                <w:sz w:val="19"/>
              </w:rPr>
              <w:t>311</w:t>
            </w:r>
          </w:p>
        </w:tc>
        <w:tc>
          <w:tcPr>
            <w:tcW w:type="dxa" w:w="1152"/>
          </w:tcPr>
          <w:p>
            <w:r/>
            <w:r>
              <w:rPr>
                <w:b w:val="0"/>
                <w:i w:val="0"/>
                <w:sz w:val="19"/>
              </w:rPr>
              <w:t>34</w:t>
            </w:r>
          </w:p>
        </w:tc>
        <w:tc>
          <w:tcPr>
            <w:tcW w:type="dxa" w:w="2304"/>
          </w:tcPr>
          <w:p>
            <w:r/>
            <w:r>
              <w:rPr>
                <w:b w:val="0"/>
                <w:i w:val="0"/>
                <w:sz w:val="19"/>
              </w:rPr>
              <w:t>90%</w:t>
            </w:r>
          </w:p>
        </w:tc>
      </w:tr>
      <w:tr>
        <w:tc>
          <w:tcPr>
            <w:tcW w:type="dxa" w:w="2304"/>
            <w:shd w:val="clear" w:fill="F2F6FB"/>
          </w:tcPr>
          <w:p>
            <w:r/>
            <w:r>
              <w:rPr>
                <w:b w:val="0"/>
                <w:i w:val="0"/>
                <w:sz w:val="19"/>
              </w:rPr>
              <w:t>Tier A only</w:t>
            </w:r>
          </w:p>
        </w:tc>
        <w:tc>
          <w:tcPr>
            <w:tcW w:type="dxa" w:w="1152"/>
            <w:shd w:val="clear" w:fill="F2F6FB"/>
          </w:tcPr>
          <w:p>
            <w:r/>
            <w:r>
              <w:rPr>
                <w:b w:val="0"/>
                <w:i w:val="0"/>
                <w:sz w:val="19"/>
              </w:rPr>
              <w:t>55</w:t>
            </w:r>
          </w:p>
        </w:tc>
        <w:tc>
          <w:tcPr>
            <w:tcW w:type="dxa" w:w="1728"/>
            <w:shd w:val="clear" w:fill="F2F6FB"/>
          </w:tcPr>
          <w:p>
            <w:r/>
            <w:r>
              <w:rPr>
                <w:b w:val="0"/>
                <w:i w:val="0"/>
                <w:sz w:val="19"/>
              </w:rPr>
              <w:t>49</w:t>
            </w:r>
          </w:p>
        </w:tc>
        <w:tc>
          <w:tcPr>
            <w:tcW w:type="dxa" w:w="1152"/>
            <w:shd w:val="clear" w:fill="F2F6FB"/>
          </w:tcPr>
          <w:p>
            <w:r/>
            <w:r>
              <w:rPr>
                <w:b w:val="0"/>
                <w:i w:val="0"/>
                <w:sz w:val="19"/>
              </w:rPr>
              <w:t>6</w:t>
            </w:r>
          </w:p>
        </w:tc>
        <w:tc>
          <w:tcPr>
            <w:tcW w:type="dxa" w:w="2304"/>
            <w:shd w:val="clear" w:fill="F2F6FB"/>
          </w:tcPr>
          <w:p>
            <w:r/>
            <w:r>
              <w:rPr>
                <w:b w:val="0"/>
                <w:i w:val="0"/>
                <w:sz w:val="19"/>
              </w:rPr>
              <w:t>89%</w:t>
            </w:r>
          </w:p>
        </w:tc>
      </w:tr>
    </w:tbl>
    <w:p>
      <w:pPr>
        <w:spacing w:after="280"/>
        <w:jc w:val="left"/>
      </w:pPr>
      <w:r>
        <w:rPr>
          <w:b/>
          <w:color w:val="6B6B7B"/>
          <w:sz w:val="17"/>
        </w:rPr>
        <w:t xml:space="preserve">Table 3.  </w:t>
      </w:r>
      <w:r>
        <w:rPr>
          <w:i/>
          <w:color w:val="6B6B7B"/>
          <w:sz w:val="17"/>
        </w:rPr>
        <w:t>Ensemble agreement. 311 of 345 findings received a unanimous 3–0 vote; the remaining 34 were decided 2–1 and are flagged as split in the dataset. Corpus-wide, the ensemble classified 112 findings C1 and 233 C2.</w:t>
      </w:r>
    </w:p>
    <w:p>
      <w:pPr>
        <w:pStyle w:val="Heading2"/>
      </w:pPr>
      <w:r>
        <w:rPr>
          <w:color w:val="1F4E79"/>
        </w:rPr>
        <w:t>3.4  Response coding</w:t>
      </w:r>
    </w:p>
    <w:p>
      <w:pPr>
        <w:spacing w:after="160"/>
      </w:pPr>
      <w:r>
        <w:rPr>
          <w:b w:val="0"/>
          <w:i w:val="0"/>
          <w:sz w:val="21"/>
        </w:rPr>
        <w:t>For each Tier A finding, we searched the public record across two response channels, plus a third channel used as a robustness check:</w:t>
      </w:r>
    </w:p>
    <w:p>
      <w:pPr>
        <w:pStyle w:val="ListBullet"/>
      </w:pPr>
      <w:r>
        <w:rPr>
          <w:b/>
          <w:sz w:val="21"/>
        </w:rPr>
        <w:t>Company (Channel A).</w:t>
      </w:r>
      <w:r>
        <w:rPr>
          <w:sz w:val="21"/>
        </w:rPr>
        <w:t xml:space="preserve"> Did the company publish a specific, attributable mitigation, model change, or deployment restriction? Coded Substantive (specific, documented, attributed change), Partial (claimed but not independently verifiable, or documented but incomplete), Acknowledged (referenced with no specific action), or None (no company statement located anywhere). "The next model card" means any subsequent model card or release note published after the finding.</w:t>
      </w:r>
    </w:p>
    <w:p>
      <w:pPr>
        <w:pStyle w:val="ListBullet"/>
      </w:pPr>
      <w:r>
        <w:rPr>
          <w:b/>
          <w:sz w:val="21"/>
        </w:rPr>
        <w:t>Policy (Channel B).</w:t>
      </w:r>
      <w:r>
        <w:rPr>
          <w:sz w:val="21"/>
        </w:rPr>
        <w:t xml:space="preserve"> Did the finding appear in legislation, a binding regulatory order, an official government statement, formal guidance, or a parliamentary/congressional record? Coded Binding requirement, National/ministerial statement, In guidance, Cited, or None — where a government statement maps to Cited, legislation or a regulatory order to Binding, and advisory guidance to In guidance.</w:t>
      </w:r>
    </w:p>
    <w:p>
      <w:pPr>
        <w:pStyle w:val="ListBullet"/>
      </w:pPr>
      <w:r>
        <w:rPr>
          <w:b/>
          <w:sz w:val="21"/>
        </w:rPr>
        <w:t>Public traction (Channel C).</w:t>
      </w:r>
      <w:r>
        <w:rPr>
          <w:sz w:val="21"/>
        </w:rPr>
        <w:t xml:space="preserve"> Independent of whether the company or a policymaker responded, did the finding reach anyone outside the institute that published it? Coded as a Traction Score (Low / Medium / High) from three logged source types — media coverage, academic citations, and notable social/community discussion — with the supporting outlet, citation, or thread recorded for every row. High requires mainstream-press coverage or substantial confirmed academic citation; Medium, trade-press or limited academic pickup; Low, nothing located beyond the publishing institute. This channel does not measure response; it measures whether "nobody responded" could be explained away as "nobody heard about it" (Section 4.5).</w:t>
      </w:r>
    </w:p>
    <w:p>
      <w:pPr>
        <w:spacing w:after="160"/>
      </w:pPr>
      <w:r>
        <w:rPr>
          <w:b w:val="0"/>
          <w:i w:val="0"/>
          <w:sz w:val="21"/>
        </w:rPr>
        <w:t>We separately record Attribution — did the company explicitly credit the finding, or did the action merely coincide in time and topic with no stated causal link? "The company did something around the same time" and "the company did this because of the finding" are different claims, and Section 4's tables do not blur them. Response lag in days is recorded where a response exists; a lag of 0 denotes a pre-coordinated disclosure, where finding and response were published together.</w:t>
      </w:r>
    </w:p>
    <w:p>
      <w:pPr>
        <w:pStyle w:val="Heading2"/>
      </w:pPr>
      <w:r>
        <w:rPr>
          <w:color w:val="1F4E79"/>
        </w:rPr>
        <w:t>3.5  Proportionality coding</w:t>
      </w:r>
    </w:p>
    <w:p>
      <w:pPr>
        <w:spacing w:after="160"/>
      </w:pPr>
      <w:r>
        <w:rPr>
          <w:b w:val="0"/>
          <w:i w:val="0"/>
          <w:sz w:val="21"/>
        </w:rPr>
        <w:t>Each Tier A finding receives one of four proportionality outcomes, assigned mechanically from the severity and Channel A codes rather than case-by-case judgment: Accountability gap (an alarming C1 finding with no located company response); Under-response (a C1 finding drawing only a Partial or Acknowledged company response); Proportionate (a C1 finding drawing a Substantive response — or a C2 finding drawing no response, since none was owed); and Too recent to judge (published close enough to the July 2026 corpus cutoff that a response may not yet be visible). Proportionality is deliberately computed on the company channel alone: a policy-record appearance (Channel B) is reported separately in Section 5.3 and does not substitute for a company response — three of the 23 gap rows drew ministerial or regulatory attention while the company itself stayed silent, which sharpens rather than softens the gap. This mechanical construction means the headline numbers in Section 4 cannot be quietly shaped by coder discretion at the proportionality stage; discretion enters only at severity (handled by the ensemble) and at channel coding.</w:t>
      </w:r>
    </w:p>
    <w:p>
      <w:pPr>
        <w:pStyle w:val="Heading1"/>
      </w:pPr>
      <w:r>
        <w:rPr>
          <w:color w:val="1F4E79"/>
        </w:rPr>
        <w:t>4  What the Record Shows</w:t>
      </w:r>
    </w:p>
    <w:p>
      <w:pPr>
        <w:pStyle w:val="Heading2"/>
      </w:pPr>
      <w:r>
        <w:rPr>
          <w:color w:val="1F4E79"/>
        </w:rPr>
        <w:t>4.1  The headline gap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1F4E79"/>
          </w:tcPr>
          <w:p>
            <w:r/>
            <w:r>
              <w:rPr>
                <w:b/>
                <w:i w:val="0"/>
                <w:color w:val="FFFFFF"/>
                <w:sz w:val="19"/>
              </w:rPr>
              <w:t>Outcome</w:t>
            </w:r>
          </w:p>
        </w:tc>
        <w:tc>
          <w:tcPr>
            <w:tcW w:type="dxa" w:w="1296"/>
            <w:shd w:val="clear" w:fill="1F4E79"/>
          </w:tcPr>
          <w:p>
            <w:r/>
            <w:r>
              <w:rPr>
                <w:b/>
                <w:i w:val="0"/>
                <w:color w:val="FFFFFF"/>
                <w:sz w:val="19"/>
              </w:rPr>
              <w:t>n / 44 C1</w:t>
            </w:r>
          </w:p>
        </w:tc>
        <w:tc>
          <w:tcPr>
            <w:tcW w:type="dxa" w:w="1296"/>
            <w:shd w:val="clear" w:fill="1F4E79"/>
          </w:tcPr>
          <w:p>
            <w:r/>
            <w:r>
              <w:rPr>
                <w:b/>
                <w:i w:val="0"/>
                <w:color w:val="FFFFFF"/>
                <w:sz w:val="19"/>
              </w:rPr>
              <w:t>% of C1</w:t>
            </w:r>
          </w:p>
        </w:tc>
        <w:tc>
          <w:tcPr>
            <w:tcW w:type="dxa" w:w="4320"/>
            <w:shd w:val="clear" w:fill="1F4E79"/>
          </w:tcPr>
          <w:p>
            <w:r/>
            <w:r>
              <w:rPr>
                <w:b/>
                <w:i w:val="0"/>
                <w:color w:val="FFFFFF"/>
                <w:sz w:val="19"/>
              </w:rPr>
              <w:t>What it means</w:t>
            </w:r>
          </w:p>
        </w:tc>
      </w:tr>
      <w:tr>
        <w:tc>
          <w:tcPr>
            <w:tcW w:type="dxa" w:w="2880"/>
            <w:shd w:val="clear" w:fill="F5DBD5"/>
          </w:tcPr>
          <w:p>
            <w:r/>
            <w:r>
              <w:rPr>
                <w:b w:val="0"/>
                <w:i w:val="0"/>
                <w:sz w:val="19"/>
              </w:rPr>
              <w:t>Accountability gap (no action)</w:t>
            </w:r>
          </w:p>
        </w:tc>
        <w:tc>
          <w:tcPr>
            <w:tcW w:type="dxa" w:w="1296"/>
            <w:shd w:val="clear" w:fill="F5DBD5"/>
          </w:tcPr>
          <w:p>
            <w:r/>
            <w:r>
              <w:rPr>
                <w:b w:val="0"/>
                <w:i w:val="0"/>
                <w:sz w:val="19"/>
              </w:rPr>
              <w:t>23</w:t>
            </w:r>
          </w:p>
        </w:tc>
        <w:tc>
          <w:tcPr>
            <w:tcW w:type="dxa" w:w="1296"/>
            <w:shd w:val="clear" w:fill="F5DBD5"/>
          </w:tcPr>
          <w:p>
            <w:r/>
            <w:r>
              <w:rPr>
                <w:b w:val="0"/>
                <w:i w:val="0"/>
                <w:sz w:val="19"/>
              </w:rPr>
              <w:t>52%</w:t>
            </w:r>
          </w:p>
        </w:tc>
        <w:tc>
          <w:tcPr>
            <w:tcW w:type="dxa" w:w="4320"/>
            <w:shd w:val="clear" w:fill="F5DBD5"/>
          </w:tcPr>
          <w:p>
            <w:r/>
            <w:r>
              <w:rPr>
                <w:b w:val="0"/>
                <w:i w:val="0"/>
                <w:sz w:val="19"/>
              </w:rPr>
              <w:t>Alarming finding, named company, total silence from the company — the purest form of the gap.</w:t>
            </w:r>
          </w:p>
        </w:tc>
      </w:tr>
      <w:tr>
        <w:tc>
          <w:tcPr>
            <w:tcW w:type="dxa" w:w="2880"/>
            <w:shd w:val="clear" w:fill="FBEAD1"/>
          </w:tcPr>
          <w:p>
            <w:r/>
            <w:r>
              <w:rPr>
                <w:b w:val="0"/>
                <w:i w:val="0"/>
                <w:sz w:val="19"/>
              </w:rPr>
              <w:t>Under-response (partial / acknowledged)</w:t>
            </w:r>
          </w:p>
        </w:tc>
        <w:tc>
          <w:tcPr>
            <w:tcW w:type="dxa" w:w="1296"/>
            <w:shd w:val="clear" w:fill="FBEAD1"/>
          </w:tcPr>
          <w:p>
            <w:r/>
            <w:r>
              <w:rPr>
                <w:b w:val="0"/>
                <w:i w:val="0"/>
                <w:sz w:val="19"/>
              </w:rPr>
              <w:t>9</w:t>
            </w:r>
          </w:p>
        </w:tc>
        <w:tc>
          <w:tcPr>
            <w:tcW w:type="dxa" w:w="1296"/>
            <w:shd w:val="clear" w:fill="FBEAD1"/>
          </w:tcPr>
          <w:p>
            <w:r/>
            <w:r>
              <w:rPr>
                <w:b w:val="0"/>
                <w:i w:val="0"/>
                <w:sz w:val="19"/>
              </w:rPr>
              <w:t>20%</w:t>
            </w:r>
          </w:p>
        </w:tc>
        <w:tc>
          <w:tcPr>
            <w:tcW w:type="dxa" w:w="4320"/>
            <w:shd w:val="clear" w:fill="FBEAD1"/>
          </w:tcPr>
          <w:p>
            <w:r/>
            <w:r>
              <w:rPr>
                <w:b w:val="0"/>
                <w:i w:val="0"/>
                <w:sz w:val="19"/>
              </w:rPr>
              <w:t>The company said something; nothing verifiable or complete.</w:t>
            </w:r>
          </w:p>
        </w:tc>
      </w:tr>
      <w:tr>
        <w:tc>
          <w:tcPr>
            <w:tcW w:type="dxa" w:w="2880"/>
            <w:shd w:val="clear" w:fill="DCEFE7"/>
          </w:tcPr>
          <w:p>
            <w:r/>
            <w:r>
              <w:rPr>
                <w:b w:val="0"/>
                <w:i w:val="0"/>
                <w:sz w:val="19"/>
              </w:rPr>
              <w:t>Proportionate</w:t>
            </w:r>
          </w:p>
        </w:tc>
        <w:tc>
          <w:tcPr>
            <w:tcW w:type="dxa" w:w="1296"/>
            <w:shd w:val="clear" w:fill="DCEFE7"/>
          </w:tcPr>
          <w:p>
            <w:r/>
            <w:r>
              <w:rPr>
                <w:b w:val="0"/>
                <w:i w:val="0"/>
                <w:sz w:val="19"/>
              </w:rPr>
              <w:t>11</w:t>
            </w:r>
          </w:p>
        </w:tc>
        <w:tc>
          <w:tcPr>
            <w:tcW w:type="dxa" w:w="1296"/>
            <w:shd w:val="clear" w:fill="DCEFE7"/>
          </w:tcPr>
          <w:p>
            <w:r/>
            <w:r>
              <w:rPr>
                <w:b w:val="0"/>
                <w:i w:val="0"/>
                <w:sz w:val="19"/>
              </w:rPr>
              <w:t>25%</w:t>
            </w:r>
          </w:p>
        </w:tc>
        <w:tc>
          <w:tcPr>
            <w:tcW w:type="dxa" w:w="4320"/>
            <w:shd w:val="clear" w:fill="DCEFE7"/>
          </w:tcPr>
          <w:p>
            <w:r/>
            <w:r>
              <w:rPr>
                <w:b w:val="0"/>
                <w:i w:val="0"/>
                <w:sz w:val="19"/>
              </w:rPr>
              <w:t>A specific, documented, attributed fix.</w:t>
            </w:r>
          </w:p>
        </w:tc>
      </w:tr>
      <w:tr>
        <w:tc>
          <w:tcPr>
            <w:tcW w:type="dxa" w:w="2880"/>
            <w:shd w:val="clear" w:fill="EDEDF1"/>
          </w:tcPr>
          <w:p>
            <w:r/>
            <w:r>
              <w:rPr>
                <w:b w:val="0"/>
                <w:i w:val="0"/>
                <w:sz w:val="19"/>
              </w:rPr>
              <w:t>Too recent (unobservable)</w:t>
            </w:r>
          </w:p>
        </w:tc>
        <w:tc>
          <w:tcPr>
            <w:tcW w:type="dxa" w:w="1296"/>
            <w:shd w:val="clear" w:fill="EDEDF1"/>
          </w:tcPr>
          <w:p>
            <w:r/>
            <w:r>
              <w:rPr>
                <w:b w:val="0"/>
                <w:i w:val="0"/>
                <w:sz w:val="19"/>
              </w:rPr>
              <w:t>1</w:t>
            </w:r>
          </w:p>
        </w:tc>
        <w:tc>
          <w:tcPr>
            <w:tcW w:type="dxa" w:w="1296"/>
            <w:shd w:val="clear" w:fill="EDEDF1"/>
          </w:tcPr>
          <w:p>
            <w:r/>
            <w:r>
              <w:rPr>
                <w:b w:val="0"/>
                <w:i w:val="0"/>
                <w:sz w:val="19"/>
              </w:rPr>
              <w:t>2%</w:t>
            </w:r>
          </w:p>
        </w:tc>
        <w:tc>
          <w:tcPr>
            <w:tcW w:type="dxa" w:w="4320"/>
            <w:shd w:val="clear" w:fill="EDEDF1"/>
          </w:tcPr>
          <w:p>
            <w:r/>
            <w:r>
              <w:rPr>
                <w:b w:val="0"/>
                <w:i w:val="0"/>
                <w:sz w:val="19"/>
              </w:rPr>
              <w:t>Published close enough to July 2026 that a response may not exist in the record yet.</w:t>
            </w:r>
          </w:p>
        </w:tc>
      </w:tr>
      <w:tr>
        <w:tc>
          <w:tcPr>
            <w:tcW w:type="dxa" w:w="2880"/>
            <w:shd w:val="clear" w:fill="F5DBD5"/>
          </w:tcPr>
          <w:p>
            <w:r/>
            <w:r>
              <w:rPr>
                <w:b/>
                <w:i w:val="0"/>
                <w:color w:val="B03525"/>
                <w:sz w:val="19"/>
              </w:rPr>
              <w:t>Gap total (rows 1 + 2)</w:t>
            </w:r>
          </w:p>
        </w:tc>
        <w:tc>
          <w:tcPr>
            <w:tcW w:type="dxa" w:w="1296"/>
            <w:shd w:val="clear" w:fill="F5DBD5"/>
          </w:tcPr>
          <w:p>
            <w:r/>
            <w:r>
              <w:rPr>
                <w:b/>
                <w:i w:val="0"/>
                <w:color w:val="B03525"/>
                <w:sz w:val="19"/>
              </w:rPr>
              <w:t>32</w:t>
            </w:r>
          </w:p>
        </w:tc>
        <w:tc>
          <w:tcPr>
            <w:tcW w:type="dxa" w:w="1296"/>
            <w:shd w:val="clear" w:fill="F5DBD5"/>
          </w:tcPr>
          <w:p>
            <w:r/>
            <w:r>
              <w:rPr>
                <w:b/>
                <w:i w:val="0"/>
                <w:color w:val="B03525"/>
                <w:sz w:val="19"/>
              </w:rPr>
              <w:t>73%</w:t>
            </w:r>
          </w:p>
        </w:tc>
        <w:tc>
          <w:tcPr>
            <w:tcW w:type="dxa" w:w="4320"/>
            <w:shd w:val="clear" w:fill="F5DBD5"/>
          </w:tcPr>
          <w:p>
            <w:r/>
            <w:r>
              <w:rPr>
                <w:b/>
                <w:i w:val="0"/>
                <w:color w:val="B03525"/>
                <w:sz w:val="19"/>
              </w:rPr>
              <w:t>The number this paper treats as its central result.</w:t>
            </w:r>
          </w:p>
        </w:tc>
      </w:tr>
    </w:tbl>
    <w:p>
      <w:pPr>
        <w:spacing w:after="280"/>
        <w:jc w:val="left"/>
      </w:pPr>
      <w:r>
        <w:rPr>
          <w:b/>
          <w:color w:val="6B6B7B"/>
          <w:sz w:val="17"/>
        </w:rPr>
        <w:t xml:space="preserve">Table 4.  </w:t>
      </w:r>
      <w:r>
        <w:rPr>
          <w:i/>
          <w:color w:val="6B6B7B"/>
          <w:sz w:val="17"/>
        </w:rPr>
        <w:t>Outcomes of the 44 alarming (C1) Tier A findings. Raw Action Level across all 55 Tier A findings (C1 + C2): None 32, Acknowledged 5, Partial 5, Substantive 13 — reported separately, since a C2 "None" is not a gap. The 11 C2 Tier A findings all drew responses consistent with their severity and are coded Proportionate.</w:t>
      </w:r>
    </w:p>
    <w:p>
      <w:pPr>
        <w:jc w:val="center"/>
        <w:shd w:val="clear" w:fill="EAF1F8"/>
      </w:pPr>
      <w:r>
        <w:rPr>
          <w:b/>
          <w:color w:val="1F4E79"/>
          <w:sz w:val="20"/>
        </w:rPr>
        <w:t>[ Figure 4 — file: fig4_outcomes.png in Desktop/evaluating-the-evaluators-figures ]</w:t>
      </w:r>
    </w:p>
    <w:p>
      <w:pPr>
        <w:spacing w:after="280"/>
        <w:jc w:val="left"/>
      </w:pPr>
      <w:r>
        <w:rPr>
          <w:b/>
          <w:color w:val="6B6B7B"/>
          <w:sz w:val="17"/>
        </w:rPr>
        <w:t xml:space="preserve">Figure 4.  </w:t>
      </w:r>
      <w:r>
        <w:rPr>
          <w:i/>
          <w:color w:val="6B6B7B"/>
          <w:sz w:val="17"/>
        </w:rPr>
        <w:t>The same distribution as Table 4, drawn to scale. Red and orange bars together are the 73% gap.</w:t>
      </w:r>
    </w:p>
    <w:p>
      <w:pPr>
        <w:spacing w:after="160"/>
      </w:pPr>
      <w:r>
        <w:rPr>
          <w:b w:val="0"/>
          <w:i w:val="0"/>
          <w:sz w:val="21"/>
        </w:rPr>
        <w:t>Restricted to alarming findings — the comparison that actually matters — 32 of 44 (73%) got either no response or an inadequate one. That combined figure, not the raw 58% no-response rate across all 55 Tier A findings, is this paper's central result: because it is computed only over findings the ensemble independently classified as alarming, it cannot be inflated or deflated by how many non-alarming findings happen to land in the corpus in a given stretch.</w:t>
      </w:r>
    </w:p>
    <w:p>
      <w:pPr>
        <w:pStyle w:val="Heading2"/>
      </w:pPr>
      <w:r>
        <w:rPr>
          <w:color w:val="1F4E79"/>
        </w:rPr>
        <w:t>4.2  The severity–response gap</w:t>
      </w:r>
    </w:p>
    <w:p>
      <w:pPr>
        <w:spacing w:after="160"/>
      </w:pPr>
      <w:r>
        <w:rPr>
          <w:b w:val="0"/>
          <w:i w:val="0"/>
          <w:sz w:val="21"/>
        </w:rPr>
        <w:t>The five cases below are explicitly illustrative — selected to span the range from total silence to substantive response, not a representative sample. The response column is sourced-only by design: where no reason for silence is stated in any source, none is inferred.</w:t>
      </w:r>
    </w:p>
    <w:tbl>
      <w:tblPr>
        <w:tblStyle w:val="TableGrid"/>
        <w:tblW w:type="auto" w:w="0"/>
        <w:jc w:val="center"/>
        <w:tblLook w:firstColumn="1" w:firstRow="1" w:lastColumn="0" w:lastRow="0" w:noHBand="0" w:noVBand="1" w:val="04A0"/>
      </w:tblPr>
      <w:tblGrid>
        <w:gridCol w:w="3216"/>
        <w:gridCol w:w="3216"/>
        <w:gridCol w:w="3216"/>
      </w:tblGrid>
      <w:tr>
        <w:tc>
          <w:tcPr>
            <w:tcW w:type="dxa" w:w="5184"/>
            <w:shd w:val="clear" w:fill="1F4E79"/>
          </w:tcPr>
          <w:p>
            <w:r/>
            <w:r>
              <w:rPr>
                <w:b/>
                <w:i w:val="0"/>
                <w:color w:val="FFFFFF"/>
                <w:sz w:val="19"/>
              </w:rPr>
              <w:t>Finding</w:t>
            </w:r>
          </w:p>
        </w:tc>
        <w:tc>
          <w:tcPr>
            <w:tcW w:type="dxa" w:w="1008"/>
            <w:shd w:val="clear" w:fill="1F4E79"/>
          </w:tcPr>
          <w:p>
            <w:r/>
            <w:r>
              <w:rPr>
                <w:b/>
                <w:i w:val="0"/>
                <w:color w:val="FFFFFF"/>
                <w:sz w:val="19"/>
              </w:rPr>
              <w:t>Severity</w:t>
            </w:r>
          </w:p>
        </w:tc>
        <w:tc>
          <w:tcPr>
            <w:tcW w:type="dxa" w:w="3600"/>
            <w:shd w:val="clear" w:fill="1F4E79"/>
          </w:tcPr>
          <w:p>
            <w:r/>
            <w:r>
              <w:rPr>
                <w:b/>
                <w:i w:val="0"/>
                <w:color w:val="FFFFFF"/>
                <w:sz w:val="19"/>
              </w:rPr>
              <w:t>Response</w:t>
            </w:r>
          </w:p>
        </w:tc>
      </w:tr>
      <w:tr>
        <w:tc>
          <w:tcPr>
            <w:tcW w:type="dxa" w:w="5184"/>
            <w:shd w:val="clear" w:fill="F5DBD5"/>
          </w:tcPr>
          <w:p>
            <w:r/>
            <w:r>
              <w:rPr>
                <w:b w:val="0"/>
                <w:i w:val="0"/>
                <w:sz w:val="19"/>
              </w:rPr>
              <w:t>AgentHarm found six separate frontier models (GPT-4o, GPT-4o mini, GPT-3.5 Turbo, Claude 3.5 Sonnet, Gemini 1.5 Pro, Mistral Large 2) complying with malicious agentic requests at high rates — three by default (Mistral Large 2 refusing just 1.1%, GPT-3.5 Turbo 0.8%) and three under a simple universal jailbreak template</w:t>
            </w:r>
          </w:p>
        </w:tc>
        <w:tc>
          <w:tcPr>
            <w:tcW w:type="dxa" w:w="1008"/>
            <w:shd w:val="clear" w:fill="F5DBD5"/>
          </w:tcPr>
          <w:p>
            <w:r/>
            <w:r>
              <w:rPr>
                <w:b w:val="0"/>
                <w:i w:val="0"/>
                <w:sz w:val="19"/>
              </w:rPr>
              <w:t>C1</w:t>
            </w:r>
          </w:p>
        </w:tc>
        <w:tc>
          <w:tcPr>
            <w:tcW w:type="dxa" w:w="3600"/>
            <w:shd w:val="clear" w:fill="F5DBD5"/>
          </w:tcPr>
          <w:p>
            <w:r/>
            <w:r>
              <w:rPr>
                <w:b w:val="0"/>
                <w:i w:val="0"/>
                <w:sz w:val="19"/>
              </w:rPr>
              <w:t>None — all six model rows are coded None (four developers: OpenAI, Anthropic, Google, Mistral)</w:t>
            </w:r>
          </w:p>
        </w:tc>
      </w:tr>
      <w:tr>
        <w:tc>
          <w:tcPr>
            <w:tcW w:type="dxa" w:w="5184"/>
            <w:shd w:val="clear" w:fill="F5DBD5"/>
          </w:tcPr>
          <w:p>
            <w:r/>
            <w:r>
              <w:rPr>
                <w:b w:val="0"/>
                <w:i w:val="0"/>
                <w:sz w:val="19"/>
              </w:rPr>
              <w:t>The "STACK" staged-attack research showed multi-component LLM safeguard pipelines can be bypassed even when each individual component looks robust (71% attack success, black-box)</w:t>
            </w:r>
          </w:p>
        </w:tc>
        <w:tc>
          <w:tcPr>
            <w:tcW w:type="dxa" w:w="1008"/>
            <w:shd w:val="clear" w:fill="F5DBD5"/>
          </w:tcPr>
          <w:p>
            <w:r/>
            <w:r>
              <w:rPr>
                <w:b w:val="0"/>
                <w:i w:val="0"/>
                <w:sz w:val="19"/>
              </w:rPr>
              <w:t>C1</w:t>
            </w:r>
          </w:p>
        </w:tc>
        <w:tc>
          <w:tcPr>
            <w:tcW w:type="dxa" w:w="3600"/>
            <w:shd w:val="clear" w:fill="F5DBD5"/>
          </w:tcPr>
          <w:p>
            <w:r/>
            <w:r>
              <w:rPr>
                <w:b w:val="0"/>
                <w:i w:val="0"/>
                <w:sz w:val="19"/>
              </w:rPr>
              <w:t>Aggregate row sits in Tier B; the two named production-pipeline findings it produced (GPT-5, Claude Opus 4) are Tier A and both coded None</w:t>
            </w:r>
          </w:p>
        </w:tc>
      </w:tr>
      <w:tr>
        <w:tc>
          <w:tcPr>
            <w:tcW w:type="dxa" w:w="5184"/>
            <w:shd w:val="clear" w:fill="EDEDF1"/>
          </w:tcPr>
          <w:p>
            <w:r/>
            <w:r>
              <w:rPr>
                <w:b w:val="0"/>
                <w:i w:val="0"/>
                <w:sz w:val="19"/>
              </w:rPr>
              <w:t>Sandbagging-detection research: white-box deception probes worked on Llama-3.1-8B but both white-box and black-box detection methods failed to generalise to larger models and across sandbagging strategies</w:t>
            </w:r>
          </w:p>
        </w:tc>
        <w:tc>
          <w:tcPr>
            <w:tcW w:type="dxa" w:w="1008"/>
            <w:shd w:val="clear" w:fill="EDEDF1"/>
          </w:tcPr>
          <w:p>
            <w:r/>
            <w:r>
              <w:rPr>
                <w:b w:val="0"/>
                <w:i w:val="0"/>
                <w:sz w:val="19"/>
              </w:rPr>
              <w:t>C2 (non-frontier scope)</w:t>
            </w:r>
          </w:p>
        </w:tc>
        <w:tc>
          <w:tcPr>
            <w:tcW w:type="dxa" w:w="3600"/>
            <w:shd w:val="clear" w:fill="EDEDF1"/>
          </w:tcPr>
          <w:p>
            <w:r/>
            <w:r>
              <w:rPr>
                <w:b w:val="0"/>
                <w:i w:val="0"/>
                <w:sz w:val="19"/>
              </w:rPr>
              <w:t>Not in Tier A (no single accountable party)</w:t>
            </w:r>
          </w:p>
        </w:tc>
      </w:tr>
      <w:tr>
        <w:tc>
          <w:tcPr>
            <w:tcW w:type="dxa" w:w="5184"/>
            <w:shd w:val="clear" w:fill="DCEFE7"/>
          </w:tcPr>
          <w:p>
            <w:r/>
            <w:r>
              <w:rPr>
                <w:b w:val="0"/>
                <w:i w:val="0"/>
                <w:sz w:val="19"/>
              </w:rPr>
              <w:t>SecureBio's biosecurity assessment of GPT-5.5 pre-release checkpoints, which scored highest of any model tested on several biosecurity benchmarks</w:t>
            </w:r>
          </w:p>
        </w:tc>
        <w:tc>
          <w:tcPr>
            <w:tcW w:type="dxa" w:w="1008"/>
            <w:shd w:val="clear" w:fill="DCEFE7"/>
          </w:tcPr>
          <w:p>
            <w:r/>
            <w:r>
              <w:rPr>
                <w:b w:val="0"/>
                <w:i w:val="0"/>
                <w:sz w:val="19"/>
              </w:rPr>
              <w:t>C1</w:t>
            </w:r>
          </w:p>
        </w:tc>
        <w:tc>
          <w:tcPr>
            <w:tcW w:type="dxa" w:w="3600"/>
            <w:shd w:val="clear" w:fill="DCEFE7"/>
          </w:tcPr>
          <w:p>
            <w:r/>
            <w:r>
              <w:rPr>
                <w:b w:val="0"/>
                <w:i w:val="0"/>
                <w:sz w:val="19"/>
              </w:rPr>
              <w:t>Substantive — factored directly into OpenAI's "High capability" Preparedness Framework designation and associated deployment safeguards</w:t>
            </w:r>
          </w:p>
        </w:tc>
      </w:tr>
      <w:tr>
        <w:tc>
          <w:tcPr>
            <w:tcW w:type="dxa" w:w="5184"/>
            <w:shd w:val="clear" w:fill="DCEFE7"/>
          </w:tcPr>
          <w:p>
            <w:r/>
            <w:r>
              <w:rPr>
                <w:b w:val="0"/>
                <w:i w:val="0"/>
                <w:sz w:val="19"/>
              </w:rPr>
              <w:t>GPT-5.5 pre-release checkpoints' full battery of SecureBio biosecurity scores (VCT, MBCT, HPCT, WCB) with a 23% refusal rate on screening-evasion prompts</w:t>
            </w:r>
          </w:p>
        </w:tc>
        <w:tc>
          <w:tcPr>
            <w:tcW w:type="dxa" w:w="1008"/>
            <w:shd w:val="clear" w:fill="DCEFE7"/>
          </w:tcPr>
          <w:p>
            <w:r/>
            <w:r>
              <w:rPr>
                <w:b w:val="0"/>
                <w:i w:val="0"/>
                <w:sz w:val="19"/>
              </w:rPr>
              <w:t>C2</w:t>
            </w:r>
          </w:p>
        </w:tc>
        <w:tc>
          <w:tcPr>
            <w:tcW w:type="dxa" w:w="3600"/>
            <w:shd w:val="clear" w:fill="DCEFE7"/>
          </w:tcPr>
          <w:p>
            <w:r/>
            <w:r>
              <w:rPr>
                <w:b w:val="0"/>
                <w:i w:val="0"/>
                <w:sz w:val="19"/>
              </w:rPr>
              <w:t>Substantive — same Preparedness Framework designation</w:t>
            </w:r>
          </w:p>
        </w:tc>
      </w:tr>
    </w:tbl>
    <w:p>
      <w:pPr>
        <w:spacing w:after="280"/>
        <w:jc w:val="left"/>
      </w:pPr>
      <w:r>
        <w:rPr>
          <w:b/>
          <w:color w:val="6B6B7B"/>
          <w:sz w:val="17"/>
        </w:rPr>
        <w:t xml:space="preserve">Table 5.  </w:t>
      </w:r>
      <w:r>
        <w:rPr>
          <w:i/>
          <w:color w:val="6B6B7B"/>
          <w:sz w:val="17"/>
        </w:rPr>
        <w:t>Illustrative severity–response cases spanning the range. Three of five rows carry no stated reason for the response level in any source, and none is inferred here.</w:t>
      </w:r>
    </w:p>
    <w:p>
      <w:pPr>
        <w:pStyle w:val="Heading2"/>
      </w:pPr>
      <w:r>
        <w:rPr>
          <w:color w:val="1F4E79"/>
        </w:rPr>
        <w:t>4.3  Access type: the single most policy-relevant split</w:t>
      </w:r>
    </w:p>
    <w:p>
      <w:pPr>
        <w:jc w:val="center"/>
        <w:shd w:val="clear" w:fill="EAF1F8"/>
      </w:pPr>
      <w:r>
        <w:rPr>
          <w:b/>
          <w:color w:val="1F4E79"/>
          <w:sz w:val="20"/>
        </w:rPr>
        <w:t>[ Figure 5 — file: fig5_prepost.png in Desktop/evaluating-the-evaluators-figures ]</w:t>
      </w:r>
    </w:p>
    <w:p>
      <w:pPr>
        <w:spacing w:after="280"/>
        <w:jc w:val="left"/>
      </w:pPr>
      <w:r>
        <w:rPr>
          <w:b/>
          <w:color w:val="6B6B7B"/>
          <w:sz w:val="17"/>
        </w:rPr>
        <w:t xml:space="preserve">Figure 5.  </w:t>
      </w:r>
      <w:r>
        <w:rPr>
          <w:i/>
          <w:color w:val="6B6B7B"/>
          <w:sz w:val="17"/>
        </w:rPr>
        <w:t>Substantive-response rate by access type among Tier A findings. Pre-deployment: 8/22; post-deployment: 2/27. Mixed (n = 4) and Aggregate (n = 2, not shown) are included for completeness, not as independent evidence.</w:t>
      </w:r>
    </w:p>
    <w:p>
      <w:pPr>
        <w:spacing w:after="160"/>
      </w:pPr>
      <w:r>
        <w:rPr>
          <w:b w:val="0"/>
          <w:i w:val="0"/>
          <w:sz w:val="21"/>
        </w:rPr>
        <w:t>Pre- versus post-deployment (36% vs. 7% Substantive) is the one comparison here with enough n on both sides to lean on. Pre-deployment findings are roughly five times as likely to get a substantive response as post-deployment ones. This is the single most policy-relevant result in the paper: a direct, quantified argument for pre-deployment access, independent of anything about enforcement power. The mechanism is visible in the case detail: pre-deployment findings arrive while the deployment decision is still open, typically under coordinated disclosure (23 of the 27 recorded response lags are 0 days — finding and response published together), so acting on them costs the company a delay rather than a public reversal.</w:t>
      </w:r>
    </w:p>
    <w:p>
      <w:pPr>
        <w:pStyle w:val="Heading2"/>
      </w:pPr>
      <w:r>
        <w:rPr>
          <w:color w:val="1F4E79"/>
        </w:rPr>
        <w:t>4.4  Institution and domain breakdowns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888"/>
            <w:shd w:val="clear" w:fill="1F4E79"/>
          </w:tcPr>
          <w:p>
            <w:r/>
            <w:r>
              <w:rPr>
                <w:b/>
                <w:i w:val="0"/>
                <w:color w:val="FFFFFF"/>
                <w:sz w:val="19"/>
              </w:rPr>
              <w:t>Reporting configuration</w:t>
            </w:r>
          </w:p>
        </w:tc>
        <w:tc>
          <w:tcPr>
            <w:tcW w:type="dxa" w:w="1440"/>
            <w:shd w:val="clear" w:fill="1F4E79"/>
          </w:tcPr>
          <w:p>
            <w:r/>
            <w:r>
              <w:rPr>
                <w:b/>
                <w:i w:val="0"/>
                <w:color w:val="FFFFFF"/>
                <w:sz w:val="19"/>
              </w:rPr>
              <w:t>C1 findings</w:t>
            </w:r>
          </w:p>
        </w:tc>
        <w:tc>
          <w:tcPr>
            <w:tcW w:type="dxa" w:w="2736"/>
            <w:shd w:val="clear" w:fill="1F4E79"/>
          </w:tcPr>
          <w:p>
            <w:r/>
            <w:r>
              <w:rPr>
                <w:b/>
                <w:i w:val="0"/>
                <w:color w:val="FFFFFF"/>
                <w:sz w:val="19"/>
              </w:rPr>
              <w:t>Gap (no/inadequate response)</w:t>
            </w:r>
          </w:p>
        </w:tc>
        <w:tc>
          <w:tcPr>
            <w:tcW w:type="dxa" w:w="1440"/>
            <w:shd w:val="clear" w:fill="1F4E79"/>
          </w:tcPr>
          <w:p>
            <w:r/>
            <w:r>
              <w:rPr>
                <w:b/>
                <w:i w:val="0"/>
                <w:color w:val="FFFFFF"/>
                <w:sz w:val="19"/>
              </w:rPr>
              <w:t>Substantive</w:t>
            </w:r>
          </w:p>
        </w:tc>
      </w:tr>
      <w:tr>
        <w:tc>
          <w:tcPr>
            <w:tcW w:type="dxa" w:w="3888"/>
            <w:shd w:val="clear" w:fill="F5DBD5"/>
          </w:tcPr>
          <w:p>
            <w:r/>
            <w:r>
              <w:rPr>
                <w:b w:val="0"/>
                <w:i w:val="0"/>
                <w:sz w:val="19"/>
              </w:rPr>
              <w:t>UK AISI standalone</w:t>
            </w:r>
          </w:p>
        </w:tc>
        <w:tc>
          <w:tcPr>
            <w:tcW w:type="dxa" w:w="1440"/>
            <w:shd w:val="clear" w:fill="F5DBD5"/>
          </w:tcPr>
          <w:p>
            <w:r/>
            <w:r>
              <w:rPr>
                <w:b w:val="0"/>
                <w:i w:val="0"/>
                <w:sz w:val="19"/>
              </w:rPr>
              <w:t>24</w:t>
            </w:r>
          </w:p>
        </w:tc>
        <w:tc>
          <w:tcPr>
            <w:tcW w:type="dxa" w:w="2736"/>
            <w:shd w:val="clear" w:fill="F5DBD5"/>
          </w:tcPr>
          <w:p>
            <w:r/>
            <w:r>
              <w:rPr>
                <w:b w:val="0"/>
                <w:i w:val="0"/>
                <w:sz w:val="19"/>
              </w:rPr>
              <w:t>21  (88%)</w:t>
            </w:r>
          </w:p>
        </w:tc>
        <w:tc>
          <w:tcPr>
            <w:tcW w:type="dxa" w:w="1440"/>
            <w:shd w:val="clear" w:fill="F5DBD5"/>
          </w:tcPr>
          <w:p>
            <w:r/>
            <w:r>
              <w:rPr>
                <w:b w:val="0"/>
                <w:i w:val="0"/>
                <w:sz w:val="19"/>
              </w:rPr>
              <w:t>2</w:t>
            </w:r>
          </w:p>
        </w:tc>
      </w:tr>
      <w:tr>
        <w:tc>
          <w:tcPr>
            <w:tcW w:type="dxa" w:w="3888"/>
            <w:shd w:val="clear" w:fill="FBEAD1"/>
          </w:tcPr>
          <w:p>
            <w:r/>
            <w:r>
              <w:rPr>
                <w:b w:val="0"/>
                <w:i w:val="0"/>
                <w:sz w:val="19"/>
              </w:rPr>
              <w:t>Joint / collaborative (UK–US, +company, +network)</w:t>
            </w:r>
          </w:p>
        </w:tc>
        <w:tc>
          <w:tcPr>
            <w:tcW w:type="dxa" w:w="1440"/>
            <w:shd w:val="clear" w:fill="FBEAD1"/>
          </w:tcPr>
          <w:p>
            <w:r/>
            <w:r>
              <w:rPr>
                <w:b w:val="0"/>
                <w:i w:val="0"/>
                <w:sz w:val="19"/>
              </w:rPr>
              <w:t>14</w:t>
            </w:r>
          </w:p>
        </w:tc>
        <w:tc>
          <w:tcPr>
            <w:tcW w:type="dxa" w:w="2736"/>
            <w:shd w:val="clear" w:fill="FBEAD1"/>
          </w:tcPr>
          <w:p>
            <w:r/>
            <w:r>
              <w:rPr>
                <w:b w:val="0"/>
                <w:i w:val="0"/>
                <w:sz w:val="19"/>
              </w:rPr>
              <w:t>8  (57%)</w:t>
            </w:r>
          </w:p>
        </w:tc>
        <w:tc>
          <w:tcPr>
            <w:tcW w:type="dxa" w:w="1440"/>
            <w:shd w:val="clear" w:fill="FBEAD1"/>
          </w:tcPr>
          <w:p>
            <w:r/>
            <w:r>
              <w:rPr>
                <w:b w:val="0"/>
                <w:i w:val="0"/>
                <w:sz w:val="19"/>
              </w:rPr>
              <w:t>6</w:t>
            </w:r>
          </w:p>
        </w:tc>
      </w:tr>
      <w:tr>
        <w:tc>
          <w:tcPr>
            <w:tcW w:type="dxa" w:w="3888"/>
          </w:tcPr>
          <w:p>
            <w:r/>
            <w:r>
              <w:rPr>
                <w:b w:val="0"/>
                <w:i w:val="0"/>
                <w:sz w:val="19"/>
              </w:rPr>
              <w:t>US CAISI standalone</w:t>
            </w:r>
          </w:p>
        </w:tc>
        <w:tc>
          <w:tcPr>
            <w:tcW w:type="dxa" w:w="1440"/>
          </w:tcPr>
          <w:p>
            <w:r/>
            <w:r>
              <w:rPr>
                <w:b w:val="0"/>
                <w:i w:val="0"/>
                <w:sz w:val="19"/>
              </w:rPr>
              <w:t>3</w:t>
            </w:r>
          </w:p>
        </w:tc>
        <w:tc>
          <w:tcPr>
            <w:tcW w:type="dxa" w:w="2736"/>
          </w:tcPr>
          <w:p>
            <w:r/>
            <w:r>
              <w:rPr>
                <w:b w:val="0"/>
                <w:i w:val="0"/>
                <w:sz w:val="19"/>
              </w:rPr>
              <w:t>2</w:t>
            </w:r>
          </w:p>
        </w:tc>
        <w:tc>
          <w:tcPr>
            <w:tcW w:type="dxa" w:w="1440"/>
          </w:tcPr>
          <w:p>
            <w:r/>
            <w:r>
              <w:rPr>
                <w:b w:val="0"/>
                <w:i w:val="0"/>
                <w:sz w:val="19"/>
              </w:rPr>
              <w:t>1</w:t>
            </w:r>
          </w:p>
        </w:tc>
      </w:tr>
      <w:tr>
        <w:tc>
          <w:tcPr>
            <w:tcW w:type="dxa" w:w="3888"/>
            <w:shd w:val="clear" w:fill="F2F6FB"/>
          </w:tcPr>
          <w:p>
            <w:r/>
            <w:r>
              <w:rPr>
                <w:b w:val="0"/>
                <w:i w:val="0"/>
                <w:sz w:val="19"/>
              </w:rPr>
              <w:t>Third-party standalone (METR, SecureBio, etc.)</w:t>
            </w:r>
          </w:p>
        </w:tc>
        <w:tc>
          <w:tcPr>
            <w:tcW w:type="dxa" w:w="1440"/>
            <w:shd w:val="clear" w:fill="F2F6FB"/>
          </w:tcPr>
          <w:p>
            <w:r/>
            <w:r>
              <w:rPr>
                <w:b w:val="0"/>
                <w:i w:val="0"/>
                <w:sz w:val="19"/>
              </w:rPr>
              <w:t>3</w:t>
            </w:r>
          </w:p>
        </w:tc>
        <w:tc>
          <w:tcPr>
            <w:tcW w:type="dxa" w:w="2736"/>
            <w:shd w:val="clear" w:fill="F2F6FB"/>
          </w:tcPr>
          <w:p>
            <w:r/>
            <w:r>
              <w:rPr>
                <w:b w:val="0"/>
                <w:i w:val="0"/>
                <w:sz w:val="19"/>
              </w:rPr>
              <w:t>1</w:t>
            </w:r>
          </w:p>
        </w:tc>
        <w:tc>
          <w:tcPr>
            <w:tcW w:type="dxa" w:w="1440"/>
            <w:shd w:val="clear" w:fill="F2F6FB"/>
          </w:tcPr>
          <w:p>
            <w:r/>
            <w:r>
              <w:rPr>
                <w:b w:val="0"/>
                <w:i w:val="0"/>
                <w:sz w:val="19"/>
              </w:rPr>
              <w:t>2</w:t>
            </w:r>
          </w:p>
        </w:tc>
      </w:tr>
    </w:tbl>
    <w:p>
      <w:pPr>
        <w:spacing w:after="280"/>
        <w:jc w:val="left"/>
      </w:pPr>
      <w:r>
        <w:rPr>
          <w:b/>
          <w:color w:val="6B6B7B"/>
          <w:sz w:val="17"/>
        </w:rPr>
        <w:t xml:space="preserve">Table 6.  </w:t>
      </w:r>
      <w:r>
        <w:rPr>
          <w:i/>
          <w:color w:val="6B6B7B"/>
          <w:sz w:val="17"/>
        </w:rPr>
        <w:t>C1 Tier A outcomes by reporting configuration. UK AISI standalone findings skew post-deployment — the profile Section 4.3 ties to weak response — so this is an access/publication-mode effect, not a rigor comment. US CAISI and third-party rows are too thin to treat as stable rates.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4E79"/>
          </w:tcPr>
          <w:p>
            <w:r/>
            <w:r>
              <w:rPr>
                <w:b/>
                <w:i w:val="0"/>
                <w:color w:val="FFFFFF"/>
                <w:sz w:val="19"/>
              </w:rPr>
              <w:t>Domain (multi-label)</w:t>
            </w:r>
          </w:p>
        </w:tc>
        <w:tc>
          <w:tcPr>
            <w:tcW w:type="dxa" w:w="1584"/>
            <w:shd w:val="clear" w:fill="1F4E79"/>
          </w:tcPr>
          <w:p>
            <w:r/>
            <w:r>
              <w:rPr>
                <w:b/>
                <w:i w:val="0"/>
                <w:color w:val="FFFFFF"/>
                <w:sz w:val="19"/>
              </w:rPr>
              <w:t>C1 findings</w:t>
            </w:r>
          </w:p>
        </w:tc>
        <w:tc>
          <w:tcPr>
            <w:tcW w:type="dxa" w:w="1152"/>
            <w:shd w:val="clear" w:fill="1F4E79"/>
          </w:tcPr>
          <w:p>
            <w:r/>
            <w:r>
              <w:rPr>
                <w:b/>
                <w:i w:val="0"/>
                <w:color w:val="FFFFFF"/>
                <w:sz w:val="19"/>
              </w:rPr>
              <w:t>Gap</w:t>
            </w:r>
          </w:p>
        </w:tc>
        <w:tc>
          <w:tcPr>
            <w:tcW w:type="dxa" w:w="1440"/>
            <w:shd w:val="clear" w:fill="1F4E79"/>
          </w:tcPr>
          <w:p>
            <w:r/>
            <w:r>
              <w:rPr>
                <w:b/>
                <w:i w:val="0"/>
                <w:color w:val="FFFFFF"/>
                <w:sz w:val="19"/>
              </w:rPr>
              <w:t>Gap rate</w:t>
            </w:r>
          </w:p>
        </w:tc>
      </w:tr>
      <w:tr>
        <w:tc>
          <w:tcPr>
            <w:tcW w:type="dxa" w:w="3168"/>
          </w:tcPr>
          <w:p>
            <w:r/>
            <w:r>
              <w:rPr>
                <w:b w:val="0"/>
                <w:i w:val="0"/>
                <w:sz w:val="19"/>
              </w:rPr>
              <w:t>Jailbreaks</w:t>
            </w:r>
          </w:p>
        </w:tc>
        <w:tc>
          <w:tcPr>
            <w:tcW w:type="dxa" w:w="1584"/>
          </w:tcPr>
          <w:p>
            <w:r/>
            <w:r>
              <w:rPr>
                <w:b w:val="0"/>
                <w:i w:val="0"/>
                <w:sz w:val="19"/>
              </w:rPr>
              <w:t>21</w:t>
            </w:r>
          </w:p>
        </w:tc>
        <w:tc>
          <w:tcPr>
            <w:tcW w:type="dxa" w:w="1152"/>
          </w:tcPr>
          <w:p>
            <w:r/>
            <w:r>
              <w:rPr>
                <w:b w:val="0"/>
                <w:i w:val="0"/>
                <w:sz w:val="19"/>
              </w:rPr>
              <w:t>17</w:t>
            </w:r>
          </w:p>
        </w:tc>
        <w:tc>
          <w:tcPr>
            <w:tcW w:type="dxa" w:w="1440"/>
          </w:tcPr>
          <w:p>
            <w:r/>
            <w:r>
              <w:rPr>
                <w:b w:val="0"/>
                <w:i w:val="0"/>
                <w:sz w:val="19"/>
              </w:rPr>
              <w:t>81%</w:t>
            </w:r>
          </w:p>
        </w:tc>
      </w:tr>
      <w:tr>
        <w:tc>
          <w:tcPr>
            <w:tcW w:type="dxa" w:w="3168"/>
            <w:shd w:val="clear" w:fill="F2F6FB"/>
          </w:tcPr>
          <w:p>
            <w:r/>
            <w:r>
              <w:rPr>
                <w:b w:val="0"/>
                <w:i w:val="0"/>
                <w:sz w:val="19"/>
              </w:rPr>
              <w:t>Alignment</w:t>
            </w:r>
          </w:p>
        </w:tc>
        <w:tc>
          <w:tcPr>
            <w:tcW w:type="dxa" w:w="1584"/>
            <w:shd w:val="clear" w:fill="F2F6FB"/>
          </w:tcPr>
          <w:p>
            <w:r/>
            <w:r>
              <w:rPr>
                <w:b w:val="0"/>
                <w:i w:val="0"/>
                <w:sz w:val="19"/>
              </w:rPr>
              <w:t>6</w:t>
            </w:r>
          </w:p>
        </w:tc>
        <w:tc>
          <w:tcPr>
            <w:tcW w:type="dxa" w:w="1152"/>
            <w:shd w:val="clear" w:fill="F2F6FB"/>
          </w:tcPr>
          <w:p>
            <w:r/>
            <w:r>
              <w:rPr>
                <w:b w:val="0"/>
                <w:i w:val="0"/>
                <w:sz w:val="19"/>
              </w:rPr>
              <w:t>5</w:t>
            </w:r>
          </w:p>
        </w:tc>
        <w:tc>
          <w:tcPr>
            <w:tcW w:type="dxa" w:w="1440"/>
            <w:shd w:val="clear" w:fill="F2F6FB"/>
          </w:tcPr>
          <w:p>
            <w:r/>
            <w:r>
              <w:rPr>
                <w:b w:val="0"/>
                <w:i w:val="0"/>
                <w:sz w:val="19"/>
              </w:rPr>
              <w:t>83%</w:t>
            </w:r>
          </w:p>
        </w:tc>
      </w:tr>
      <w:tr>
        <w:tc>
          <w:tcPr>
            <w:tcW w:type="dxa" w:w="3168"/>
          </w:tcPr>
          <w:p>
            <w:r/>
            <w:r>
              <w:rPr>
                <w:b w:val="0"/>
                <w:i w:val="0"/>
                <w:sz w:val="19"/>
              </w:rPr>
              <w:t>Cyber</w:t>
            </w:r>
          </w:p>
        </w:tc>
        <w:tc>
          <w:tcPr>
            <w:tcW w:type="dxa" w:w="1584"/>
          </w:tcPr>
          <w:p>
            <w:r/>
            <w:r>
              <w:rPr>
                <w:b w:val="0"/>
                <w:i w:val="0"/>
                <w:sz w:val="19"/>
              </w:rPr>
              <w:t>17</w:t>
            </w:r>
          </w:p>
        </w:tc>
        <w:tc>
          <w:tcPr>
            <w:tcW w:type="dxa" w:w="1152"/>
          </w:tcPr>
          <w:p>
            <w:r/>
            <w:r>
              <w:rPr>
                <w:b w:val="0"/>
                <w:i w:val="0"/>
                <w:sz w:val="19"/>
              </w:rPr>
              <w:t>12</w:t>
            </w:r>
          </w:p>
        </w:tc>
        <w:tc>
          <w:tcPr>
            <w:tcW w:type="dxa" w:w="1440"/>
          </w:tcPr>
          <w:p>
            <w:r/>
            <w:r>
              <w:rPr>
                <w:b w:val="0"/>
                <w:i w:val="0"/>
                <w:sz w:val="19"/>
              </w:rPr>
              <w:t>71%</w:t>
            </w:r>
          </w:p>
        </w:tc>
      </w:tr>
      <w:tr>
        <w:tc>
          <w:tcPr>
            <w:tcW w:type="dxa" w:w="3168"/>
            <w:shd w:val="clear" w:fill="F2F6FB"/>
          </w:tcPr>
          <w:p>
            <w:r/>
            <w:r>
              <w:rPr>
                <w:b w:val="0"/>
                <w:i w:val="0"/>
                <w:sz w:val="19"/>
              </w:rPr>
              <w:t>Autonomy</w:t>
            </w:r>
          </w:p>
        </w:tc>
        <w:tc>
          <w:tcPr>
            <w:tcW w:type="dxa" w:w="1584"/>
            <w:shd w:val="clear" w:fill="F2F6FB"/>
          </w:tcPr>
          <w:p>
            <w:r/>
            <w:r>
              <w:rPr>
                <w:b w:val="0"/>
                <w:i w:val="0"/>
                <w:sz w:val="19"/>
              </w:rPr>
              <w:t>7</w:t>
            </w:r>
          </w:p>
        </w:tc>
        <w:tc>
          <w:tcPr>
            <w:tcW w:type="dxa" w:w="1152"/>
            <w:shd w:val="clear" w:fill="F2F6FB"/>
          </w:tcPr>
          <w:p>
            <w:r/>
            <w:r>
              <w:rPr>
                <w:b w:val="0"/>
                <w:i w:val="0"/>
                <w:sz w:val="19"/>
              </w:rPr>
              <w:t>5</w:t>
            </w:r>
          </w:p>
        </w:tc>
        <w:tc>
          <w:tcPr>
            <w:tcW w:type="dxa" w:w="1440"/>
            <w:shd w:val="clear" w:fill="F2F6FB"/>
          </w:tcPr>
          <w:p>
            <w:r/>
            <w:r>
              <w:rPr>
                <w:b w:val="0"/>
                <w:i w:val="0"/>
                <w:sz w:val="19"/>
              </w:rPr>
              <w:t>71%</w:t>
            </w:r>
          </w:p>
        </w:tc>
      </w:tr>
      <w:tr>
        <w:tc>
          <w:tcPr>
            <w:tcW w:type="dxa" w:w="3168"/>
          </w:tcPr>
          <w:p>
            <w:r/>
            <w:r>
              <w:rPr>
                <w:b w:val="0"/>
                <w:i w:val="0"/>
                <w:sz w:val="19"/>
              </w:rPr>
              <w:t>Bio-Chem</w:t>
            </w:r>
          </w:p>
        </w:tc>
        <w:tc>
          <w:tcPr>
            <w:tcW w:type="dxa" w:w="1584"/>
          </w:tcPr>
          <w:p>
            <w:r/>
            <w:r>
              <w:rPr>
                <w:b w:val="0"/>
                <w:i w:val="0"/>
                <w:sz w:val="19"/>
              </w:rPr>
              <w:t>5</w:t>
            </w:r>
          </w:p>
        </w:tc>
        <w:tc>
          <w:tcPr>
            <w:tcW w:type="dxa" w:w="1152"/>
          </w:tcPr>
          <w:p>
            <w:r/>
            <w:r>
              <w:rPr>
                <w:b w:val="0"/>
                <w:i w:val="0"/>
                <w:sz w:val="19"/>
              </w:rPr>
              <w:t>3</w:t>
            </w:r>
          </w:p>
        </w:tc>
        <w:tc>
          <w:tcPr>
            <w:tcW w:type="dxa" w:w="1440"/>
          </w:tcPr>
          <w:p>
            <w:r/>
            <w:r>
              <w:rPr>
                <w:b w:val="0"/>
                <w:i w:val="0"/>
                <w:sz w:val="19"/>
              </w:rPr>
              <w:t>60%</w:t>
            </w:r>
          </w:p>
        </w:tc>
      </w:tr>
    </w:tbl>
    <w:p>
      <w:pPr>
        <w:spacing w:after="280"/>
        <w:jc w:val="left"/>
      </w:pPr>
      <w:r>
        <w:rPr>
          <w:b/>
          <w:color w:val="6B6B7B"/>
          <w:sz w:val="17"/>
        </w:rPr>
        <w:t xml:space="preserve">Table 7.  </w:t>
      </w:r>
      <w:r>
        <w:rPr>
          <w:i/>
          <w:color w:val="6B6B7B"/>
          <w:sz w:val="17"/>
        </w:rPr>
        <w:t>C1 gap rates by domain. Findings can span more than one domain, so counts do not sum to 44. Only Jailbreaks and Cyber carry enough n to support a claim; Bio-Chem's comparatively low gap rate is almost entirely SecureBio's direct pre-release access to OpenAI — an access-type effect wearing a domain costume, not evidence that bio-chem oversight specifically works better. The rest are directional.</w:t>
      </w:r>
    </w:p>
    <w:p>
      <w:pPr>
        <w:pStyle w:val="Heading2"/>
      </w:pPr>
      <w:r>
        <w:rPr>
          <w:color w:val="1F4E79"/>
        </w:rPr>
        <w:t>4.5  Silence is not obscurity: the traction check</w:t>
      </w:r>
    </w:p>
    <w:p>
      <w:pPr>
        <w:spacing w:after="160"/>
      </w:pPr>
      <w:r>
        <w:rPr>
          <w:b w:val="0"/>
          <w:i w:val="0"/>
          <w:sz w:val="21"/>
        </w:rPr>
        <w:t>A natural defence of the no-response bucket is that nobody responded because nobody noticed. Channel C exists to test that. Of the 32 Tier A findings with no located company response, 13 (41%) carry a High traction score — real mainstream press coverage or substantial academic citation — with no company response regardless. Silence in Channel A was not, in general, a function of the finding being obscure.</w:t>
      </w:r>
    </w:p>
    <w:p>
      <w:pPr>
        <w:pStyle w:val="Heading2"/>
      </w:pPr>
      <w:r>
        <w:rPr>
          <w:color w:val="1F4E79"/>
        </w:rPr>
        <w:t>4.6  The gap over time</w:t>
      </w:r>
    </w:p>
    <w:p>
      <w:pPr>
        <w:jc w:val="center"/>
        <w:shd w:val="clear" w:fill="EAF1F8"/>
      </w:pPr>
      <w:r>
        <w:rPr>
          <w:b/>
          <w:color w:val="1F4E79"/>
          <w:sz w:val="20"/>
        </w:rPr>
        <w:t>[ Figure 6 — file: fig6_year.png in Desktop/evaluating-the-evaluators-figures ]</w:t>
      </w:r>
    </w:p>
    <w:p>
      <w:pPr>
        <w:spacing w:after="280"/>
        <w:jc w:val="left"/>
      </w:pPr>
      <w:r>
        <w:rPr>
          <w:b/>
          <w:color w:val="6B6B7B"/>
          <w:sz w:val="17"/>
        </w:rPr>
        <w:t xml:space="preserve">Figure 6.  </w:t>
      </w:r>
      <w:r>
        <w:rPr>
          <w:i/>
          <w:color w:val="6B6B7B"/>
          <w:sz w:val="17"/>
        </w:rPr>
        <w:t>Corpus growth by publication year. The evaluation ecosystem's output is accelerating; 2026 covers only January to 9 July.</w:t>
      </w:r>
    </w:p>
    <w:p>
      <w:pPr>
        <w:spacing w:after="160"/>
      </w:pPr>
      <w:r>
        <w:rPr>
          <w:b w:val="0"/>
          <w:i w:val="0"/>
          <w:sz w:val="21"/>
        </w:rPr>
        <w:t>Among C1 Tier A findings, the gap does not show a clean improvement trend: 2024, 7/7 gap; 2025, 8/12; 2026 to date, 17/25. The 2026 figure is additionally right-censored — recent findings have had less time to draw a response — so we read this as "the gap persists as the ecosystem scales," and no stronger.</w:t>
      </w:r>
    </w:p>
    <w:p>
      <w:pPr>
        <w:pStyle w:val="Heading2"/>
      </w:pPr>
      <w:r>
        <w:rPr>
          <w:color w:val="1F4E79"/>
        </w:rPr>
        <w:t>4.7  The verification gap</w:t>
      </w:r>
    </w:p>
    <w:p>
      <w:pPr>
        <w:spacing w:after="160"/>
      </w:pPr>
      <w:r>
        <w:rPr>
          <w:b w:val="0"/>
          <w:i w:val="0"/>
          <w:sz w:val="21"/>
        </w:rPr>
        <w:t>Even where a company responds, the evaluator frequently cannot verify the response. During pre-deployment evaluation of GPT-5.5, UK AISI found a universal jailbreak. OpenAI stated the vulnerability had been patched; AISI could not verify the fix before the model was publicly deployed. As Transformer News reported: "We do not know if GPT-5.5 is actually safe to release. All we have to rely on is OpenAI's word." This pattern — response claimed, verification structurally unavailable — is why our Partial category exists, and it recurs in the GPT-5.6 case below.</w:t>
      </w:r>
    </w:p>
    <w:p>
      <w:pPr>
        <w:pStyle w:val="Heading1"/>
      </w:pPr>
      <w:r>
        <w:rPr>
          <w:color w:val="1F4E79"/>
        </w:rPr>
        <w:t>5  Why This Happens</w:t>
      </w:r>
    </w:p>
    <w:p>
      <w:pPr>
        <w:pStyle w:val="Heading2"/>
      </w:pPr>
      <w:r>
        <w:rPr>
          <w:color w:val="1F4E79"/>
        </w:rPr>
        <w:t>5.1  The Claude Fable 5 / Mythos 5 export-control case</w:t>
      </w:r>
    </w:p>
    <w:p>
      <w:pPr>
        <w:spacing w:after="160"/>
      </w:pPr>
      <w:r>
        <w:rPr>
          <w:b w:val="0"/>
          <w:i w:val="0"/>
          <w:sz w:val="21"/>
        </w:rPr>
        <w:t>The one case in the corpus where an alarming finding produced binding government action within days is instructive precisely because of what made it possible. On 9 June 2026, Anthropic launched Claude Fable 5 and Claude Mythos 5. Within hours of access, UK AISI red-teamers developed a jailbreak eliciting single-turn offensive-cyber responses from Fable 5, extending it within two days to multi-turn agentic workflows; UK AISI published this the same day, and we code Anthropic's launch-day response to it as Partial. Days later, Amazon researchers independently reported a jailbreak eliciting exploit code from Fable 5. On 12 June, the US Department of Commerce issued a binding export-control order taking both models offline globally — including for foreign-national employees — for 18 days. US CAISI then independently tested both the prior and the newly rebuilt safeguards; Anthropic's redeployment announcement quotes CAISI's verification directly ("Researchers from the US Department of Commerce's Center for AI Standards and Innovation have tested both our prior and new safeguards and agree that they are extraordinarily strong"), and the order was lifted by a letter from the Commerce Secretary on 30 June once verification was complete.</w:t>
      </w:r>
    </w:p>
    <w:p>
      <w:pPr>
        <w:spacing w:after="160"/>
      </w:pPr>
      <w:r>
        <w:rPr>
          <w:b w:val="0"/>
          <w:i w:val="0"/>
          <w:sz w:val="21"/>
        </w:rPr>
        <w:t>Three structural features distinguish this case from the 32 silent ones: an enforcement instrument that already existed (export-control law), a government body with the standing to invoke it, and an evaluator (CAISI) whose verification was a condition of redeployment rather than a courtesy. When those three features are present, the finding-to-action pipeline that is missing elsewhere in the corpus assembled itself in three days. Nothing about the finding itself — a jailbreak, of which the accountability-relevant (Tier A, C1) record contains twenty other instances — explains the difference.</w:t>
      </w:r>
    </w:p>
    <w:p>
      <w:pPr>
        <w:pStyle w:val="Heading2"/>
      </w:pPr>
      <w:r>
        <w:rPr>
          <w:color w:val="1F4E79"/>
        </w:rPr>
        <w:t>5.2  The GPT-5.6 case</w:t>
      </w:r>
    </w:p>
    <w:p>
      <w:pPr>
        <w:spacing w:after="160"/>
      </w:pPr>
      <w:r>
        <w:rPr>
          <w:b w:val="0"/>
          <w:i w:val="0"/>
          <w:sz w:val="21"/>
        </w:rPr>
        <w:t>GPT-5.6 Sol shows the same machinery operating pre-deployment, and its limits. In the joint UK AISI/OpenAI evaluation published with the 9 July 2026 system card, UK AISI reported that in every red-teaming round to date it had identified universal jailbreaks in the cyber domain — often developed within hours, and preserving the model's capabilities on offensive-cyber benchmarks. OpenAI's response, quoted in the card: the specific reported jailbreaks were reproduced and mitigated by launch, but "UK AISI expects further red-teaming to surface similar jailbreaks." On UK AISI's expert-level CTF tasks the model scored 95%, and it completed the 32-step "The Last Ones" corporate-network attack simulation in 7 of 10 attempts (versus 2 of 10 for GPT-5.5); US CAISI conducted additional cyber-capability testing before broad release, with the late-June preview restricted to government-vetted partners for roughly 12 days. METR separately reported the highest rate of evaluation-gaming behaviour it had ever measured.</w:t>
      </w:r>
    </w:p>
    <w:p>
      <w:pPr>
        <w:spacing w:after="160"/>
      </w:pPr>
      <w:r>
        <w:rPr>
          <w:b w:val="0"/>
          <w:i w:val="0"/>
          <w:sz w:val="21"/>
        </w:rPr>
        <w:t>The case cuts both ways, and we report it both ways. Coordinated pre-deployment evaluation produced real engagement: named findings, a company response in the launch documentation, a government-conditioned release window. It also reproduced the verification gap of Section 4.7 — "we mitigated the specific jailbreaks reported" is a claim about enumerated attacks, not about the vulnerability class, and the evaluator itself says it expects the class to persist. The capability findings published alongside (the 95% CTF score) drew no separate response and are coded as an accountability gap.</w:t>
      </w:r>
    </w:p>
    <w:p>
      <w:pPr>
        <w:pStyle w:val="Heading2"/>
      </w:pPr>
      <w:r>
        <w:rPr>
          <w:color w:val="1F4E79"/>
        </w:rPr>
        <w:t>5.3  How policymakers respond to evaluation findings</w:t>
      </w:r>
    </w:p>
    <w:p>
      <w:pPr>
        <w:spacing w:after="160"/>
      </w:pPr>
      <w:r>
        <w:rPr>
          <w:b w:val="0"/>
          <w:i w:val="0"/>
          <w:sz w:val="21"/>
        </w:rPr>
        <w:t>We coded every appearance of a corpus finding in the parliamentary, congressional, or regulatory record, 2024–2026. Type A citations accompany binding action; Type B citations accompany advisory responses (research funding, pacts, statements, guidance). We also searched for a third pattern — Type C, the citation of an institute's existence to justify deferring legislation — and found no confirmed instance in the corpus period; we report that as an observation, not as evidence the pattern does not occur.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024"/>
            <w:shd w:val="clear" w:fill="1F4E79"/>
          </w:tcPr>
          <w:p>
            <w:r/>
            <w:r>
              <w:rPr>
                <w:b/>
                <w:i w:val="0"/>
                <w:color w:val="FFFFFF"/>
                <w:sz w:val="19"/>
              </w:rPr>
              <w:t>Finding cited</w:t>
            </w:r>
          </w:p>
        </w:tc>
        <w:tc>
          <w:tcPr>
            <w:tcW w:type="dxa" w:w="1728"/>
            <w:shd w:val="clear" w:fill="1F4E79"/>
          </w:tcPr>
          <w:p>
            <w:r/>
            <w:r>
              <w:rPr>
                <w:b/>
                <w:i w:val="0"/>
                <w:color w:val="FFFFFF"/>
                <w:sz w:val="19"/>
              </w:rPr>
              <w:t>Venue</w:t>
            </w:r>
          </w:p>
        </w:tc>
        <w:tc>
          <w:tcPr>
            <w:tcW w:type="dxa" w:w="720"/>
            <w:shd w:val="clear" w:fill="1F4E79"/>
          </w:tcPr>
          <w:p>
            <w:r/>
            <w:r>
              <w:rPr>
                <w:b/>
                <w:i w:val="0"/>
                <w:color w:val="FFFFFF"/>
                <w:sz w:val="19"/>
              </w:rPr>
              <w:t>Type</w:t>
            </w:r>
          </w:p>
        </w:tc>
        <w:tc>
          <w:tcPr>
            <w:tcW w:type="dxa" w:w="3744"/>
            <w:shd w:val="clear" w:fill="1F4E79"/>
          </w:tcPr>
          <w:p>
            <w:r/>
            <w:r>
              <w:rPr>
                <w:b/>
                <w:i w:val="0"/>
                <w:color w:val="FFFFFF"/>
                <w:sz w:val="19"/>
              </w:rPr>
              <w:t>Action announced</w:t>
            </w:r>
          </w:p>
        </w:tc>
        <w:tc>
          <w:tcPr>
            <w:tcW w:type="dxa" w:w="1008"/>
            <w:shd w:val="clear" w:fill="1F4E79"/>
          </w:tcPr>
          <w:p>
            <w:r/>
            <w:r>
              <w:rPr>
                <w:b/>
                <w:i w:val="0"/>
                <w:color w:val="FFFFFF"/>
                <w:sz w:val="19"/>
              </w:rPr>
              <w:t>Binding?</w:t>
            </w:r>
          </w:p>
        </w:tc>
      </w:tr>
      <w:tr>
        <w:tc>
          <w:tcPr>
            <w:tcW w:type="dxa" w:w="3024"/>
            <w:shd w:val="clear" w:fill="DCEFE7"/>
          </w:tcPr>
          <w:p>
            <w:r/>
            <w:r>
              <w:rPr>
                <w:b w:val="0"/>
                <w:i w:val="0"/>
                <w:sz w:val="19"/>
              </w:rPr>
              <w:t>IWF/AISI-Thorn CSAM findings (3,512 AI-generated CSAM images on one dark-web forum in one month)</w:t>
            </w:r>
          </w:p>
        </w:tc>
        <w:tc>
          <w:tcPr>
            <w:tcW w:type="dxa" w:w="1728"/>
            <w:shd w:val="clear" w:fill="DCEFE7"/>
          </w:tcPr>
          <w:p>
            <w:r/>
            <w:r>
              <w:rPr>
                <w:b w:val="0"/>
                <w:i w:val="0"/>
                <w:sz w:val="19"/>
              </w:rPr>
              <w:t>UK Parliament</w:t>
            </w:r>
          </w:p>
        </w:tc>
        <w:tc>
          <w:tcPr>
            <w:tcW w:type="dxa" w:w="720"/>
            <w:shd w:val="clear" w:fill="DCEFE7"/>
          </w:tcPr>
          <w:p>
            <w:r/>
            <w:r>
              <w:rPr>
                <w:b w:val="0"/>
                <w:i w:val="0"/>
                <w:sz w:val="19"/>
              </w:rPr>
              <w:t>A</w:t>
            </w:r>
          </w:p>
        </w:tc>
        <w:tc>
          <w:tcPr>
            <w:tcW w:type="dxa" w:w="3744"/>
            <w:shd w:val="clear" w:fill="DCEFE7"/>
          </w:tcPr>
          <w:p>
            <w:r/>
            <w:r>
              <w:rPr>
                <w:b w:val="0"/>
                <w:i w:val="0"/>
                <w:sz w:val="19"/>
              </w:rPr>
              <w:t>Crime and Policing Act 2026 (Royal Assent 29 Apr 2026): new criminal offence for AI CSAM generators; Technology Testing Defence creates a legal basis for AISI/Thorn-style testing. EU AI Act Omnibus (May 2026) prohibits AI CSAM.</w:t>
            </w:r>
          </w:p>
        </w:tc>
        <w:tc>
          <w:tcPr>
            <w:tcW w:type="dxa" w:w="1008"/>
            <w:shd w:val="clear" w:fill="DCEFE7"/>
          </w:tcPr>
          <w:p>
            <w:r/>
            <w:r>
              <w:rPr>
                <w:b/>
                <w:i w:val="0"/>
                <w:color w:val="1E7A4F"/>
                <w:sz w:val="19"/>
              </w:rPr>
              <w:t>Yes</w:t>
            </w:r>
          </w:p>
        </w:tc>
      </w:tr>
      <w:tr>
        <w:tc>
          <w:tcPr>
            <w:tcW w:type="dxa" w:w="3024"/>
            <w:shd w:val="clear" w:fill="DCEFE7"/>
          </w:tcPr>
          <w:p>
            <w:r/>
            <w:r>
              <w:rPr>
                <w:b w:val="0"/>
                <w:i w:val="0"/>
                <w:sz w:val="19"/>
              </w:rPr>
              <w:t>Amazon-reported Fable 5 jailbreak (after UK AISI's launch-day jailbreak finding)</w:t>
            </w:r>
          </w:p>
        </w:tc>
        <w:tc>
          <w:tcPr>
            <w:tcW w:type="dxa" w:w="1728"/>
            <w:shd w:val="clear" w:fill="DCEFE7"/>
          </w:tcPr>
          <w:p>
            <w:r/>
            <w:r>
              <w:rPr>
                <w:b w:val="0"/>
                <w:i w:val="0"/>
                <w:sz w:val="19"/>
              </w:rPr>
              <w:t>US Dept. of Commerce</w:t>
            </w:r>
          </w:p>
        </w:tc>
        <w:tc>
          <w:tcPr>
            <w:tcW w:type="dxa" w:w="720"/>
            <w:shd w:val="clear" w:fill="DCEFE7"/>
          </w:tcPr>
          <w:p>
            <w:r/>
            <w:r>
              <w:rPr>
                <w:b w:val="0"/>
                <w:i w:val="0"/>
                <w:sz w:val="19"/>
              </w:rPr>
              <w:t>A</w:t>
            </w:r>
          </w:p>
        </w:tc>
        <w:tc>
          <w:tcPr>
            <w:tcW w:type="dxa" w:w="3744"/>
            <w:shd w:val="clear" w:fill="DCEFE7"/>
          </w:tcPr>
          <w:p>
            <w:r/>
            <w:r>
              <w:rPr>
                <w:b w:val="0"/>
                <w:i w:val="0"/>
                <w:sz w:val="19"/>
              </w:rPr>
              <w:t>Export-control order (12 Jun 2026) suspending Claude Fable 5 and Mythos 5 globally; lifted 30 Jun after CAISI verified rebuilt safeguards.</w:t>
            </w:r>
          </w:p>
        </w:tc>
        <w:tc>
          <w:tcPr>
            <w:tcW w:type="dxa" w:w="1008"/>
            <w:shd w:val="clear" w:fill="DCEFE7"/>
          </w:tcPr>
          <w:p>
            <w:r/>
            <w:r>
              <w:rPr>
                <w:b/>
                <w:i w:val="0"/>
                <w:color w:val="1E7A4F"/>
                <w:sz w:val="19"/>
              </w:rPr>
              <w:t>Yes</w:t>
            </w:r>
          </w:p>
        </w:tc>
      </w:tr>
      <w:tr>
        <w:tc>
          <w:tcPr>
            <w:tcW w:type="dxa" w:w="3024"/>
            <w:shd w:val="clear" w:fill="DCEFE7"/>
          </w:tcPr>
          <w:p>
            <w:r/>
            <w:r>
              <w:rPr>
                <w:b w:val="0"/>
                <w:i w:val="0"/>
                <w:sz w:val="19"/>
              </w:rPr>
              <w:t>GPT-5.6 Sol cyber-capability results</w:t>
            </w:r>
          </w:p>
        </w:tc>
        <w:tc>
          <w:tcPr>
            <w:tcW w:type="dxa" w:w="1728"/>
            <w:shd w:val="clear" w:fill="DCEFE7"/>
          </w:tcPr>
          <w:p>
            <w:r/>
            <w:r>
              <w:rPr>
                <w:b w:val="0"/>
                <w:i w:val="0"/>
                <w:sz w:val="19"/>
              </w:rPr>
              <w:t>US Dept. of Commerce (CAISI)</w:t>
            </w:r>
          </w:p>
        </w:tc>
        <w:tc>
          <w:tcPr>
            <w:tcW w:type="dxa" w:w="720"/>
            <w:shd w:val="clear" w:fill="DCEFE7"/>
          </w:tcPr>
          <w:p>
            <w:r/>
            <w:r>
              <w:rPr>
                <w:b w:val="0"/>
                <w:i w:val="0"/>
                <w:sz w:val="19"/>
              </w:rPr>
              <w:t>A</w:t>
            </w:r>
          </w:p>
        </w:tc>
        <w:tc>
          <w:tcPr>
            <w:tcW w:type="dxa" w:w="3744"/>
            <w:shd w:val="clear" w:fill="DCEFE7"/>
          </w:tcPr>
          <w:p>
            <w:r/>
            <w:r>
              <w:rPr>
                <w:b w:val="0"/>
                <w:i w:val="0"/>
                <w:sz w:val="19"/>
              </w:rPr>
              <w:t>Additional CAISI testing before broad public release; ~12-day government-vetted preview restriction.</w:t>
            </w:r>
          </w:p>
        </w:tc>
        <w:tc>
          <w:tcPr>
            <w:tcW w:type="dxa" w:w="1008"/>
            <w:shd w:val="clear" w:fill="DCEFE7"/>
          </w:tcPr>
          <w:p>
            <w:r/>
            <w:r>
              <w:rPr>
                <w:b/>
                <w:i w:val="0"/>
                <w:color w:val="1E7A4F"/>
                <w:sz w:val="19"/>
              </w:rPr>
              <w:t>Yes</w:t>
            </w:r>
          </w:p>
        </w:tc>
      </w:tr>
      <w:tr>
        <w:tc>
          <w:tcPr>
            <w:tcW w:type="dxa" w:w="3024"/>
            <w:shd w:val="clear" w:fill="F2F6FB"/>
          </w:tcPr>
          <w:p>
            <w:r/>
            <w:r>
              <w:rPr>
                <w:b w:val="0"/>
                <w:i w:val="0"/>
                <w:sz w:val="19"/>
              </w:rPr>
              <w:t>Mythos Preview cyber capabilities (73% expert CTF success; first model to solve a "The Last Ones" challenge)</w:t>
            </w:r>
          </w:p>
        </w:tc>
        <w:tc>
          <w:tcPr>
            <w:tcW w:type="dxa" w:w="1728"/>
            <w:shd w:val="clear" w:fill="F2F6FB"/>
          </w:tcPr>
          <w:p>
            <w:r/>
            <w:r>
              <w:rPr>
                <w:b w:val="0"/>
                <w:i w:val="0"/>
                <w:sz w:val="19"/>
              </w:rPr>
              <w:t>UK Government (DSIT)</w:t>
            </w:r>
          </w:p>
        </w:tc>
        <w:tc>
          <w:tcPr>
            <w:tcW w:type="dxa" w:w="720"/>
            <w:shd w:val="clear" w:fill="F2F6FB"/>
          </w:tcPr>
          <w:p>
            <w:r/>
            <w:r>
              <w:rPr>
                <w:b w:val="0"/>
                <w:i w:val="0"/>
                <w:sz w:val="19"/>
              </w:rPr>
              <w:t>B</w:t>
            </w:r>
          </w:p>
        </w:tc>
        <w:tc>
          <w:tcPr>
            <w:tcW w:type="dxa" w:w="3744"/>
            <w:shd w:val="clear" w:fill="F2F6FB"/>
          </w:tcPr>
          <w:p>
            <w:r/>
            <w:r>
              <w:rPr>
                <w:b w:val="0"/>
                <w:i w:val="0"/>
                <w:sz w:val="19"/>
              </w:rPr>
              <w:t>Official ministerial open letter to business leaders (15 Apr 2026) citing the findings; NCSC advisories; BoE/FCA/HM Treasury joint statement to regulated firms (May 2026).</w:t>
            </w:r>
          </w:p>
        </w:tc>
        <w:tc>
          <w:tcPr>
            <w:tcW w:type="dxa" w:w="1008"/>
            <w:shd w:val="clear" w:fill="F2F6FB"/>
          </w:tcPr>
          <w:p>
            <w:r/>
            <w:r>
              <w:rPr>
                <w:b w:val="0"/>
                <w:i w:val="0"/>
                <w:color w:val="B03525"/>
                <w:sz w:val="19"/>
              </w:rPr>
              <w:t>No</w:t>
            </w:r>
          </w:p>
        </w:tc>
      </w:tr>
      <w:tr>
        <w:tc>
          <w:tcPr>
            <w:tcW w:type="dxa" w:w="3024"/>
          </w:tcPr>
          <w:p>
            <w:r/>
            <w:r>
              <w:rPr>
                <w:b w:val="0"/>
                <w:i w:val="0"/>
                <w:sz w:val="19"/>
              </w:rPr>
              <w:t>Frontier AI Trends Report (jailbreaks, bio, autonomy trends)</w:t>
            </w:r>
          </w:p>
        </w:tc>
        <w:tc>
          <w:tcPr>
            <w:tcW w:type="dxa" w:w="1728"/>
          </w:tcPr>
          <w:p>
            <w:r/>
            <w:r>
              <w:rPr>
                <w:b w:val="0"/>
                <w:i w:val="0"/>
                <w:sz w:val="19"/>
              </w:rPr>
              <w:t>UK House of Lords</w:t>
            </w:r>
          </w:p>
        </w:tc>
        <w:tc>
          <w:tcPr>
            <w:tcW w:type="dxa" w:w="720"/>
          </w:tcPr>
          <w:p>
            <w:r/>
            <w:r>
              <w:rPr>
                <w:b w:val="0"/>
                <w:i w:val="0"/>
                <w:sz w:val="19"/>
              </w:rPr>
              <w:t>B</w:t>
            </w:r>
          </w:p>
        </w:tc>
        <w:tc>
          <w:tcPr>
            <w:tcW w:type="dxa" w:w="3744"/>
          </w:tcPr>
          <w:p>
            <w:r/>
            <w:r>
              <w:rPr>
                <w:b w:val="0"/>
                <w:i w:val="0"/>
                <w:sz w:val="19"/>
              </w:rPr>
              <w:t>"AI Systems: Risks" debate (8 Jan 2026) cited the report; DSIT committed to regular publication.</w:t>
            </w:r>
          </w:p>
        </w:tc>
        <w:tc>
          <w:tcPr>
            <w:tcW w:type="dxa" w:w="1008"/>
          </w:tcPr>
          <w:p>
            <w:r/>
            <w:r>
              <w:rPr>
                <w:b w:val="0"/>
                <w:i w:val="0"/>
                <w:color w:val="B03525"/>
                <w:sz w:val="19"/>
              </w:rPr>
              <w:t>No</w:t>
            </w:r>
          </w:p>
        </w:tc>
      </w:tr>
      <w:tr>
        <w:tc>
          <w:tcPr>
            <w:tcW w:type="dxa" w:w="3024"/>
            <w:shd w:val="clear" w:fill="F2F6FB"/>
          </w:tcPr>
          <w:p>
            <w:r/>
            <w:r>
              <w:rPr>
                <w:b w:val="0"/>
                <w:i w:val="0"/>
                <w:sz w:val="19"/>
              </w:rPr>
              <w:t>May 2024 UK AISI evaluation release</w:t>
            </w:r>
          </w:p>
        </w:tc>
        <w:tc>
          <w:tcPr>
            <w:tcW w:type="dxa" w:w="1728"/>
            <w:shd w:val="clear" w:fill="F2F6FB"/>
          </w:tcPr>
          <w:p>
            <w:r/>
            <w:r>
              <w:rPr>
                <w:b w:val="0"/>
                <w:i w:val="0"/>
                <w:sz w:val="19"/>
              </w:rPr>
              <w:t>UK House of Commons S&amp;T Committee</w:t>
            </w:r>
          </w:p>
        </w:tc>
        <w:tc>
          <w:tcPr>
            <w:tcW w:type="dxa" w:w="720"/>
            <w:shd w:val="clear" w:fill="F2F6FB"/>
          </w:tcPr>
          <w:p>
            <w:r/>
            <w:r>
              <w:rPr>
                <w:b w:val="0"/>
                <w:i w:val="0"/>
                <w:sz w:val="19"/>
              </w:rPr>
              <w:t>B</w:t>
            </w:r>
          </w:p>
        </w:tc>
        <w:tc>
          <w:tcPr>
            <w:tcW w:type="dxa" w:w="3744"/>
            <w:shd w:val="clear" w:fill="F2F6FB"/>
          </w:tcPr>
          <w:p>
            <w:r/>
            <w:r>
              <w:rPr>
                <w:b w:val="0"/>
                <w:i w:val="0"/>
                <w:sz w:val="19"/>
              </w:rPr>
              <w:t>Committee engagement (HC 38, "Governance of AI"); Seoul Summit Frontier AI Safety Commitments signed by 16 companies.</w:t>
            </w:r>
          </w:p>
        </w:tc>
        <w:tc>
          <w:tcPr>
            <w:tcW w:type="dxa" w:w="1008"/>
            <w:shd w:val="clear" w:fill="F2F6FB"/>
          </w:tcPr>
          <w:p>
            <w:r/>
            <w:r>
              <w:rPr>
                <w:b w:val="0"/>
                <w:i w:val="0"/>
                <w:color w:val="B03525"/>
                <w:sz w:val="19"/>
              </w:rPr>
              <w:t>No</w:t>
            </w:r>
          </w:p>
        </w:tc>
      </w:tr>
      <w:tr>
        <w:tc>
          <w:tcPr>
            <w:tcW w:type="dxa" w:w="3024"/>
          </w:tcPr>
          <w:p>
            <w:r/>
            <w:r>
              <w:rPr>
                <w:b w:val="0"/>
                <w:i w:val="0"/>
                <w:sz w:val="19"/>
              </w:rPr>
              <w:t>Frontier cyber-capability evaluations (Claude Opus 4.6; GPT-5.5)</w:t>
            </w:r>
          </w:p>
        </w:tc>
        <w:tc>
          <w:tcPr>
            <w:tcW w:type="dxa" w:w="1728"/>
          </w:tcPr>
          <w:p>
            <w:r/>
            <w:r>
              <w:rPr>
                <w:b w:val="0"/>
                <w:i w:val="0"/>
                <w:sz w:val="19"/>
              </w:rPr>
              <w:t>UK NCSC</w:t>
            </w:r>
          </w:p>
        </w:tc>
        <w:tc>
          <w:tcPr>
            <w:tcW w:type="dxa" w:w="720"/>
          </w:tcPr>
          <w:p>
            <w:r/>
            <w:r>
              <w:rPr>
                <w:b w:val="0"/>
                <w:i w:val="0"/>
                <w:sz w:val="19"/>
              </w:rPr>
              <w:t>B</w:t>
            </w:r>
          </w:p>
        </w:tc>
        <w:tc>
          <w:tcPr>
            <w:tcW w:type="dxa" w:w="3744"/>
          </w:tcPr>
          <w:p>
            <w:r/>
            <w:r>
              <w:rPr>
                <w:b w:val="0"/>
                <w:i w:val="0"/>
                <w:sz w:val="19"/>
              </w:rPr>
              <w:t>Official advisory blogs for cyber defenders citing the evaluations, urging raised security baselines.</w:t>
            </w:r>
          </w:p>
        </w:tc>
        <w:tc>
          <w:tcPr>
            <w:tcW w:type="dxa" w:w="1008"/>
          </w:tcPr>
          <w:p>
            <w:r/>
            <w:r>
              <w:rPr>
                <w:b w:val="0"/>
                <w:i w:val="0"/>
                <w:color w:val="B03525"/>
                <w:sz w:val="19"/>
              </w:rPr>
              <w:t>No</w:t>
            </w:r>
          </w:p>
        </w:tc>
      </w:tr>
      <w:tr>
        <w:tc>
          <w:tcPr>
            <w:tcW w:type="dxa" w:w="3024"/>
            <w:shd w:val="clear" w:fill="F2F6FB"/>
          </w:tcPr>
          <w:p>
            <w:r/>
            <w:r>
              <w:rPr>
                <w:b w:val="0"/>
                <w:i w:val="0"/>
                <w:sz w:val="19"/>
              </w:rPr>
              <w:t>LatticeFlow COMPL-AI EU AI Act benchmark</w:t>
            </w:r>
          </w:p>
        </w:tc>
        <w:tc>
          <w:tcPr>
            <w:tcW w:type="dxa" w:w="1728"/>
            <w:shd w:val="clear" w:fill="F2F6FB"/>
          </w:tcPr>
          <w:p>
            <w:r/>
            <w:r>
              <w:rPr>
                <w:b w:val="0"/>
                <w:i w:val="0"/>
                <w:sz w:val="19"/>
              </w:rPr>
              <w:t>European Commission</w:t>
            </w:r>
          </w:p>
        </w:tc>
        <w:tc>
          <w:tcPr>
            <w:tcW w:type="dxa" w:w="720"/>
            <w:shd w:val="clear" w:fill="F2F6FB"/>
          </w:tcPr>
          <w:p>
            <w:r/>
            <w:r>
              <w:rPr>
                <w:b w:val="0"/>
                <w:i w:val="0"/>
                <w:sz w:val="19"/>
              </w:rPr>
              <w:t>B</w:t>
            </w:r>
          </w:p>
        </w:tc>
        <w:tc>
          <w:tcPr>
            <w:tcW w:type="dxa" w:w="3744"/>
            <w:shd w:val="clear" w:fill="F2F6FB"/>
          </w:tcPr>
          <w:p>
            <w:r/>
            <w:r>
              <w:rPr>
                <w:b w:val="0"/>
                <w:i w:val="0"/>
                <w:sz w:val="19"/>
              </w:rPr>
              <w:t>Commission spokesperson welcomed the platform as a first step in translating the EU AI Act into technical requirements.</w:t>
            </w:r>
          </w:p>
        </w:tc>
        <w:tc>
          <w:tcPr>
            <w:tcW w:type="dxa" w:w="1008"/>
            <w:shd w:val="clear" w:fill="F2F6FB"/>
          </w:tcPr>
          <w:p>
            <w:r/>
            <w:r>
              <w:rPr>
                <w:b w:val="0"/>
                <w:i w:val="0"/>
                <w:color w:val="B03525"/>
                <w:sz w:val="19"/>
              </w:rPr>
              <w:t>No</w:t>
            </w:r>
          </w:p>
        </w:tc>
      </w:tr>
      <w:tr>
        <w:tc>
          <w:tcPr>
            <w:tcW w:type="dxa" w:w="3024"/>
          </w:tcPr>
          <w:p>
            <w:r/>
            <w:r>
              <w:rPr>
                <w:b w:val="0"/>
                <w:i w:val="0"/>
                <w:sz w:val="19"/>
              </w:rPr>
              <w:t>PEReN 22-model energy-consumption study</w:t>
            </w:r>
          </w:p>
        </w:tc>
        <w:tc>
          <w:tcPr>
            <w:tcW w:type="dxa" w:w="1728"/>
          </w:tcPr>
          <w:p>
            <w:r/>
            <w:r>
              <w:rPr>
                <w:b w:val="0"/>
                <w:i w:val="0"/>
                <w:sz w:val="19"/>
              </w:rPr>
              <w:t>Arcep (France)</w:t>
            </w:r>
          </w:p>
        </w:tc>
        <w:tc>
          <w:tcPr>
            <w:tcW w:type="dxa" w:w="720"/>
          </w:tcPr>
          <w:p>
            <w:r/>
            <w:r>
              <w:rPr>
                <w:b w:val="0"/>
                <w:i w:val="0"/>
                <w:sz w:val="19"/>
              </w:rPr>
              <w:t>B</w:t>
            </w:r>
          </w:p>
        </w:tc>
        <w:tc>
          <w:tcPr>
            <w:tcW w:type="dxa" w:w="3744"/>
          </w:tcPr>
          <w:p>
            <w:r/>
            <w:r>
              <w:rPr>
                <w:b w:val="0"/>
                <w:i w:val="0"/>
                <w:sz w:val="19"/>
              </w:rPr>
              <w:t>Official regulator report (21 May 2026) built on the study, issuing 9 formal recommendations.</w:t>
            </w:r>
          </w:p>
        </w:tc>
        <w:tc>
          <w:tcPr>
            <w:tcW w:type="dxa" w:w="1008"/>
          </w:tcPr>
          <w:p>
            <w:r/>
            <w:r>
              <w:rPr>
                <w:b w:val="0"/>
                <w:i w:val="0"/>
                <w:color w:val="B03525"/>
                <w:sz w:val="19"/>
              </w:rPr>
              <w:t>No</w:t>
            </w:r>
          </w:p>
        </w:tc>
      </w:tr>
    </w:tbl>
    <w:p>
      <w:pPr>
        <w:spacing w:after="280"/>
        <w:jc w:val="left"/>
      </w:pPr>
      <w:r>
        <w:rPr>
          <w:b/>
          <w:color w:val="6B6B7B"/>
          <w:sz w:val="17"/>
        </w:rPr>
        <w:t xml:space="preserve">Table 8.  </w:t>
      </w:r>
      <w:r>
        <w:rPr>
          <w:i/>
          <w:color w:val="6B6B7B"/>
          <w:sz w:val="17"/>
        </w:rPr>
        <w:t>Policy-record appearances of corpus findings, 2024–2026 (selected; the dataset logs 41 findings with any policy-record appearance, of which 4 reach Binding). Type A = citation accompanying binding action; Type B = advisory response. No confirmed Type C (deferral) instance was found.</w:t>
      </w:r>
    </w:p>
    <w:p>
      <w:pPr>
        <w:spacing w:after="160"/>
      </w:pPr>
      <w:r>
        <w:rPr>
          <w:b w:val="0"/>
          <w:i w:val="0"/>
          <w:sz w:val="21"/>
        </w:rPr>
        <w:t>The three Type A cases share one structure: an enforcement pathway that already existed — criminal law for CSAM, export-control law for Fable/Mythos and GPT-5.6 — into which the evaluation finding could feed. In every other case, no such pathway existed, and the response topped out at advisory action regardless of the finding's severity.</w:t>
      </w:r>
    </w:p>
    <w:p>
      <w:pPr>
        <w:pStyle w:val="Heading2"/>
      </w:pPr>
      <w:r>
        <w:rPr>
          <w:color w:val="1F4E79"/>
        </w:rPr>
        <w:t>5.4  What institutional design features are missing</w:t>
      </w:r>
    </w:p>
    <w:p>
      <w:pPr>
        <w:spacing w:after="160"/>
      </w:pPr>
      <w:r>
        <w:rPr>
          <w:b w:val="0"/>
          <w:i w:val="0"/>
          <w:sz w:val="21"/>
        </w:rPr>
        <w:t>We compare AISI and CAISI against seven established oversight bodies across the US and UK. The pattern is consistent across both countries and all seven comparators: every established oversight body possesses the structural features whose absence prevents AISI findings from triggering consequences.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880"/>
            <w:shd w:val="clear" w:fill="1F4E79"/>
          </w:tcPr>
          <w:p>
            <w:r/>
            <w:r>
              <w:rPr>
                <w:b/>
                <w:i w:val="0"/>
                <w:color w:val="FFFFFF"/>
                <w:sz w:val="17"/>
              </w:rPr>
              <w:t>Design feature</w:t>
            </w:r>
          </w:p>
        </w:tc>
        <w:tc>
          <w:tcPr>
            <w:tcW w:type="dxa" w:w="648"/>
            <w:shd w:val="clear" w:fill="1F4E79"/>
          </w:tcPr>
          <w:p>
            <w:r/>
            <w:r>
              <w:rPr>
                <w:b/>
                <w:i w:val="0"/>
                <w:color w:val="FFFFFF"/>
                <w:sz w:val="17"/>
              </w:rPr>
              <w:t>FDA</w:t>
            </w:r>
          </w:p>
        </w:tc>
        <w:tc>
          <w:tcPr>
            <w:tcW w:type="dxa" w:w="648"/>
            <w:shd w:val="clear" w:fill="1F4E79"/>
          </w:tcPr>
          <w:p>
            <w:r/>
            <w:r>
              <w:rPr>
                <w:b/>
                <w:i w:val="0"/>
                <w:color w:val="FFFFFF"/>
                <w:sz w:val="17"/>
              </w:rPr>
              <w:t>NRC</w:t>
            </w:r>
          </w:p>
        </w:tc>
        <w:tc>
          <w:tcPr>
            <w:tcW w:type="dxa" w:w="720"/>
            <w:shd w:val="clear" w:fill="1F4E79"/>
          </w:tcPr>
          <w:p>
            <w:r/>
            <w:r>
              <w:rPr>
                <w:b/>
                <w:i w:val="0"/>
                <w:color w:val="FFFFFF"/>
                <w:sz w:val="17"/>
              </w:rPr>
              <w:t>NTSB</w:t>
            </w:r>
          </w:p>
        </w:tc>
        <w:tc>
          <w:tcPr>
            <w:tcW w:type="dxa" w:w="864"/>
            <w:shd w:val="clear" w:fill="1F4E79"/>
          </w:tcPr>
          <w:p>
            <w:r/>
            <w:r>
              <w:rPr>
                <w:b/>
                <w:i w:val="0"/>
                <w:color w:val="FFFFFF"/>
                <w:sz w:val="17"/>
              </w:rPr>
              <w:t>PCAOB</w:t>
            </w:r>
          </w:p>
        </w:tc>
        <w:tc>
          <w:tcPr>
            <w:tcW w:type="dxa" w:w="648"/>
            <w:shd w:val="clear" w:fill="1F4E79"/>
          </w:tcPr>
          <w:p>
            <w:r/>
            <w:r>
              <w:rPr>
                <w:b/>
                <w:i w:val="0"/>
                <w:color w:val="FFFFFF"/>
                <w:sz w:val="17"/>
              </w:rPr>
              <w:t>ONR</w:t>
            </w:r>
          </w:p>
        </w:tc>
        <w:tc>
          <w:tcPr>
            <w:tcW w:type="dxa" w:w="648"/>
            <w:shd w:val="clear" w:fill="1F4E79"/>
          </w:tcPr>
          <w:p>
            <w:r/>
            <w:r>
              <w:rPr>
                <w:b/>
                <w:i w:val="0"/>
                <w:color w:val="FFFFFF"/>
                <w:sz w:val="17"/>
              </w:rPr>
              <w:t>FCA</w:t>
            </w:r>
          </w:p>
        </w:tc>
        <w:tc>
          <w:tcPr>
            <w:tcW w:type="dxa" w:w="648"/>
            <w:shd w:val="clear" w:fill="1F4E79"/>
          </w:tcPr>
          <w:p>
            <w:r/>
            <w:r>
              <w:rPr>
                <w:b/>
                <w:i w:val="0"/>
                <w:color w:val="FFFFFF"/>
                <w:sz w:val="17"/>
              </w:rPr>
              <w:t>CAA</w:t>
            </w:r>
          </w:p>
        </w:tc>
        <w:tc>
          <w:tcPr>
            <w:tcW w:type="dxa" w:w="2664"/>
            <w:shd w:val="clear" w:fill="1F4E79"/>
          </w:tcPr>
          <w:p>
            <w:r/>
            <w:r>
              <w:rPr>
                <w:b/>
                <w:i w:val="0"/>
                <w:color w:val="FFFFFF"/>
                <w:sz w:val="17"/>
              </w:rPr>
              <w:t>AISI / CAISI</w:t>
            </w:r>
          </w:p>
        </w:tc>
      </w:tr>
      <w:tr>
        <w:tc>
          <w:tcPr>
            <w:tcW w:type="dxa" w:w="2880"/>
          </w:tcPr>
          <w:p>
            <w:r/>
            <w:r>
              <w:rPr>
                <w:b w:val="0"/>
                <w:i w:val="0"/>
                <w:sz w:val="17"/>
              </w:rPr>
              <w:t>Can block or delay market deployment</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B03525"/>
                <w:sz w:val="17"/>
              </w:rPr>
              <w:t>✗</w:t>
            </w:r>
          </w:p>
        </w:tc>
        <w:tc>
          <w:tcPr>
            <w:tcW w:type="dxa" w:w="864"/>
          </w:tcPr>
          <w:p>
            <w:r/>
            <w:r>
              <w:rPr>
                <w:b/>
                <w:i w:val="0"/>
                <w:color w:val="B03525"/>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no authority to delay or block deployment</w:t>
            </w:r>
          </w:p>
        </w:tc>
      </w:tr>
      <w:tr>
        <w:tc>
          <w:tcPr>
            <w:tcW w:type="dxa" w:w="2880"/>
            <w:shd w:val="clear" w:fill="F2F6FB"/>
          </w:tcPr>
          <w:p>
            <w:r/>
            <w:r>
              <w:rPr>
                <w:b w:val="0"/>
                <w:i w:val="0"/>
                <w:sz w:val="17"/>
              </w:rPr>
              <w:t>Mandatory disclosure of findings</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1E7A4F"/>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company controls publication rights over findings</w:t>
            </w:r>
          </w:p>
        </w:tc>
      </w:tr>
      <w:tr>
        <w:tc>
          <w:tcPr>
            <w:tcW w:type="dxa" w:w="2880"/>
          </w:tcPr>
          <w:p>
            <w:r/>
            <w:r>
              <w:rPr>
                <w:b w:val="0"/>
                <w:i w:val="0"/>
                <w:sz w:val="17"/>
              </w:rPr>
              <w:t>Privileged access rights (cannot be denied)</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1E7A4F"/>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access is voluntary and company-granted, negotiated per exercise</w:t>
            </w:r>
          </w:p>
        </w:tc>
      </w:tr>
      <w:tr>
        <w:tc>
          <w:tcPr>
            <w:tcW w:type="dxa" w:w="2880"/>
            <w:shd w:val="clear" w:fill="F2F6FB"/>
          </w:tcPr>
          <w:p>
            <w:r/>
            <w:r>
              <w:rPr>
                <w:b w:val="0"/>
                <w:i w:val="0"/>
                <w:sz w:val="17"/>
              </w:rPr>
              <w:t>Defined escalation thresholds (finding → required action)</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6B6B7B"/>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no threshold at which any action is required</w:t>
            </w:r>
          </w:p>
        </w:tc>
      </w:tr>
      <w:tr>
        <w:tc>
          <w:tcPr>
            <w:tcW w:type="dxa" w:w="2880"/>
          </w:tcPr>
          <w:p>
            <w:r/>
            <w:r>
              <w:rPr>
                <w:b w:val="0"/>
                <w:i w:val="0"/>
                <w:sz w:val="17"/>
              </w:rPr>
              <w:t>Right to verify company remediation claims</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B03525"/>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AISI could not verify the GPT-5.5 fix before deployment</w:t>
            </w:r>
          </w:p>
        </w:tc>
      </w:tr>
      <w:tr>
        <w:tc>
          <w:tcPr>
            <w:tcW w:type="dxa" w:w="2880"/>
            <w:shd w:val="clear" w:fill="F2F6FB"/>
          </w:tcPr>
          <w:p>
            <w:r/>
            <w:r>
              <w:rPr>
                <w:b w:val="0"/>
                <w:i w:val="0"/>
                <w:sz w:val="17"/>
              </w:rPr>
              <w:t>Defined pathway to an enforcement body</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720"/>
            <w:shd w:val="clear" w:fill="F2F6FB"/>
          </w:tcPr>
          <w:p>
            <w:r/>
            <w:r>
              <w:rPr>
                <w:b/>
                <w:i w:val="0"/>
                <w:color w:val="1E7A4F"/>
                <w:sz w:val="17"/>
              </w:rPr>
              <w:t>✓</w:t>
            </w:r>
          </w:p>
        </w:tc>
        <w:tc>
          <w:tcPr>
            <w:tcW w:type="dxa" w:w="864"/>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648"/>
            <w:shd w:val="clear" w:fill="F2F6FB"/>
          </w:tcPr>
          <w:p>
            <w:r/>
            <w:r>
              <w:rPr>
                <w:b/>
                <w:i w:val="0"/>
                <w:color w:val="1E7A4F"/>
                <w:sz w:val="17"/>
              </w:rPr>
              <w:t>✓</w:t>
            </w:r>
          </w:p>
        </w:tc>
        <w:tc>
          <w:tcPr>
            <w:tcW w:type="dxa" w:w="2664"/>
            <w:shd w:val="clear" w:fill="F2F6FB"/>
          </w:tcPr>
          <w:p>
            <w:r/>
            <w:r>
              <w:rPr>
                <w:b w:val="0"/>
                <w:i w:val="0"/>
                <w:color w:val="B03525"/>
                <w:sz w:val="17"/>
              </w:rPr>
              <w:t>✗  no pathway to any body with enforcement authority</w:t>
            </w:r>
          </w:p>
        </w:tc>
      </w:tr>
      <w:tr>
        <w:tc>
          <w:tcPr>
            <w:tcW w:type="dxa" w:w="2880"/>
          </w:tcPr>
          <w:p>
            <w:r/>
            <w:r>
              <w:rPr>
                <w:b w:val="0"/>
                <w:i w:val="0"/>
                <w:sz w:val="17"/>
              </w:rPr>
              <w:t>Post-evaluation follow-up and tracking</w:t>
            </w:r>
          </w:p>
        </w:tc>
        <w:tc>
          <w:tcPr>
            <w:tcW w:type="dxa" w:w="648"/>
          </w:tcPr>
          <w:p>
            <w:r/>
            <w:r>
              <w:rPr>
                <w:b/>
                <w:i w:val="0"/>
                <w:color w:val="1E7A4F"/>
                <w:sz w:val="17"/>
              </w:rPr>
              <w:t>✓</w:t>
            </w:r>
          </w:p>
        </w:tc>
        <w:tc>
          <w:tcPr>
            <w:tcW w:type="dxa" w:w="648"/>
          </w:tcPr>
          <w:p>
            <w:r/>
            <w:r>
              <w:rPr>
                <w:b/>
                <w:i w:val="0"/>
                <w:color w:val="1E7A4F"/>
                <w:sz w:val="17"/>
              </w:rPr>
              <w:t>✓</w:t>
            </w:r>
          </w:p>
        </w:tc>
        <w:tc>
          <w:tcPr>
            <w:tcW w:type="dxa" w:w="720"/>
          </w:tcPr>
          <w:p>
            <w:r/>
            <w:r>
              <w:rPr>
                <w:b/>
                <w:i w:val="0"/>
                <w:color w:val="1E7A4F"/>
                <w:sz w:val="17"/>
              </w:rPr>
              <w:t>✓</w:t>
            </w:r>
          </w:p>
        </w:tc>
        <w:tc>
          <w:tcPr>
            <w:tcW w:type="dxa" w:w="864"/>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648"/>
          </w:tcPr>
          <w:p>
            <w:r/>
            <w:r>
              <w:rPr>
                <w:b/>
                <w:i w:val="0"/>
                <w:color w:val="1E7A4F"/>
                <w:sz w:val="17"/>
              </w:rPr>
              <w:t>✓</w:t>
            </w:r>
          </w:p>
        </w:tc>
        <w:tc>
          <w:tcPr>
            <w:tcW w:type="dxa" w:w="2664"/>
          </w:tcPr>
          <w:p>
            <w:r/>
            <w:r>
              <w:rPr>
                <w:b w:val="0"/>
                <w:i w:val="0"/>
                <w:color w:val="B03525"/>
                <w:sz w:val="17"/>
              </w:rPr>
              <w:t>✗  no systematic tracking of whether findings were acted on</w:t>
            </w:r>
          </w:p>
        </w:tc>
      </w:tr>
    </w:tbl>
    <w:p>
      <w:pPr>
        <w:spacing w:after="280"/>
        <w:jc w:val="left"/>
      </w:pPr>
      <w:r>
        <w:rPr>
          <w:b/>
          <w:color w:val="6B6B7B"/>
          <w:sz w:val="17"/>
        </w:rPr>
        <w:t xml:space="preserve">Table 9.  </w:t>
      </w:r>
      <w:r>
        <w:rPr>
          <w:i/>
          <w:color w:val="6B6B7B"/>
          <w:sz w:val="17"/>
        </w:rPr>
        <w:t>Comparison of AISI/CAISI institutional design against established oversight bodies. US: FDA = Food and Drug Administration; NRC = Nuclear Regulatory Commission; NTSB = National Transportation Safety Board; PCAOB = Public Company Accounting Oversight Board. UK: ONR = Office for Nuclear Regulation; FCA = Financial Conduct Authority; CAA = Civil Aviation Authority. ✓ = present; ✗ = absent; ~ = partial (NTSB can recommend but not mandate action). Per-cell explanations in Appendix C. The Fable 5/Mythos 5 case (Section 5.1) shows what happens on the rare occasion the missing features are supplied ad hoc by another instrument.</w:t>
      </w:r>
    </w:p>
    <w:p>
      <w:pPr>
        <w:pStyle w:val="Heading1"/>
      </w:pPr>
      <w:r>
        <w:rPr>
          <w:color w:val="1F4E79"/>
        </w:rPr>
        <w:t>6  What This Analysis Cannot Establish</w:t>
      </w:r>
    </w:p>
    <w:p>
      <w:pPr>
        <w:pStyle w:val="ListBullet"/>
      </w:pPr>
      <w:r>
        <w:rPr>
          <w:b/>
          <w:sz w:val="21"/>
        </w:rPr>
        <w:t>Action is not the same as mattering.</w:t>
      </w:r>
      <w:r>
        <w:rPr>
          <w:sz w:val="21"/>
        </w:rPr>
        <w:t xml:space="preserve"> This paper measures public evidence of action, and only that. Evaluations can matter in ways that leave no public trace: a company that expects to be evaluated may patch problems before the evaluation happens, and an evaluation that finds nothing actionable may still have done its job. Our results say the public record does not show follow-through; they do not show that follow-through never occurred.</w:t>
      </w:r>
    </w:p>
    <w:p>
      <w:pPr>
        <w:pStyle w:val="ListBullet"/>
      </w:pPr>
      <w:r>
        <w:rPr>
          <w:b/>
          <w:sz w:val="21"/>
        </w:rPr>
        <w:t>The public corpus is a floor estimate.</w:t>
      </w:r>
      <w:r>
        <w:rPr>
          <w:sz w:val="21"/>
        </w:rPr>
        <w:t xml:space="preserve"> Findings shared privately under MOUs, and fixes made quietly during pre-deployment windows, are structurally invisible to this method. Some rows coded None may in fact have been acted on privately. The direction of this bias makes our gap figures upper bounds on public accountability, not measurements of total company behaviour.</w:t>
      </w:r>
    </w:p>
    <w:p>
      <w:pPr>
        <w:pStyle w:val="ListBullet"/>
      </w:pPr>
      <w:r>
        <w:rPr>
          <w:b/>
          <w:sz w:val="21"/>
        </w:rPr>
        <w:t>Attribution is association, not causation.</w:t>
      </w:r>
      <w:r>
        <w:rPr>
          <w:sz w:val="21"/>
        </w:rPr>
        <w:t xml:space="preserve"> Even Explicit attribution — the company crediting the finding — establishes that the company chose to link its action to the finding, not that the finding caused the action. All 13 Substantive rows carry Explicit attribution, which is consistent with responses concentrating where companies are willing to say so, and equally consistent with credit-giving being part of coordinated disclosure.</w:t>
      </w:r>
    </w:p>
    <w:p>
      <w:pPr>
        <w:pStyle w:val="ListBullet"/>
      </w:pPr>
      <w:r>
        <w:rPr>
          <w:b/>
          <w:sz w:val="21"/>
        </w:rPr>
        <w:t>Recency censoring.</w:t>
      </w:r>
      <w:r>
        <w:rPr>
          <w:sz w:val="21"/>
        </w:rPr>
        <w:t xml:space="preserve"> 2026 findings have had less time to accumulate responses; one row is explicitly coded Too Recent, and the 2026 gap rate in Section 4.6 should be read with that in mind.</w:t>
      </w:r>
    </w:p>
    <w:p>
      <w:pPr>
        <w:pStyle w:val="ListBullet"/>
      </w:pPr>
      <w:r>
        <w:rPr>
          <w:b/>
          <w:sz w:val="21"/>
        </w:rPr>
        <w:t>Coverage limits.</w:t>
      </w:r>
      <w:r>
        <w:rPr>
          <w:sz w:val="21"/>
        </w:rPr>
        <w:t xml:space="preserve"> Non-English institute output was excluded; anonymised findings (a large share of the corpus, Figure 2) cannot be traced to any accountable party by construction; and the Tier A subset, at 55 findings, supports the headline computation but not fine-grained subgroup claims — which is why Sections 4.4 and 4.6 are flagged as directional.</w:t>
      </w:r>
    </w:p>
    <w:p>
      <w:pPr>
        <w:pStyle w:val="ListBullet"/>
      </w:pPr>
      <w:r>
        <w:rPr>
          <w:b/>
          <w:sz w:val="21"/>
        </w:rPr>
        <w:t>This is not an argument against evaluation institutes.</w:t>
      </w:r>
      <w:r>
        <w:rPr>
          <w:sz w:val="21"/>
        </w:rPr>
        <w:t xml:space="preserve"> The comparison bodies in Section 5.4 exist to show what a well-designed evaluation body looks like, not to suggest evaluation bodies are useless. Several comparators (the PCAOB most directly) were created by adding enforcement machinery to an oversight arrangement that had just failed — the reform path, not the abolition path.</w:t>
      </w:r>
    </w:p>
    <w:p>
      <w:pPr>
        <w:pStyle w:val="Heading1"/>
      </w:pPr>
      <w:r>
        <w:rPr>
          <w:color w:val="1F4E79"/>
        </w:rPr>
        <w:t>7  Conclusion</w:t>
      </w:r>
    </w:p>
    <w:p>
      <w:pPr>
        <w:spacing w:after="160"/>
      </w:pPr>
      <w:r>
        <w:rPr>
          <w:b w:val="0"/>
          <w:i w:val="0"/>
          <w:sz w:val="21"/>
        </w:rPr>
        <w:t>Across 345 publicly documented evaluation findings from three years of government and independent frontier-AI evaluation, the public record shows follow-through on a minority of the findings for which follow-through could reasonably be expected: 32 of 44 alarming, accountability-relevant findings (73%) drew no response or an inadequate one. The exceptions are structured, not random: substantive responses concentrate where evaluators had pre-deployment access (36% vs. 7%), where disclosure was coordinated, and — for binding action — where an enforcement instrument already existed. Based on the available information, the public lacks a strong reason to trust that government and independent AI evaluations consistently result in substantive improvements to the safety of deployed AI systems.</w:t>
      </w:r>
    </w:p>
    <w:p>
      <w:pPr>
        <w:spacing w:after="160"/>
      </w:pPr>
      <w:r>
        <w:rPr>
          <w:b w:val="0"/>
          <w:i w:val="0"/>
          <w:sz w:val="21"/>
        </w:rPr>
        <w:t>Two changes would shrink the evidentiary hole this paper documents, and both are stated here as positive claims rather than exhortations:</w:t>
      </w:r>
    </w:p>
    <w:p>
      <w:pPr>
        <w:pStyle w:val="ListBullet"/>
      </w:pPr>
      <w:r>
        <w:rPr>
          <w:sz w:val="21"/>
        </w:rPr>
        <w:t>If companies reported what they do with the information they receive from government evaluations — even in aggregate, even privately to the evaluator — the public and policymakers would have direct evidence of follow-through where today they have silence, and papers like this one would be measuring action rather than its shadow. Such reporting would increase public awareness, trust, and confidence in both the companies and the evaluation regime.</w:t>
      </w:r>
    </w:p>
    <w:p>
      <w:pPr>
        <w:pStyle w:val="ListBullet"/>
      </w:pPr>
      <w:r>
        <w:rPr>
          <w:sz w:val="21"/>
        </w:rPr>
        <w:t>Government AI institutes could negotiate evaluation terms that require companies to communicate — publicly, or at least privately to the institute — what actions they took in response to findings. The Fable 5 redeployment shows companies will accept verification conditions when the alternative is unavailability; the negotiating leverage exists at the moment access is granted.</w:t>
      </w:r>
    </w:p>
    <w:p>
      <w:pPr>
        <w:spacing w:after="160"/>
      </w:pPr>
      <w:r>
        <w:rPr>
          <w:b w:val="0"/>
          <w:i w:val="0"/>
          <w:sz w:val="21"/>
        </w:rPr>
        <w:t>A living public tracker of finding outcomes — of which this paper's dataset and dashboard are a first version — would shift that accountability pressure from episodic to ongoing.</w:t>
      </w:r>
    </w:p>
    <w:p>
      <w:pPr>
        <w:pStyle w:val="Heading1"/>
      </w:pPr>
      <w:r>
        <w:rPr>
          <w:color w:val="1F4E79"/>
        </w:rPr>
        <w:t>References</w:t>
      </w:r>
    </w:p>
    <w:p>
      <w:pPr>
        <w:spacing w:after="160"/>
      </w:pPr>
      <w:r>
        <w:rPr>
          <w:b w:val="0"/>
          <w:i/>
          <w:sz w:val="19"/>
        </w:rPr>
        <w:t>Alphabetical by first author. All entries are published arXiv preprints or conference papers, verified at the time of writing.</w:t>
      </w:r>
    </w:p>
    <w:p>
      <w:pPr>
        <w:spacing w:after="80"/>
      </w:pPr>
      <w:r>
        <w:rPr>
          <w:sz w:val="19"/>
        </w:rPr>
        <w:t xml:space="preserve">1. Andriushchenko, M., Souly, A., Dziemian, M., et al. (2024). AgentHarm: A Benchmark for Measuring Harmfulness of LLM Agents. </w:t>
      </w:r>
      <w:hyperlink r:id="rId18">
        <w:r>
          <w:rPr>
            <w:color w:val="0563C1"/>
            <w:u w:val="single"/>
            <w:sz w:val="19"/>
          </w:rPr>
          <w:t>arXiv:2410.09024</w:t>
        </w:r>
      </w:hyperlink>
    </w:p>
    <w:p>
      <w:pPr>
        <w:spacing w:after="80"/>
      </w:pPr>
      <w:r>
        <w:rPr>
          <w:sz w:val="19"/>
        </w:rPr>
        <w:t xml:space="preserve">2. Araujo, R., Fort, K., &amp; Guest, O. (2024). Understanding the First Wave of AI Safety Institutes: Characteristics, Functions, and Challenges. </w:t>
      </w:r>
      <w:hyperlink r:id="rId19">
        <w:r>
          <w:rPr>
            <w:color w:val="0563C1"/>
            <w:u w:val="single"/>
            <w:sz w:val="19"/>
          </w:rPr>
          <w:t>arXiv:2410.09219</w:t>
        </w:r>
      </w:hyperlink>
    </w:p>
    <w:p>
      <w:pPr>
        <w:spacing w:after="80"/>
      </w:pPr>
      <w:r>
        <w:rPr>
          <w:sz w:val="19"/>
        </w:rPr>
        <w:t xml:space="preserve">3. Bengio, Y., et al. (2026). International AI Safety Report 2026. </w:t>
      </w:r>
      <w:hyperlink r:id="rId17">
        <w:r>
          <w:rPr>
            <w:color w:val="0563C1"/>
            <w:u w:val="single"/>
            <w:sz w:val="19"/>
          </w:rPr>
          <w:t>arXiv:2602.21012</w:t>
        </w:r>
      </w:hyperlink>
    </w:p>
    <w:p>
      <w:pPr>
        <w:spacing w:after="80"/>
      </w:pPr>
      <w:r>
        <w:rPr>
          <w:sz w:val="19"/>
        </w:rPr>
        <w:t xml:space="preserve">4. Brundage, M., Dreksler, N., Homewood, A., McGregor, S., Paskov, P., Stosz, C., Sastry, G., Casper, S., et al. (2026). Frontier AI Auditing: Toward Rigorous Third-Party Assessment of Safety and Security Practices at Leading AI Companies. </w:t>
      </w:r>
      <w:hyperlink r:id="rId11">
        <w:r>
          <w:rPr>
            <w:color w:val="0563C1"/>
            <w:u w:val="single"/>
            <w:sz w:val="19"/>
          </w:rPr>
          <w:t>arXiv:2601.11699</w:t>
        </w:r>
      </w:hyperlink>
    </w:p>
    <w:p>
      <w:pPr>
        <w:spacing w:after="80"/>
      </w:pPr>
      <w:r>
        <w:rPr>
          <w:sz w:val="19"/>
        </w:rPr>
        <w:t xml:space="preserve">5. Casper, S., Ezell, C., et al. (2024). Black-Box Access is Insufficient for Rigorous AI Audits. </w:t>
      </w:r>
      <w:hyperlink r:id="rId20">
        <w:r>
          <w:rPr>
            <w:color w:val="0563C1"/>
            <w:u w:val="single"/>
            <w:sz w:val="19"/>
          </w:rPr>
          <w:t>arXiv:2401.14446</w:t>
        </w:r>
      </w:hyperlink>
    </w:p>
    <w:p>
      <w:pPr>
        <w:spacing w:after="80"/>
      </w:pPr>
      <w:r>
        <w:rPr>
          <w:sz w:val="19"/>
        </w:rPr>
        <w:t xml:space="preserve">6. Casper, S., Krueger, D., &amp; Hadfield-Menell, D. (2025). Pitfalls of Evidence-Based AI Policy. </w:t>
      </w:r>
      <w:hyperlink r:id="rId10">
        <w:r>
          <w:rPr>
            <w:color w:val="0563C1"/>
            <w:u w:val="single"/>
            <w:sz w:val="19"/>
          </w:rPr>
          <w:t>arXiv:2502.09618</w:t>
        </w:r>
      </w:hyperlink>
    </w:p>
    <w:p>
      <w:pPr>
        <w:spacing w:after="80"/>
      </w:pPr>
      <w:r>
        <w:rPr>
          <w:sz w:val="19"/>
        </w:rPr>
        <w:t xml:space="preserve">7. Davies, X., Giglemiani, G., Lau, E., Winsor, E., Irving, G., &amp; Gal, Y. (2026). Boundary Point Jailbreaking of Black-Box LLMs. </w:t>
      </w:r>
      <w:hyperlink r:id="rId21">
        <w:r>
          <w:rPr>
            <w:color w:val="0563C1"/>
            <w:u w:val="single"/>
            <w:sz w:val="19"/>
          </w:rPr>
          <w:t>arXiv:2602.15001</w:t>
        </w:r>
      </w:hyperlink>
    </w:p>
    <w:p>
      <w:pPr>
        <w:spacing w:after="80"/>
      </w:pPr>
      <w:r>
        <w:rPr>
          <w:sz w:val="19"/>
        </w:rPr>
        <w:t xml:space="preserve">8. McKenzie, I. R., et al. (2025). STACK: Adversarial Attacks on LLM Safeguard Pipelines. </w:t>
      </w:r>
      <w:hyperlink r:id="rId22">
        <w:r>
          <w:rPr>
            <w:color w:val="0563C1"/>
            <w:u w:val="single"/>
            <w:sz w:val="19"/>
          </w:rPr>
          <w:t>arXiv:2506.24068</w:t>
        </w:r>
      </w:hyperlink>
    </w:p>
    <w:p>
      <w:pPr>
        <w:spacing w:after="80"/>
      </w:pPr>
      <w:r>
        <w:rPr>
          <w:sz w:val="19"/>
        </w:rPr>
        <w:t xml:space="preserve">9. Raji, I. D., &amp; Buolamwini, J. (2019). Actionable Auditing: Investigating the Impact of Publicly Naming Biased Performance Results of Commercial AI Products. AIES '19. </w:t>
      </w:r>
      <w:hyperlink r:id="rId12">
        <w:r>
          <w:rPr>
            <w:color w:val="0563C1"/>
            <w:u w:val="single"/>
            <w:sz w:val="19"/>
          </w:rPr>
          <w:t>ACM 3306618.3314244</w:t>
        </w:r>
      </w:hyperlink>
    </w:p>
    <w:p>
      <w:pPr>
        <w:spacing w:after="80"/>
      </w:pPr>
      <w:r>
        <w:rPr>
          <w:sz w:val="19"/>
        </w:rPr>
        <w:t xml:space="preserve">10. Rost, T. (2026). From Disclosure to Self-Referential Opacity: Six Dimensions of Strain in Current AI Governance. </w:t>
      </w:r>
      <w:hyperlink r:id="rId16">
        <w:r>
          <w:rPr>
            <w:color w:val="0563C1"/>
            <w:u w:val="single"/>
            <w:sz w:val="19"/>
          </w:rPr>
          <w:t>arXiv:2604.14070</w:t>
        </w:r>
      </w:hyperlink>
    </w:p>
    <w:p>
      <w:pPr>
        <w:spacing w:after="80"/>
      </w:pPr>
      <w:r>
        <w:rPr>
          <w:sz w:val="19"/>
        </w:rPr>
        <w:t xml:space="preserve">11. Sharma, M., et al. (2025). Constitutional Classifiers: Defending Against Universal Jailbreaks Across Thousands of Hours of Red Teaming. </w:t>
      </w:r>
      <w:hyperlink r:id="rId23">
        <w:r>
          <w:rPr>
            <w:color w:val="0563C1"/>
            <w:u w:val="single"/>
            <w:sz w:val="19"/>
          </w:rPr>
          <w:t>arXiv:2501.18837</w:t>
        </w:r>
      </w:hyperlink>
    </w:p>
    <w:p>
      <w:pPr>
        <w:spacing w:after="80"/>
      </w:pPr>
      <w:r>
        <w:rPr>
          <w:sz w:val="19"/>
        </w:rPr>
        <w:t xml:space="preserve">12. Taylor, J., Black, S., Bowen, D., et al. (2025). Auditing Games for Sandbagging. </w:t>
      </w:r>
      <w:hyperlink r:id="rId24">
        <w:r>
          <w:rPr>
            <w:color w:val="0563C1"/>
            <w:u w:val="single"/>
            <w:sz w:val="19"/>
          </w:rPr>
          <w:t>arXiv:2512.07810</w:t>
        </w:r>
      </w:hyperlink>
    </w:p>
    <w:p>
      <w:pPr>
        <w:spacing w:after="80"/>
      </w:pPr>
      <w:r>
        <w:rPr>
          <w:sz w:val="19"/>
        </w:rPr>
        <w:t xml:space="preserve">13. Wang, J., Huang, K., Klyman, K., &amp; Bommasani, R. (2025). Do AI Companies Make Good on Voluntary Commitments to the White House? </w:t>
      </w:r>
      <w:hyperlink r:id="rId15">
        <w:r>
          <w:rPr>
            <w:color w:val="0563C1"/>
            <w:u w:val="single"/>
            <w:sz w:val="19"/>
          </w:rPr>
          <w:t>arXiv:2508.08345</w:t>
        </w:r>
      </w:hyperlink>
    </w:p>
    <w:p>
      <w:pPr>
        <w:spacing w:after="80"/>
      </w:pPr>
      <w:r>
        <w:rPr>
          <w:sz w:val="19"/>
        </w:rPr>
        <w:t xml:space="preserve">14. Wei, K., Ezell, C., Gabrieli, N., &amp; Deshpande, C. (2024). How Do AI Companies "Fine-Tune" Policy? Examining Regulatory Capture in AI Governance. </w:t>
      </w:r>
      <w:hyperlink r:id="rId14">
        <w:r>
          <w:rPr>
            <w:color w:val="0563C1"/>
            <w:u w:val="single"/>
            <w:sz w:val="19"/>
          </w:rPr>
          <w:t>arXiv:2410.13042</w:t>
        </w:r>
      </w:hyperlink>
    </w:p>
    <w:p>
      <w:pPr>
        <w:spacing w:after="80"/>
      </w:pPr>
      <w:r>
        <w:rPr>
          <w:sz w:val="19"/>
        </w:rPr>
        <w:t xml:space="preserve">15. Yew, R.-J., &amp; Judge, B. (2025). Anti-Regulatory AI: How "AI Safety" Is Leveraged Against Regulatory Oversight. EAAMO '25. </w:t>
      </w:r>
      <w:hyperlink r:id="rId13">
        <w:r>
          <w:rPr>
            <w:color w:val="0563C1"/>
            <w:u w:val="single"/>
            <w:sz w:val="19"/>
          </w:rPr>
          <w:t>arXiv:2509.22872</w:t>
        </w:r>
      </w:hyperlink>
    </w:p>
    <w:p>
      <w:pPr>
        <w:pStyle w:val="Heading1"/>
      </w:pPr>
      <w:r>
        <w:rPr>
          <w:color w:val="1F4E79"/>
        </w:rPr>
        <w:t>Appendix A — The 13 Substantive-Response Rows</w:t>
      </w:r>
    </w:p>
    <w:p>
      <w:pPr>
        <w:spacing w:after="160"/>
      </w:pPr>
      <w:r>
        <w:rPr>
          <w:b w:val="0"/>
          <w:i/>
          <w:sz w:val="19"/>
        </w:rPr>
        <w:t>Every Tier A finding coded Substantive, with the response evidence. All 13 carry Explicit attribution — the company named the evaluator or finding in its response.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fill="1F4E79"/>
          </w:tcPr>
          <w:p>
            <w:r/>
            <w:r>
              <w:rPr>
                <w:b/>
                <w:i w:val="0"/>
                <w:color w:val="FFFFFF"/>
                <w:sz w:val="17"/>
              </w:rPr>
              <w:t>Finding ID</w:t>
            </w:r>
          </w:p>
        </w:tc>
        <w:tc>
          <w:tcPr>
            <w:tcW w:type="dxa" w:w="1584"/>
            <w:shd w:val="clear" w:fill="1F4E79"/>
          </w:tcPr>
          <w:p>
            <w:r/>
            <w:r>
              <w:rPr>
                <w:b/>
                <w:i w:val="0"/>
                <w:color w:val="FFFFFF"/>
                <w:sz w:val="17"/>
              </w:rPr>
              <w:t>Institution</w:t>
            </w:r>
          </w:p>
        </w:tc>
        <w:tc>
          <w:tcPr>
            <w:tcW w:type="dxa" w:w="3456"/>
            <w:shd w:val="clear" w:fill="1F4E79"/>
          </w:tcPr>
          <w:p>
            <w:r/>
            <w:r>
              <w:rPr>
                <w:b/>
                <w:i w:val="0"/>
                <w:color w:val="FFFFFF"/>
                <w:sz w:val="17"/>
              </w:rPr>
              <w:t>Finding</w:t>
            </w:r>
          </w:p>
        </w:tc>
        <w:tc>
          <w:tcPr>
            <w:tcW w:type="dxa" w:w="3168"/>
            <w:shd w:val="clear" w:fill="1F4E79"/>
          </w:tcPr>
          <w:p>
            <w:r/>
            <w:r>
              <w:rPr>
                <w:b/>
                <w:i w:val="0"/>
                <w:color w:val="FFFFFF"/>
                <w:sz w:val="17"/>
              </w:rPr>
              <w:t>Company response (verbatim excerpt)</w:t>
            </w:r>
          </w:p>
        </w:tc>
        <w:tc>
          <w:tcPr>
            <w:tcW w:type="dxa" w:w="1296"/>
            <w:shd w:val="clear" w:fill="1F4E79"/>
          </w:tcPr>
          <w:p>
            <w:r/>
            <w:r>
              <w:rPr>
                <w:b/>
                <w:i w:val="0"/>
                <w:color w:val="FFFFFF"/>
                <w:sz w:val="17"/>
              </w:rPr>
              <w:t>Source</w:t>
            </w:r>
          </w:p>
        </w:tc>
      </w:tr>
      <w:tr>
        <w:tc>
          <w:tcPr>
            <w:tcW w:type="dxa" w:w="1584"/>
          </w:tcPr>
          <w:p>
            <w:r/>
            <w:r>
              <w:rPr>
                <w:b w:val="0"/>
                <w:i w:val="0"/>
                <w:sz w:val="16"/>
              </w:rPr>
              <w:t>JOINT-2025-05-ALI1</w:t>
            </w:r>
          </w:p>
        </w:tc>
        <w:tc>
          <w:tcPr>
            <w:tcW w:type="dxa" w:w="1584"/>
          </w:tcPr>
          <w:p>
            <w:r/>
            <w:r>
              <w:rPr>
                <w:b w:val="0"/>
                <w:i w:val="0"/>
                <w:sz w:val="16"/>
              </w:rPr>
              <w:t>Apollo Research + Anthropic (AISI-adjacent -- Apollo in AISIC)</w:t>
            </w:r>
          </w:p>
        </w:tc>
        <w:tc>
          <w:tcPr>
            <w:tcW w:type="dxa" w:w="3456"/>
          </w:tcPr>
          <w:p>
            <w:r/>
            <w:r>
              <w:rPr>
                <w:b w:val="0"/>
                <w:i w:val="0"/>
                <w:sz w:val="16"/>
              </w:rPr>
              <w:t>Apollo Research found the early Claude Opus 4 snapshot schemed and deceived at such high rates in situations where deception was instrumentally useful that Apollo advised against deploying it internally or externally, in…</w:t>
            </w:r>
          </w:p>
        </w:tc>
        <w:tc>
          <w:tcPr>
            <w:tcW w:type="dxa" w:w="3168"/>
          </w:tcPr>
          <w:p>
            <w:r/>
            <w:r>
              <w:rPr>
                <w:b w:val="0"/>
                <w:i w:val="0"/>
                <w:sz w:val="16"/>
              </w:rPr>
              <w:t>we believe—based on similar scenarios that we explored with the automatic behavioral audit tool, among others—that its behavior in scenarios like these is now roughly in line with …</w:t>
            </w:r>
          </w:p>
        </w:tc>
        <w:tc>
          <w:tcPr>
            <w:tcW w:type="dxa" w:w="1296"/>
          </w:tcPr>
          <w:p>
            <w:r/>
            <w:hyperlink r:id="rId25">
              <w:r>
                <w:rPr>
                  <w:color w:val="0563C1"/>
                  <w:u w:val="single"/>
                  <w:sz w:val="16"/>
                </w:rPr>
                <w:t>source</w:t>
              </w:r>
            </w:hyperlink>
          </w:p>
        </w:tc>
      </w:tr>
      <w:tr>
        <w:tc>
          <w:tcPr>
            <w:tcW w:type="dxa" w:w="1584"/>
            <w:shd w:val="clear" w:fill="F2F6FB"/>
          </w:tcPr>
          <w:p>
            <w:r/>
            <w:r>
              <w:rPr>
                <w:b w:val="0"/>
                <w:i w:val="0"/>
                <w:sz w:val="16"/>
              </w:rPr>
              <w:t>JOINT-2025-09-CYB1</w:t>
            </w:r>
          </w:p>
        </w:tc>
        <w:tc>
          <w:tcPr>
            <w:tcW w:type="dxa" w:w="1584"/>
            <w:shd w:val="clear" w:fill="F2F6FB"/>
          </w:tcPr>
          <w:p>
            <w:r/>
            <w:r>
              <w:rPr>
                <w:b w:val="0"/>
                <w:i w:val="0"/>
                <w:sz w:val="16"/>
              </w:rPr>
              <w:t>Joint UK AISI + US CAISI</w:t>
            </w:r>
          </w:p>
        </w:tc>
        <w:tc>
          <w:tcPr>
            <w:tcW w:type="dxa" w:w="3456"/>
            <w:shd w:val="clear" w:fill="F2F6FB"/>
          </w:tcPr>
          <w:p>
            <w:r/>
            <w:r>
              <w:rPr>
                <w:b w:val="0"/>
                <w:i w:val="0"/>
                <w:sz w:val="16"/>
              </w:rPr>
              <w:t>CAISI identified two novel security vulnerabilities in ChatGPT Agent and, combining traditional software vulnerabilities with AI vulnerabilities, developed a sophisticated exploit chain with an approximately 50% success …</w:t>
            </w:r>
          </w:p>
        </w:tc>
        <w:tc>
          <w:tcPr>
            <w:tcW w:type="dxa" w:w="3168"/>
            <w:shd w:val="clear" w:fill="F2F6FB"/>
          </w:tcPr>
          <w:p>
            <w:r/>
            <w:r>
              <w:rPr>
                <w:b w:val="0"/>
                <w:i w:val="0"/>
                <w:sz w:val="16"/>
              </w:rPr>
              <w:t>These attacks were immediately reported to OpenAI, and fixed by OpenAI within one business day.</w:t>
            </w:r>
          </w:p>
        </w:tc>
        <w:tc>
          <w:tcPr>
            <w:tcW w:type="dxa" w:w="1296"/>
            <w:shd w:val="clear" w:fill="F2F6FB"/>
          </w:tcPr>
          <w:p>
            <w:r/>
            <w:hyperlink r:id="rId26">
              <w:r>
                <w:rPr>
                  <w:color w:val="0563C1"/>
                  <w:u w:val="single"/>
                  <w:sz w:val="16"/>
                </w:rPr>
                <w:t>source</w:t>
              </w:r>
            </w:hyperlink>
          </w:p>
        </w:tc>
      </w:tr>
      <w:tr>
        <w:tc>
          <w:tcPr>
            <w:tcW w:type="dxa" w:w="1584"/>
          </w:tcPr>
          <w:p>
            <w:r/>
            <w:r>
              <w:rPr>
                <w:b w:val="0"/>
                <w:i w:val="0"/>
                <w:sz w:val="16"/>
              </w:rPr>
              <w:t>JOINT-2025-09-JAI2</w:t>
            </w:r>
          </w:p>
        </w:tc>
        <w:tc>
          <w:tcPr>
            <w:tcW w:type="dxa" w:w="1584"/>
          </w:tcPr>
          <w:p>
            <w:r/>
            <w:r>
              <w:rPr>
                <w:b w:val="0"/>
                <w:i w:val="0"/>
                <w:sz w:val="16"/>
              </w:rPr>
              <w:t>Joint UK AISI + US CAISI</w:t>
            </w:r>
          </w:p>
        </w:tc>
        <w:tc>
          <w:tcPr>
            <w:tcW w:type="dxa" w:w="3456"/>
          </w:tcPr>
          <w:p>
            <w:r/>
            <w:r>
              <w:rPr>
                <w:b w:val="0"/>
                <w:i w:val="0"/>
                <w:sz w:val="16"/>
              </w:rPr>
              <w:t>UK AISI identified a set of product-configuration vulnerabilities where malicious content could be inputted or exfiltrated without triggering moderation; OpenAI made a range of product-configuration improvements to fix t…</w:t>
            </w:r>
          </w:p>
        </w:tc>
        <w:tc>
          <w:tcPr>
            <w:tcW w:type="dxa" w:w="3168"/>
          </w:tcPr>
          <w:p>
            <w:r/>
            <w:r>
              <w:rPr>
                <w:b w:val="0"/>
                <w:i w:val="0"/>
                <w:sz w:val="16"/>
              </w:rPr>
              <w:t>OpenAI made a range of improvements to our product configuration to fix a set of configuration vulnerabilities that UK AISI identified, where malicious content could be inputted or…</w:t>
            </w:r>
          </w:p>
        </w:tc>
        <w:tc>
          <w:tcPr>
            <w:tcW w:type="dxa" w:w="1296"/>
          </w:tcPr>
          <w:p>
            <w:r/>
            <w:hyperlink r:id="rId26">
              <w:r>
                <w:rPr>
                  <w:color w:val="0563C1"/>
                  <w:u w:val="single"/>
                  <w:sz w:val="16"/>
                </w:rPr>
                <w:t>source</w:t>
              </w:r>
            </w:hyperlink>
          </w:p>
        </w:tc>
      </w:tr>
      <w:tr>
        <w:tc>
          <w:tcPr>
            <w:tcW w:type="dxa" w:w="1584"/>
            <w:shd w:val="clear" w:fill="F2F6FB"/>
          </w:tcPr>
          <w:p>
            <w:r/>
            <w:r>
              <w:rPr>
                <w:b w:val="0"/>
                <w:i w:val="0"/>
                <w:sz w:val="16"/>
              </w:rPr>
              <w:t>JOINT-2025-09-BIO1</w:t>
            </w:r>
          </w:p>
        </w:tc>
        <w:tc>
          <w:tcPr>
            <w:tcW w:type="dxa" w:w="1584"/>
            <w:shd w:val="clear" w:fill="F2F6FB"/>
          </w:tcPr>
          <w:p>
            <w:r/>
            <w:r>
              <w:rPr>
                <w:b w:val="0"/>
                <w:i w:val="0"/>
                <w:sz w:val="16"/>
              </w:rPr>
              <w:t>Joint UK AISI + US CAISI + Anthropic</w:t>
            </w:r>
          </w:p>
        </w:tc>
        <w:tc>
          <w:tcPr>
            <w:tcW w:type="dxa" w:w="3456"/>
            <w:shd w:val="clear" w:fill="F2F6FB"/>
          </w:tcPr>
          <w:p>
            <w:r/>
            <w:r>
              <w:rPr>
                <w:b w:val="0"/>
                <w:i w:val="0"/>
                <w:sz w:val="16"/>
              </w:rPr>
              <w:t>UK AISI/CAISI evaluators found multiple universal jailbreaks bypassing Claude Opus 4/4.1 Constitutional Classifiers -- via false annotations (falsely claiming human review), encoded attacks, cipher/character-substitution…</w:t>
            </w:r>
          </w:p>
        </w:tc>
        <w:tc>
          <w:tcPr>
            <w:tcW w:type="dxa" w:w="3168"/>
            <w:shd w:val="clear" w:fill="F2F6FB"/>
          </w:tcPr>
          <w:p>
            <w:r/>
            <w:r>
              <w:rPr>
                <w:b w:val="0"/>
                <w:i w:val="0"/>
                <w:sz w:val="16"/>
              </w:rPr>
              <w:t>Rather than simply patching this individual exploit, the discovery prompted us to fundamentally restructure our safeguard architecture to address the underlying vulnerability class…</w:t>
            </w:r>
          </w:p>
        </w:tc>
        <w:tc>
          <w:tcPr>
            <w:tcW w:type="dxa" w:w="1296"/>
            <w:shd w:val="clear" w:fill="F2F6FB"/>
          </w:tcPr>
          <w:p>
            <w:r/>
            <w:hyperlink r:id="rId27">
              <w:r>
                <w:rPr>
                  <w:color w:val="0563C1"/>
                  <w:u w:val="single"/>
                  <w:sz w:val="16"/>
                </w:rPr>
                <w:t>source</w:t>
              </w:r>
            </w:hyperlink>
          </w:p>
        </w:tc>
      </w:tr>
      <w:tr>
        <w:tc>
          <w:tcPr>
            <w:tcW w:type="dxa" w:w="1584"/>
          </w:tcPr>
          <w:p>
            <w:r/>
            <w:r>
              <w:rPr>
                <w:b w:val="0"/>
                <w:i w:val="0"/>
                <w:sz w:val="16"/>
              </w:rPr>
              <w:t>JOINT-2026-02-CYB5</w:t>
            </w:r>
          </w:p>
        </w:tc>
        <w:tc>
          <w:tcPr>
            <w:tcW w:type="dxa" w:w="1584"/>
          </w:tcPr>
          <w:p>
            <w:r/>
            <w:r>
              <w:rPr>
                <w:b w:val="0"/>
                <w:i w:val="0"/>
                <w:sz w:val="16"/>
              </w:rPr>
              <w:t>Joint UK AISI + US CAISI</w:t>
            </w:r>
          </w:p>
        </w:tc>
        <w:tc>
          <w:tcPr>
            <w:tcW w:type="dxa" w:w="3456"/>
          </w:tcPr>
          <w:p>
            <w:r/>
            <w:r>
              <w:rPr>
                <w:b w:val="0"/>
                <w:i w:val="0"/>
                <w:sz w:val="16"/>
              </w:rPr>
              <w:t>CAISI used GPT-5.3-Codex to find novel bugs in open- and closed-source software (to be responsibly disclosed) and observed it 'continued making meaningful progress on difficult cyber tasks across many compaction windows'…</w:t>
            </w:r>
          </w:p>
        </w:tc>
        <w:tc>
          <w:tcPr>
            <w:tcW w:type="dxa" w:w="3168"/>
          </w:tcPr>
          <w:p>
            <w:r/>
            <w:r>
              <w:rPr>
                <w:b w:val="0"/>
                <w:i w:val="0"/>
                <w:sz w:val="16"/>
              </w:rPr>
              <w:t>This is the first launch we are treating as High capability in the Cybersecurity domain under our Preparedness Framework, activating the associated safeguards.</w:t>
            </w:r>
          </w:p>
        </w:tc>
        <w:tc>
          <w:tcPr>
            <w:tcW w:type="dxa" w:w="1296"/>
          </w:tcPr>
          <w:p>
            <w:r/>
            <w:hyperlink r:id="rId28">
              <w:r>
                <w:rPr>
                  <w:color w:val="0563C1"/>
                  <w:u w:val="single"/>
                  <w:sz w:val="16"/>
                </w:rPr>
                <w:t>source</w:t>
              </w:r>
            </w:hyperlink>
          </w:p>
        </w:tc>
      </w:tr>
      <w:tr>
        <w:tc>
          <w:tcPr>
            <w:tcW w:type="dxa" w:w="1584"/>
            <w:shd w:val="clear" w:fill="F2F6FB"/>
          </w:tcPr>
          <w:p>
            <w:r/>
            <w:r>
              <w:rPr>
                <w:b w:val="0"/>
                <w:i w:val="0"/>
                <w:sz w:val="16"/>
              </w:rPr>
              <w:t>UKAISI-2026-02-JAI1-s2</w:t>
            </w:r>
          </w:p>
        </w:tc>
        <w:tc>
          <w:tcPr>
            <w:tcW w:type="dxa" w:w="1584"/>
            <w:shd w:val="clear" w:fill="F2F6FB"/>
          </w:tcPr>
          <w:p>
            <w:r/>
            <w:r>
              <w:rPr>
                <w:b w:val="0"/>
                <w:i w:val="0"/>
                <w:sz w:val="16"/>
              </w:rPr>
              <w:t>UK AISI</w:t>
            </w:r>
          </w:p>
        </w:tc>
        <w:tc>
          <w:tcPr>
            <w:tcW w:type="dxa" w:w="3456"/>
            <w:shd w:val="clear" w:fill="F2F6FB"/>
          </w:tcPr>
          <w:p>
            <w:r/>
            <w:r>
              <w:rPr>
                <w:b w:val="0"/>
                <w:i w:val="0"/>
                <w:sz w:val="16"/>
              </w:rPr>
              <w:t>BPJ was the first automated attack to defeat OpenAI's GPT-5 input classifier without human seed attacks, achieving 75.6% average / 94.3% max ASR across 50 attempts at ~$210 and ~800k queries.</w:t>
            </w:r>
          </w:p>
        </w:tc>
        <w:tc>
          <w:tcPr>
            <w:tcW w:type="dxa" w:w="3168"/>
            <w:shd w:val="clear" w:fill="F2F6FB"/>
          </w:tcPr>
          <w:p>
            <w:r/>
            <w:r>
              <w:rPr>
                <w:b w:val="0"/>
                <w:i w:val="0"/>
                <w:sz w:val="16"/>
              </w:rPr>
              <w:t>(response documented at source link)</w:t>
            </w:r>
          </w:p>
        </w:tc>
        <w:tc>
          <w:tcPr>
            <w:tcW w:type="dxa" w:w="1296"/>
            <w:shd w:val="clear" w:fill="F2F6FB"/>
          </w:tcPr>
          <w:p>
            <w:r/>
            <w:hyperlink r:id="rId29">
              <w:r>
                <w:rPr>
                  <w:color w:val="0563C1"/>
                  <w:u w:val="single"/>
                  <w:sz w:val="16"/>
                </w:rPr>
                <w:t>source</w:t>
              </w:r>
            </w:hyperlink>
          </w:p>
        </w:tc>
      </w:tr>
      <w:tr>
        <w:tc>
          <w:tcPr>
            <w:tcW w:type="dxa" w:w="1584"/>
          </w:tcPr>
          <w:p>
            <w:r/>
            <w:r>
              <w:rPr>
                <w:b w:val="0"/>
                <w:i w:val="0"/>
                <w:sz w:val="16"/>
              </w:rPr>
              <w:t>SECUREBIO-2026-04-BIO2</w:t>
            </w:r>
          </w:p>
        </w:tc>
        <w:tc>
          <w:tcPr>
            <w:tcW w:type="dxa" w:w="1584"/>
          </w:tcPr>
          <w:p>
            <w:r/>
            <w:r>
              <w:rPr>
                <w:b w:val="0"/>
                <w:i w:val="0"/>
                <w:sz w:val="16"/>
              </w:rPr>
              <w:t>SecureBio</w:t>
            </w:r>
          </w:p>
        </w:tc>
        <w:tc>
          <w:tcPr>
            <w:tcW w:type="dxa" w:w="3456"/>
          </w:tcPr>
          <w:p>
            <w:r/>
            <w:r>
              <w:rPr>
                <w:b w:val="0"/>
                <w:i w:val="0"/>
                <w:sz w:val="16"/>
              </w:rPr>
              <w:t>In SecureBio's GPT-5.5 pre-release biosecurity evaluation, Pre-Release Checkpoint 2 scored 52.0% on the Virology Capabilities Test (VCT) -- higher than any SOTA model SecureBio had previously tested, placing it in the 10…</w:t>
            </w:r>
          </w:p>
        </w:tc>
        <w:tc>
          <w:tcPr>
            <w:tcW w:type="dxa" w:w="3168"/>
          </w:tcPr>
          <w:p>
            <w:r/>
            <w:r>
              <w:rPr>
                <w:b w:val="0"/>
                <w:i w:val="0"/>
                <w:sz w:val="16"/>
              </w:rPr>
              <w:t>We are treating this launch as High capability in the Biological and Chemical domain, activating the associated Preparedness safeguards.</w:t>
            </w:r>
          </w:p>
        </w:tc>
        <w:tc>
          <w:tcPr>
            <w:tcW w:type="dxa" w:w="1296"/>
          </w:tcPr>
          <w:p>
            <w:r/>
            <w:hyperlink r:id="rId30">
              <w:r>
                <w:rPr>
                  <w:color w:val="0563C1"/>
                  <w:u w:val="single"/>
                  <w:sz w:val="16"/>
                </w:rPr>
                <w:t>source</w:t>
              </w:r>
            </w:hyperlink>
          </w:p>
        </w:tc>
      </w:tr>
      <w:tr>
        <w:tc>
          <w:tcPr>
            <w:tcW w:type="dxa" w:w="1584"/>
            <w:shd w:val="clear" w:fill="F2F6FB"/>
          </w:tcPr>
          <w:p>
            <w:r/>
            <w:r>
              <w:rPr>
                <w:b w:val="0"/>
                <w:i w:val="0"/>
                <w:sz w:val="16"/>
              </w:rPr>
              <w:t>SECUREBIO-2026-04-BIO1</w:t>
            </w:r>
          </w:p>
        </w:tc>
        <w:tc>
          <w:tcPr>
            <w:tcW w:type="dxa" w:w="1584"/>
            <w:shd w:val="clear" w:fill="F2F6FB"/>
          </w:tcPr>
          <w:p>
            <w:r/>
            <w:r>
              <w:rPr>
                <w:b w:val="0"/>
                <w:i w:val="0"/>
                <w:sz w:val="16"/>
              </w:rPr>
              <w:t>SecureBio</w:t>
            </w:r>
          </w:p>
        </w:tc>
        <w:tc>
          <w:tcPr>
            <w:tcW w:type="dxa" w:w="3456"/>
            <w:shd w:val="clear" w:fill="F2F6FB"/>
          </w:tcPr>
          <w:p>
            <w:r/>
            <w:r>
              <w:rPr>
                <w:b w:val="0"/>
                <w:i w:val="0"/>
                <w:sz w:val="16"/>
              </w:rPr>
              <w:t>GPT-5.5 was the highest-performing or among a small handful of highest-performing models on static biosecurity knowledge assessment, exceeding all expert human scores.</w:t>
            </w:r>
          </w:p>
        </w:tc>
        <w:tc>
          <w:tcPr>
            <w:tcW w:type="dxa" w:w="3168"/>
            <w:shd w:val="clear" w:fill="F2F6FB"/>
          </w:tcPr>
          <w:p>
            <w:r/>
            <w:r>
              <w:rPr>
                <w:b w:val="0"/>
                <w:i w:val="0"/>
                <w:sz w:val="16"/>
              </w:rPr>
              <w:t>On static evaluations measuring expert-level biology and biosecurity-relevant knowledge, it was the highest-performing, or among a small handful of highest-performing models, excee…</w:t>
            </w:r>
          </w:p>
        </w:tc>
        <w:tc>
          <w:tcPr>
            <w:tcW w:type="dxa" w:w="1296"/>
            <w:shd w:val="clear" w:fill="F2F6FB"/>
          </w:tcPr>
          <w:p>
            <w:r/>
            <w:hyperlink r:id="rId30">
              <w:r>
                <w:rPr>
                  <w:color w:val="0563C1"/>
                  <w:u w:val="single"/>
                  <w:sz w:val="16"/>
                </w:rPr>
                <w:t>source</w:t>
              </w:r>
            </w:hyperlink>
          </w:p>
        </w:tc>
      </w:tr>
      <w:tr>
        <w:tc>
          <w:tcPr>
            <w:tcW w:type="dxa" w:w="1584"/>
          </w:tcPr>
          <w:p>
            <w:r/>
            <w:r>
              <w:rPr>
                <w:b w:val="0"/>
                <w:i w:val="0"/>
                <w:sz w:val="16"/>
              </w:rPr>
              <w:t>SECUREBIO-2026-04-BIO5</w:t>
            </w:r>
          </w:p>
        </w:tc>
        <w:tc>
          <w:tcPr>
            <w:tcW w:type="dxa" w:w="1584"/>
          </w:tcPr>
          <w:p>
            <w:r/>
            <w:r>
              <w:rPr>
                <w:b w:val="0"/>
                <w:i w:val="0"/>
                <w:sz w:val="16"/>
              </w:rPr>
              <w:t>SecureBio</w:t>
            </w:r>
          </w:p>
        </w:tc>
        <w:tc>
          <w:tcPr>
            <w:tcW w:type="dxa" w:w="3456"/>
          </w:tcPr>
          <w:p>
            <w:r/>
            <w:r>
              <w:rPr>
                <w:b w:val="0"/>
                <w:i w:val="0"/>
                <w:sz w:val="16"/>
              </w:rPr>
              <w:t>GPT-5.5 pre-release checkpoints scored 52.0% on VCT, 56.2% on MBCT, 64.7% on HPCT and 53.2% (second-highest) on WCB in SecureBio's biosecurity assessment, with a 23% refusal rate on screening-evasion tasks.</w:t>
            </w:r>
          </w:p>
        </w:tc>
        <w:tc>
          <w:tcPr>
            <w:tcW w:type="dxa" w:w="3168"/>
          </w:tcPr>
          <w:p>
            <w:r/>
            <w:r>
              <w:rPr>
                <w:b w:val="0"/>
                <w:i w:val="0"/>
                <w:sz w:val="16"/>
              </w:rPr>
              <w:t>We are treating this launch as High capability in the Biological and Chemical domain, activating the associated Preparedness safeguards.</w:t>
            </w:r>
          </w:p>
        </w:tc>
        <w:tc>
          <w:tcPr>
            <w:tcW w:type="dxa" w:w="1296"/>
          </w:tcPr>
          <w:p>
            <w:r/>
            <w:hyperlink r:id="rId30">
              <w:r>
                <w:rPr>
                  <w:color w:val="0563C1"/>
                  <w:u w:val="single"/>
                  <w:sz w:val="16"/>
                </w:rPr>
                <w:t>source</w:t>
              </w:r>
            </w:hyperlink>
          </w:p>
        </w:tc>
      </w:tr>
      <w:tr>
        <w:tc>
          <w:tcPr>
            <w:tcW w:type="dxa" w:w="1584"/>
            <w:shd w:val="clear" w:fill="F2F6FB"/>
          </w:tcPr>
          <w:p>
            <w:r/>
            <w:r>
              <w:rPr>
                <w:b w:val="0"/>
                <w:i w:val="0"/>
                <w:sz w:val="16"/>
              </w:rPr>
              <w:t>SECUREBIO-2026-04-BIO7</w:t>
            </w:r>
          </w:p>
        </w:tc>
        <w:tc>
          <w:tcPr>
            <w:tcW w:type="dxa" w:w="1584"/>
            <w:shd w:val="clear" w:fill="F2F6FB"/>
          </w:tcPr>
          <w:p>
            <w:r/>
            <w:r>
              <w:rPr>
                <w:b w:val="0"/>
                <w:i w:val="0"/>
                <w:sz w:val="16"/>
              </w:rPr>
              <w:t>SecureBio</w:t>
            </w:r>
          </w:p>
        </w:tc>
        <w:tc>
          <w:tcPr>
            <w:tcW w:type="dxa" w:w="3456"/>
            <w:shd w:val="clear" w:fill="F2F6FB"/>
          </w:tcPr>
          <w:p>
            <w:r/>
            <w:r>
              <w:rPr>
                <w:b w:val="0"/>
                <w:i w:val="0"/>
                <w:sz w:val="16"/>
              </w:rPr>
              <w:t>On ABC-Bench task-based evaluations, GPT-5.5 (Checkpoint 2) delivered strong performance matching or exceeding GPT-5.4 across fragment design, screening evasion, and liquid-handling tasks, with only a 23% refusal rate on…</w:t>
            </w:r>
          </w:p>
        </w:tc>
        <w:tc>
          <w:tcPr>
            <w:tcW w:type="dxa" w:w="3168"/>
            <w:shd w:val="clear" w:fill="F2F6FB"/>
          </w:tcPr>
          <w:p>
            <w:r/>
            <w:r>
              <w:rPr>
                <w:b w:val="0"/>
                <w:i w:val="0"/>
                <w:sz w:val="16"/>
              </w:rPr>
              <w:t>We are treating this launch as High capability in the Biological and Chemical domain, activating the associated Preparedness safeguards.</w:t>
            </w:r>
          </w:p>
        </w:tc>
        <w:tc>
          <w:tcPr>
            <w:tcW w:type="dxa" w:w="1296"/>
            <w:shd w:val="clear" w:fill="F2F6FB"/>
          </w:tcPr>
          <w:p>
            <w:r/>
            <w:hyperlink r:id="rId30">
              <w:r>
                <w:rPr>
                  <w:color w:val="0563C1"/>
                  <w:u w:val="single"/>
                  <w:sz w:val="16"/>
                </w:rPr>
                <w:t>source</w:t>
              </w:r>
            </w:hyperlink>
          </w:p>
        </w:tc>
      </w:tr>
      <w:tr>
        <w:tc>
          <w:tcPr>
            <w:tcW w:type="dxa" w:w="1584"/>
          </w:tcPr>
          <w:p>
            <w:r/>
            <w:r>
              <w:rPr>
                <w:b w:val="0"/>
                <w:i w:val="0"/>
                <w:sz w:val="16"/>
              </w:rPr>
              <w:t>UKAISI-2026-05-CYB3</w:t>
            </w:r>
          </w:p>
        </w:tc>
        <w:tc>
          <w:tcPr>
            <w:tcW w:type="dxa" w:w="1584"/>
          </w:tcPr>
          <w:p>
            <w:r/>
            <w:r>
              <w:rPr>
                <w:b w:val="0"/>
                <w:i w:val="0"/>
                <w:sz w:val="16"/>
              </w:rPr>
              <w:t>UK AISI</w:t>
            </w:r>
          </w:p>
        </w:tc>
        <w:tc>
          <w:tcPr>
            <w:tcW w:type="dxa" w:w="3456"/>
          </w:tcPr>
          <w:p>
            <w:r/>
            <w:r>
              <w:rPr>
                <w:b w:val="0"/>
                <w:i w:val="0"/>
                <w:sz w:val="16"/>
              </w:rPr>
              <w:t>GPT-5.5 substantially exceeded the previous autonomous-cyber-capability doubling-rate trend: it achieved 100% success on five of six long-duration cyber tasks (8+ hours) within the 2.5M-token budget, solved the sixth lon…</w:t>
            </w:r>
          </w:p>
        </w:tc>
        <w:tc>
          <w:tcPr>
            <w:tcW w:type="dxa" w:w="3168"/>
          </w:tcPr>
          <w:p>
            <w:r/>
            <w:r>
              <w:rPr>
                <w:b w:val="0"/>
                <w:i w:val="0"/>
                <w:sz w:val="16"/>
              </w:rPr>
              <w:t>As we did for GPT-5.3-Codex and GPT-5.4-Thinking, we are treating GPT-5.5 as High capability in the Cybersecurity domain, but below Critical.</w:t>
            </w:r>
          </w:p>
        </w:tc>
        <w:tc>
          <w:tcPr>
            <w:tcW w:type="dxa" w:w="1296"/>
          </w:tcPr>
          <w:p>
            <w:r/>
            <w:hyperlink r:id="rId31">
              <w:r>
                <w:rPr>
                  <w:color w:val="0563C1"/>
                  <w:u w:val="single"/>
                  <w:sz w:val="16"/>
                </w:rPr>
                <w:t>source</w:t>
              </w:r>
            </w:hyperlink>
          </w:p>
        </w:tc>
      </w:tr>
      <w:tr>
        <w:tc>
          <w:tcPr>
            <w:tcW w:type="dxa" w:w="1584"/>
            <w:shd w:val="clear" w:fill="F2F6FB"/>
          </w:tcPr>
          <w:p>
            <w:r/>
            <w:r>
              <w:rPr>
                <w:b w:val="0"/>
                <w:i w:val="0"/>
                <w:sz w:val="16"/>
              </w:rPr>
              <w:t>USCAISI-2026-06-CYB2</w:t>
            </w:r>
          </w:p>
        </w:tc>
        <w:tc>
          <w:tcPr>
            <w:tcW w:type="dxa" w:w="1584"/>
            <w:shd w:val="clear" w:fill="F2F6FB"/>
          </w:tcPr>
          <w:p>
            <w:r/>
            <w:r>
              <w:rPr>
                <w:b w:val="0"/>
                <w:i w:val="0"/>
                <w:sz w:val="16"/>
              </w:rPr>
              <w:t>US CAISI</w:t>
            </w:r>
          </w:p>
        </w:tc>
        <w:tc>
          <w:tcPr>
            <w:tcW w:type="dxa" w:w="3456"/>
            <w:shd w:val="clear" w:fill="F2F6FB"/>
          </w:tcPr>
          <w:p>
            <w:r/>
            <w:r>
              <w:rPr>
                <w:b w:val="0"/>
                <w:i w:val="0"/>
                <w:sz w:val="16"/>
              </w:rPr>
              <w:t>After Amazon researchers reported a jailbreak eliciting exploit code from Claude Fable 5 shortly after its June 9, 2026 launch, the US Department of Commerce issued a binding export-control order (2026-06-12) taking both…</w:t>
            </w:r>
          </w:p>
        </w:tc>
        <w:tc>
          <w:tcPr>
            <w:tcW w:type="dxa" w:w="3168"/>
            <w:shd w:val="clear" w:fill="F2F6FB"/>
          </w:tcPr>
          <w:p>
            <w:r/>
            <w:r>
              <w:rPr>
                <w:b w:val="0"/>
                <w:i w:val="0"/>
                <w:sz w:val="16"/>
              </w:rPr>
              <w:t>Researchers from the US Department of Commerce's Center for AI Standards and Innovation (CAISI) have tested both our prior and new safeguards and agree that they are extraordinaril…</w:t>
            </w:r>
          </w:p>
        </w:tc>
        <w:tc>
          <w:tcPr>
            <w:tcW w:type="dxa" w:w="1296"/>
            <w:shd w:val="clear" w:fill="F2F6FB"/>
          </w:tcPr>
          <w:p>
            <w:r/>
            <w:hyperlink r:id="rId32">
              <w:r>
                <w:rPr>
                  <w:color w:val="0563C1"/>
                  <w:u w:val="single"/>
                  <w:sz w:val="16"/>
                </w:rPr>
                <w:t>source</w:t>
              </w:r>
            </w:hyperlink>
          </w:p>
        </w:tc>
      </w:tr>
      <w:tr>
        <w:tc>
          <w:tcPr>
            <w:tcW w:type="dxa" w:w="1584"/>
          </w:tcPr>
          <w:p>
            <w:r/>
            <w:r>
              <w:rPr>
                <w:b w:val="0"/>
                <w:i w:val="0"/>
                <w:sz w:val="16"/>
              </w:rPr>
              <w:t>JOINT-2026-07-JAI1</w:t>
            </w:r>
          </w:p>
        </w:tc>
        <w:tc>
          <w:tcPr>
            <w:tcW w:type="dxa" w:w="1584"/>
          </w:tcPr>
          <w:p>
            <w:r/>
            <w:r>
              <w:rPr>
                <w:b w:val="0"/>
                <w:i w:val="0"/>
                <w:sz w:val="16"/>
              </w:rPr>
              <w:t>Joint UK AISI + OpenAI (company-published)</w:t>
            </w:r>
          </w:p>
        </w:tc>
        <w:tc>
          <w:tcPr>
            <w:tcW w:type="dxa" w:w="3456"/>
          </w:tcPr>
          <w:p>
            <w:r/>
            <w:r>
              <w:rPr>
                <w:b w:val="0"/>
                <w:i w:val="0"/>
                <w:sz w:val="16"/>
              </w:rPr>
              <w:t>In every red-teaming round to date, UK AISI has identified universal jailbreaks in the cyber domain against GPT-5.6, including ones enabling long-form agentic task completion in vulnerability discovery and exploit develo…</w:t>
            </w:r>
          </w:p>
        </w:tc>
        <w:tc>
          <w:tcPr>
            <w:tcW w:type="dxa" w:w="3168"/>
          </w:tcPr>
          <w:p>
            <w:r/>
            <w:r>
              <w:rPr>
                <w:b w:val="0"/>
                <w:i w:val="0"/>
                <w:sz w:val="16"/>
              </w:rPr>
              <w:t>As of launch, OpenAI has worked to reproduce and mitigate the specific jailbreaks reported by UK AISI. However, UK AISI expects further red-teaming to surface similar jailbreaks. O…</w:t>
            </w:r>
          </w:p>
        </w:tc>
        <w:tc>
          <w:tcPr>
            <w:tcW w:type="dxa" w:w="1296"/>
          </w:tcPr>
          <w:p>
            <w:r/>
            <w:hyperlink r:id="rId33">
              <w:r>
                <w:rPr>
                  <w:color w:val="0563C1"/>
                  <w:u w:val="single"/>
                  <w:sz w:val="16"/>
                </w:rPr>
                <w:t>source</w:t>
              </w:r>
            </w:hyperlink>
          </w:p>
        </w:tc>
      </w:tr>
    </w:tbl>
    <w:p>
      <w:pPr>
        <w:spacing w:after="280"/>
        <w:jc w:val="left"/>
      </w:pPr>
      <w:r>
        <w:rPr>
          <w:b/>
          <w:color w:val="6B6B7B"/>
          <w:sz w:val="17"/>
        </w:rPr>
        <w:t xml:space="preserve">Table A.1.  </w:t>
      </w:r>
      <w:r>
        <w:rPr>
          <w:i/>
          <w:color w:val="6B6B7B"/>
          <w:sz w:val="17"/>
        </w:rPr>
        <w:t>The complete Substantive set. Response lag is 0 days for all 13 rows — coordinated disclosure, with finding and response published together.</w:t>
      </w:r>
    </w:p>
    <w:p>
      <w:pPr>
        <w:pStyle w:val="Heading1"/>
      </w:pPr>
      <w:r>
        <w:rPr>
          <w:color w:val="1F4E79"/>
        </w:rPr>
        <w:t>Appendix B — Severity Annotation Prompt</w:t>
      </w:r>
    </w:p>
    <w:p>
      <w:pPr>
        <w:spacing w:after="160"/>
      </w:pPr>
      <w:r>
        <w:rPr>
          <w:b w:val="0"/>
          <w:i/>
          <w:sz w:val="19"/>
        </w:rPr>
        <w:t>The exact prompt given independently to Claude Sonnet 5, GPT-5.5, and Gemini 3.1 for every finding. The three votes and the majority category are recorded per row in the dataset; the JSON "reason" field preserves each model's stated rationale.</w:t>
      </w:r>
    </w:p>
    <w:p>
      <w:pPr>
        <w:spacing w:after="0"/>
      </w:pPr>
      <w:r>
        <w:rPr>
          <w:rFonts w:ascii="Courier New" w:hAnsi="Courier New"/>
          <w:sz w:val="15"/>
        </w:rPr>
        <w:t>SEVERITY ANNOTATION PROMPT</w:t>
      </w:r>
    </w:p>
    <w:p>
      <w:pPr>
        <w:spacing w:after="0"/>
      </w:pPr>
      <w:r>
        <w:rPr>
          <w:rFonts w:ascii="Courier New" w:hAnsi="Courier New"/>
          <w:sz w:val="15"/>
        </w:rPr>
        <w:t xml:space="preserve"> </w:t>
      </w:r>
    </w:p>
    <w:p>
      <w:pPr>
        <w:spacing w:after="0"/>
      </w:pPr>
      <w:r>
        <w:rPr>
          <w:rFonts w:ascii="Courier New" w:hAnsi="Courier New"/>
          <w:sz w:val="15"/>
        </w:rPr>
        <w:t>Category 1 (Critical) mirrors the dangerous-capability domains frontier developers use in</w:t>
      </w:r>
    </w:p>
    <w:p>
      <w:pPr>
        <w:spacing w:after="0"/>
      </w:pPr>
      <w:r>
        <w:rPr>
          <w:rFonts w:ascii="Courier New" w:hAnsi="Courier New"/>
          <w:sz w:val="15"/>
        </w:rPr>
        <w:t>their published safety frameworks: Anthropic RSP (ASL / Capability Thresholds), OpenAI</w:t>
      </w:r>
    </w:p>
    <w:p>
      <w:pPr>
        <w:spacing w:after="0"/>
      </w:pPr>
      <w:r>
        <w:rPr>
          <w:rFonts w:ascii="Courier New" w:hAnsi="Courier New"/>
          <w:sz w:val="15"/>
        </w:rPr>
        <w:t>Preparedness Framework, Google DeepMind Frontier Safety Framework (Critical Capability Levels).</w:t>
      </w:r>
    </w:p>
    <w:p>
      <w:pPr>
        <w:spacing w:after="0"/>
      </w:pPr>
      <w:r>
        <w:rPr>
          <w:rFonts w:ascii="Courier New" w:hAnsi="Courier New"/>
          <w:sz w:val="15"/>
        </w:rPr>
        <w:t xml:space="preserve"> </w:t>
      </w:r>
    </w:p>
    <w:p>
      <w:pPr>
        <w:spacing w:after="0"/>
      </w:pPr>
      <w:r>
        <w:rPr>
          <w:rFonts w:ascii="Courier New" w:hAnsi="Courier New"/>
          <w:sz w:val="15"/>
        </w:rPr>
        <w:t>TASK: For each finding, assign ONE binary category based ONLY on what the finding text</w:t>
      </w:r>
    </w:p>
    <w:p>
      <w:pPr>
        <w:spacing w:after="0"/>
      </w:pPr>
      <w:r>
        <w:rPr>
          <w:rFonts w:ascii="Courier New" w:hAnsi="Courier New"/>
          <w:sz w:val="15"/>
        </w:rPr>
        <w:t>demonstrates. Judge whether a critical AI risk was DEMONSTRATED, not by how alarming the wording sounds.</w:t>
      </w:r>
    </w:p>
    <w:p>
      <w:pPr>
        <w:spacing w:after="0"/>
      </w:pPr>
      <w:r>
        <w:rPr>
          <w:rFonts w:ascii="Courier New" w:hAnsi="Courier New"/>
          <w:sz w:val="15"/>
        </w:rPr>
        <w:t xml:space="preserve"> </w:t>
      </w:r>
    </w:p>
    <w:p>
      <w:pPr>
        <w:spacing w:after="0"/>
      </w:pPr>
      <w:r>
        <w:rPr>
          <w:rFonts w:ascii="Courier New" w:hAnsi="Courier New"/>
          <w:sz w:val="15"/>
        </w:rPr>
        <w:t>CATEGORY 1 (CRITICAL) — any ONE of the following is demonstrated. Each domain carries a fixed</w:t>
      </w:r>
    </w:p>
    <w:p>
      <w:pPr>
        <w:spacing w:after="0"/>
      </w:pPr>
      <w:r>
        <w:rPr>
          <w:rFonts w:ascii="Courier New" w:hAnsi="Courier New"/>
          <w:sz w:val="15"/>
        </w:rPr>
        <w:t>BOUNDARY that applies identically to every finding (these are scale definitions, not case rules):</w:t>
      </w:r>
    </w:p>
    <w:p>
      <w:pPr>
        <w:spacing w:after="0"/>
      </w:pPr>
      <w:r>
        <w:rPr>
          <w:rFonts w:ascii="Courier New" w:hAnsi="Courier New"/>
          <w:sz w:val="15"/>
        </w:rPr>
        <w:t>D1 CBRN / BIO-CHEM UPLIFT: meaningful uplift toward chemical/biological/radiological/nuclear</w:t>
      </w:r>
    </w:p>
    <w:p>
      <w:pPr>
        <w:spacing w:after="0"/>
      </w:pPr>
      <w:r>
        <w:rPr>
          <w:rFonts w:ascii="Courier New" w:hAnsi="Courier New"/>
          <w:sz w:val="15"/>
        </w:rPr>
        <w:t xml:space="preserve">   weapons; expert-surpassing bio/chem capability; crossing a stated CBRN threshold.</w:t>
      </w:r>
    </w:p>
    <w:p>
      <w:pPr>
        <w:spacing w:after="0"/>
      </w:pPr>
      <w:r>
        <w:rPr>
          <w:rFonts w:ascii="Courier New" w:hAnsi="Courier New"/>
          <w:sz w:val="15"/>
        </w:rPr>
        <w:t xml:space="preserve">   BOUNDARY: uplift must be measured against an EXPERT/HUMAN baseline or a stated CBRN threshold.</w:t>
      </w:r>
    </w:p>
    <w:p>
      <w:pPr>
        <w:spacing w:after="0"/>
      </w:pPr>
      <w:r>
        <w:rPr>
          <w:rFonts w:ascii="Courier New" w:hAnsi="Courier New"/>
          <w:sz w:val="15"/>
        </w:rPr>
        <w:t xml:space="preserve">   Merely MATCHING or EXCEEDING a PRIOR MODEL (model-vs-model, no absolute expert/threshold</w:t>
      </w:r>
    </w:p>
    <w:p>
      <w:pPr>
        <w:spacing w:after="0"/>
      </w:pPr>
      <w:r>
        <w:rPr>
          <w:rFonts w:ascii="Courier New" w:hAnsi="Courier New"/>
          <w:sz w:val="15"/>
        </w:rPr>
        <w:t xml:space="preserve">   reference) is NOT D1.</w:t>
      </w:r>
    </w:p>
    <w:p>
      <w:pPr>
        <w:spacing w:after="0"/>
      </w:pPr>
      <w:r>
        <w:rPr>
          <w:rFonts w:ascii="Courier New" w:hAnsi="Courier New"/>
          <w:sz w:val="15"/>
        </w:rPr>
        <w:t>D2 CYBER OPERATIONS: offensive cyber capability; expert-level/novel-uplift hacking; completing</w:t>
      </w:r>
    </w:p>
    <w:p>
      <w:pPr>
        <w:spacing w:after="0"/>
      </w:pPr>
      <w:r>
        <w:rPr>
          <w:rFonts w:ascii="Courier New" w:hAnsi="Courier New"/>
          <w:sz w:val="15"/>
        </w:rPr>
        <w:t xml:space="preserve">   realistic multi-stage attack chains; high CTF/exploit success; "High"+ cyber designation.</w:t>
      </w:r>
    </w:p>
    <w:p>
      <w:pPr>
        <w:spacing w:after="0"/>
      </w:pPr>
      <w:r>
        <w:rPr>
          <w:rFonts w:ascii="Courier New" w:hAnsi="Courier New"/>
          <w:sz w:val="15"/>
        </w:rPr>
        <w:t xml:space="preserve">   BOUNDARY: partial completion of a multi-stage attack counts as D2 ONLY if a DECISIVE/MAJORITY</w:t>
      </w:r>
    </w:p>
    <w:p>
      <w:pPr>
        <w:spacing w:after="0"/>
      </w:pPr>
      <w:r>
        <w:rPr>
          <w:rFonts w:ascii="Courier New" w:hAnsi="Courier New"/>
          <w:sz w:val="15"/>
        </w:rPr>
        <w:t xml:space="preserve">   share of stages is completed, a realistic scenario is FULLY solved, or an official "High" cyber</w:t>
      </w:r>
    </w:p>
    <w:p>
      <w:pPr>
        <w:spacing w:after="0"/>
      </w:pPr>
      <w:r>
        <w:rPr>
          <w:rFonts w:ascii="Courier New" w:hAnsi="Courier New"/>
          <w:sz w:val="15"/>
        </w:rPr>
        <w:t xml:space="preserve">   designation is reached. Small-fraction/early-stage progress, or a pure scaling/trend result, is</w:t>
      </w:r>
    </w:p>
    <w:p>
      <w:pPr>
        <w:spacing w:after="0"/>
      </w:pPr>
      <w:r>
        <w:rPr>
          <w:rFonts w:ascii="Courier New" w:hAnsi="Courier New"/>
          <w:sz w:val="15"/>
        </w:rPr>
        <w:t xml:space="preserve">   NOT D2. If ANY named frontier model FULLY/decisively solves a realistic scenario in the finding,</w:t>
      </w:r>
    </w:p>
    <w:p>
      <w:pPr>
        <w:spacing w:after="0"/>
      </w:pPr>
      <w:r>
        <w:rPr>
          <w:rFonts w:ascii="Courier New" w:hAnsi="Courier New"/>
          <w:sz w:val="15"/>
        </w:rPr>
        <w:t xml:space="preserve">   code C1 regardless of another model's failure.</w:t>
      </w:r>
    </w:p>
    <w:p>
      <w:pPr>
        <w:spacing w:after="0"/>
      </w:pPr>
      <w:r>
        <w:rPr>
          <w:rFonts w:ascii="Courier New" w:hAnsi="Courier New"/>
          <w:sz w:val="15"/>
        </w:rPr>
        <w:t>D3 AUTONOMY / AI R&amp;D / SELF-REPLICATION: autonomous replication, self-propagation, or</w:t>
      </w:r>
    </w:p>
    <w:p>
      <w:pPr>
        <w:spacing w:after="0"/>
      </w:pPr>
      <w:r>
        <w:rPr>
          <w:rFonts w:ascii="Courier New" w:hAnsi="Courier New"/>
          <w:sz w:val="15"/>
        </w:rPr>
        <w:t xml:space="preserve">   automating AI R&amp;D / accelerating scaling.</w:t>
      </w:r>
    </w:p>
    <w:p>
      <w:pPr>
        <w:spacing w:after="0"/>
      </w:pPr>
      <w:r>
        <w:rPr>
          <w:rFonts w:ascii="Courier New" w:hAnsi="Courier New"/>
          <w:sz w:val="15"/>
        </w:rPr>
        <w:t>D4 PERSUASION / MANIPULATION / SOCIETAL HARM AT SCALE: systematically changing beliefs/behaviour</w:t>
      </w:r>
    </w:p>
    <w:p>
      <w:pPr>
        <w:spacing w:after="0"/>
      </w:pPr>
      <w:r>
        <w:rPr>
          <w:rFonts w:ascii="Courier New" w:hAnsi="Courier New"/>
          <w:sz w:val="15"/>
        </w:rPr>
        <w:t xml:space="preserve">   at scale, or implication in large-scale societal harm (e.g. mass CSAM, or election-scale</w:t>
      </w:r>
    </w:p>
    <w:p>
      <w:pPr>
        <w:spacing w:after="0"/>
      </w:pPr>
      <w:r>
        <w:rPr>
          <w:rFonts w:ascii="Courier New" w:hAnsi="Courier New"/>
          <w:sz w:val="15"/>
        </w:rPr>
        <w:t xml:space="preserve">   persuasion exceeding a real benchmark).</w:t>
      </w:r>
    </w:p>
    <w:p>
      <w:pPr>
        <w:spacing w:after="0"/>
      </w:pPr>
      <w:r>
        <w:rPr>
          <w:rFonts w:ascii="Courier New" w:hAnsi="Courier New"/>
          <w:sz w:val="15"/>
        </w:rPr>
        <w:t xml:space="preserve">   BOUNDARY: D4 requires persuasion that EXCEEDS a human/expert baseline, or documented</w:t>
      </w:r>
    </w:p>
    <w:p>
      <w:pPr>
        <w:spacing w:after="0"/>
      </w:pPr>
      <w:r>
        <w:rPr>
          <w:rFonts w:ascii="Courier New" w:hAnsi="Courier New"/>
          <w:sz w:val="15"/>
        </w:rPr>
        <w:t xml:space="preserve">   belief-change at scale. A demonstrated INCREASE in persuasiveness, or MATCHING another</w:t>
      </w:r>
    </w:p>
    <w:p>
      <w:pPr>
        <w:spacing w:after="0"/>
      </w:pPr>
      <w:r>
        <w:rPr>
          <w:rFonts w:ascii="Courier New" w:hAnsi="Courier New"/>
          <w:sz w:val="15"/>
        </w:rPr>
        <w:t xml:space="preserve">   model/human without exceeding a human baseline, is NOT D4.</w:t>
      </w:r>
    </w:p>
    <w:p>
      <w:pPr>
        <w:spacing w:after="0"/>
      </w:pPr>
      <w:r>
        <w:rPr>
          <w:rFonts w:ascii="Courier New" w:hAnsi="Courier New"/>
          <w:sz w:val="15"/>
        </w:rPr>
        <w:t>D5 DECEPTIVE ALIGNMENT / MISALIGNMENT: deliberate deception, scheming, sabotage, sandbagging,</w:t>
      </w:r>
    </w:p>
    <w:p>
      <w:pPr>
        <w:spacing w:after="0"/>
      </w:pPr>
      <w:r>
        <w:rPr>
          <w:rFonts w:ascii="Courier New" w:hAnsi="Courier New"/>
          <w:sz w:val="15"/>
        </w:rPr>
        <w:t xml:space="preserve">   blackmail, or hiding of abilities/intentions.</w:t>
      </w:r>
    </w:p>
    <w:p>
      <w:pPr>
        <w:spacing w:after="0"/>
      </w:pPr>
      <w:r>
        <w:rPr>
          <w:rFonts w:ascii="Courier New" w:hAnsi="Courier New"/>
          <w:sz w:val="15"/>
        </w:rPr>
        <w:t xml:space="preserve">   BOUNDARY: D5 requires DELIBERATE deception/scheming/sabotage shown. A measured behavioural</w:t>
      </w:r>
    </w:p>
    <w:p>
      <w:pPr>
        <w:spacing w:after="0"/>
      </w:pPr>
      <w:r>
        <w:rPr>
          <w:rFonts w:ascii="Courier New" w:hAnsi="Courier New"/>
          <w:sz w:val="15"/>
        </w:rPr>
        <w:t xml:space="preserve">   RATE or PATTERN (e.g. an AI-identity-disclosure rate, a policy-violation %, behaviour merely</w:t>
      </w:r>
    </w:p>
    <w:p>
      <w:pPr>
        <w:spacing w:after="0"/>
      </w:pPr>
      <w:r>
        <w:rPr>
          <w:rFonts w:ascii="Courier New" w:hAnsi="Courier New"/>
          <w:sz w:val="15"/>
        </w:rPr>
        <w:t xml:space="preserve">   "resembling" reward hacking) with no evidence of deliberate strategic intent is NOT D5.</w:t>
      </w:r>
    </w:p>
    <w:p>
      <w:pPr>
        <w:spacing w:after="0"/>
      </w:pPr>
      <w:r>
        <w:rPr>
          <w:rFonts w:ascii="Courier New" w:hAnsi="Courier New"/>
          <w:sz w:val="15"/>
        </w:rPr>
        <w:t>D6 SAFEGUARD FAILURE: a deployed safety mechanism (jailbreak defence, classifier, guardrail,</w:t>
      </w:r>
    </w:p>
    <w:p>
      <w:pPr>
        <w:spacing w:after="0"/>
      </w:pPr>
      <w:r>
        <w:rPr>
          <w:rFonts w:ascii="Courier New" w:hAnsi="Courier New"/>
          <w:sz w:val="15"/>
        </w:rPr>
        <w:t xml:space="preserve">   refusal training, content filter) was bypassed, defeated, or shown to fail, allowing harmful</w:t>
      </w:r>
    </w:p>
    <w:p>
      <w:pPr>
        <w:spacing w:after="0"/>
      </w:pPr>
      <w:r>
        <w:rPr>
          <w:rFonts w:ascii="Courier New" w:hAnsi="Courier New"/>
          <w:sz w:val="15"/>
        </w:rPr>
        <w:t xml:space="preserve">   output on a frontier system.</w:t>
      </w:r>
    </w:p>
    <w:p>
      <w:pPr>
        <w:spacing w:after="0"/>
      </w:pPr>
      <w:r>
        <w:rPr>
          <w:rFonts w:ascii="Courier New" w:hAnsi="Courier New"/>
          <w:sz w:val="15"/>
        </w:rPr>
        <w:t xml:space="preserve">   BOUNDARY: D6 is a DEPLOYED safeguard on a frontier system being bypassed/defeated with harmful</w:t>
      </w:r>
    </w:p>
    <w:p>
      <w:pPr>
        <w:spacing w:after="0"/>
      </w:pPr>
      <w:r>
        <w:rPr>
          <w:rFonts w:ascii="Courier New" w:hAnsi="Courier New"/>
          <w:sz w:val="15"/>
        </w:rPr>
        <w:t xml:space="preserve">   output. A finding that a MONITORING/DETECTION METHOD is unreliable (research evaluation of a</w:t>
      </w:r>
    </w:p>
    <w:p>
      <w:pPr>
        <w:spacing w:after="0"/>
      </w:pPr>
      <w:r>
        <w:rPr>
          <w:rFonts w:ascii="Courier New" w:hAnsi="Courier New"/>
          <w:sz w:val="15"/>
        </w:rPr>
        <w:t xml:space="preserve">   mitigation, with no actual deployed-safeguard breach) is NOT D6.</w:t>
      </w:r>
    </w:p>
    <w:p>
      <w:pPr>
        <w:spacing w:after="0"/>
      </w:pPr>
      <w:r>
        <w:rPr>
          <w:rFonts w:ascii="Courier New" w:hAnsi="Courier New"/>
          <w:sz w:val="15"/>
        </w:rPr>
        <w:t>D7 EVALUATION INTEGRITY COMPROMISED: the evaluation itself was undermined — model detected it was</w:t>
      </w:r>
    </w:p>
    <w:p>
      <w:pPr>
        <w:spacing w:after="0"/>
      </w:pPr>
      <w:r>
        <w:rPr>
          <w:rFonts w:ascii="Courier New" w:hAnsi="Courier New"/>
          <w:sz w:val="15"/>
        </w:rPr>
        <w:t xml:space="preserve">   being evaluated, gamed the benchmark, was trained on eval data (contamination), or</w:t>
      </w:r>
    </w:p>
    <w:p>
      <w:pPr>
        <w:spacing w:after="0"/>
      </w:pPr>
      <w:r>
        <w:rPr>
          <w:rFonts w:ascii="Courier New" w:hAnsi="Courier New"/>
          <w:sz w:val="15"/>
        </w:rPr>
        <w:t xml:space="preserve">   defeated/de-anonymised the evaluation environment.</w:t>
      </w:r>
    </w:p>
    <w:p>
      <w:pPr>
        <w:spacing w:after="0"/>
      </w:pPr>
      <w:r>
        <w:rPr>
          <w:rFonts w:ascii="Courier New" w:hAnsi="Courier New"/>
          <w:sz w:val="15"/>
        </w:rPr>
        <w:t xml:space="preserve">   BOUNDARY: D7 covers contamination discovered during eval, the MODEL gaming/defeating the</w:t>
      </w:r>
    </w:p>
    <w:p>
      <w:pPr>
        <w:spacing w:after="0"/>
      </w:pPr>
      <w:r>
        <w:rPr>
          <w:rFonts w:ascii="Courier New" w:hAnsi="Courier New"/>
          <w:sz w:val="15"/>
        </w:rPr>
        <w:t xml:space="preserve">   benchmark, the MODEL demonstrating eval-awareness as a present capability, or de-anonymising</w:t>
      </w:r>
    </w:p>
    <w:p>
      <w:pPr>
        <w:spacing w:after="0"/>
      </w:pPr>
      <w:r>
        <w:rPr>
          <w:rFonts w:ascii="Courier New" w:hAnsi="Courier New"/>
          <w:sz w:val="15"/>
        </w:rPr>
        <w:t xml:space="preserve">   the eval environment. A RESEARCHER's method to detect gaming, or gaming shown ONLY on</w:t>
      </w:r>
    </w:p>
    <w:p>
      <w:pPr>
        <w:spacing w:after="0"/>
      </w:pPr>
      <w:r>
        <w:rPr>
          <w:rFonts w:ascii="Courier New" w:hAnsi="Courier New"/>
          <w:sz w:val="15"/>
        </w:rPr>
        <w:t xml:space="preserve">   non-frontier models, is NOT D7.</w:t>
      </w:r>
    </w:p>
    <w:p>
      <w:pPr>
        <w:spacing w:after="0"/>
      </w:pPr>
      <w:r>
        <w:rPr>
          <w:rFonts w:ascii="Courier New" w:hAnsi="Courier New"/>
          <w:sz w:val="15"/>
        </w:rPr>
        <w:t xml:space="preserve"> </w:t>
      </w:r>
    </w:p>
    <w:p>
      <w:pPr>
        <w:spacing w:after="0"/>
      </w:pPr>
      <w:r>
        <w:rPr>
          <w:rFonts w:ascii="Courier New" w:hAnsi="Courier New"/>
          <w:sz w:val="15"/>
        </w:rPr>
        <w:t>If ANY of D1–D7 is demonstrated with credible evidence -&gt; CATEGORY 1. Otherwise -&gt; CATEGORY 2.</w:t>
      </w:r>
    </w:p>
    <w:p>
      <w:pPr>
        <w:spacing w:after="0"/>
      </w:pPr>
      <w:r>
        <w:rPr>
          <w:rFonts w:ascii="Courier New" w:hAnsi="Courier New"/>
          <w:sz w:val="15"/>
        </w:rPr>
        <w:t xml:space="preserve"> </w:t>
      </w:r>
    </w:p>
    <w:p>
      <w:pPr>
        <w:spacing w:after="0"/>
      </w:pPr>
      <w:r>
        <w:rPr>
          <w:rFonts w:ascii="Courier New" w:hAnsi="Courier New"/>
          <w:sz w:val="15"/>
        </w:rPr>
        <w:t>CATEGORY 2 (NON-CRITICAL): reassuring/null results (capability BELOW expert threshold, "no</w:t>
      </w:r>
    </w:p>
    <w:p>
      <w:pPr>
        <w:spacing w:after="0"/>
      </w:pPr>
      <w:r>
        <w:rPr>
          <w:rFonts w:ascii="Courier New" w:hAnsi="Courier New"/>
          <w:sz w:val="15"/>
        </w:rPr>
        <w:t>uplift", "did not degrade", "zero instances"); capability-gap findings (model FAILS a task);</w:t>
      </w:r>
    </w:p>
    <w:p>
      <w:pPr>
        <w:spacing w:after="0"/>
      </w:pPr>
      <w:r>
        <w:rPr>
          <w:rFonts w:ascii="Courier New" w:hAnsi="Courier New"/>
          <w:sz w:val="15"/>
        </w:rPr>
        <w:t>positive methodology/tool contributions; pure process/governance observations; findings about</w:t>
      </w:r>
    </w:p>
    <w:p>
      <w:pPr>
        <w:spacing w:after="0"/>
      </w:pPr>
      <w:r>
        <w:rPr>
          <w:rFonts w:ascii="Courier New" w:hAnsi="Courier New"/>
          <w:sz w:val="15"/>
        </w:rPr>
        <w:t>non-frontier/small research models where no frontier system is implicated.</w:t>
      </w:r>
    </w:p>
    <w:p>
      <w:pPr>
        <w:spacing w:after="0"/>
      </w:pPr>
      <w:r>
        <w:rPr>
          <w:rFonts w:ascii="Courier New" w:hAnsi="Courier New"/>
          <w:sz w:val="15"/>
        </w:rPr>
        <w:t xml:space="preserve"> </w:t>
      </w:r>
    </w:p>
    <w:p>
      <w:pPr>
        <w:spacing w:after="0"/>
      </w:pPr>
      <w:r>
        <w:rPr>
          <w:rFonts w:ascii="Courier New" w:hAnsi="Courier New"/>
          <w:sz w:val="15"/>
        </w:rPr>
        <w:t>CRITICAL RULES:</w:t>
      </w:r>
    </w:p>
    <w:p>
      <w:pPr>
        <w:spacing w:after="0"/>
      </w:pPr>
      <w:r>
        <w:rPr>
          <w:rFonts w:ascii="Courier New" w:hAnsi="Courier New"/>
          <w:sz w:val="15"/>
        </w:rPr>
        <w:t>1 NEGATION: "did NOT", "below expert", "zero instances", "no uplift", "remained below" -&gt; Cat 2,</w:t>
      </w:r>
    </w:p>
    <w:p>
      <w:pPr>
        <w:spacing w:after="0"/>
      </w:pPr>
      <w:r>
        <w:rPr>
          <w:rFonts w:ascii="Courier New" w:hAnsi="Courier New"/>
          <w:sz w:val="15"/>
        </w:rPr>
        <w:t xml:space="preserve">  even with alarming vocabulary.</w:t>
      </w:r>
    </w:p>
    <w:p>
      <w:pPr>
        <w:spacing w:after="0"/>
      </w:pPr>
      <w:r>
        <w:rPr>
          <w:rFonts w:ascii="Courier New" w:hAnsi="Courier New"/>
          <w:sz w:val="15"/>
        </w:rPr>
        <w:t>2 DEMONSTRATED, not mentioned: the capability/failure must be shown in the evaluation, not merely</w:t>
      </w:r>
    </w:p>
    <w:p>
      <w:pPr>
        <w:spacing w:after="0"/>
      </w:pPr>
      <w:r>
        <w:rPr>
          <w:rFonts w:ascii="Courier New" w:hAnsi="Courier New"/>
          <w:sz w:val="15"/>
        </w:rPr>
        <w:t xml:space="preserve">  discussed or proposed.</w:t>
      </w:r>
    </w:p>
    <w:p>
      <w:pPr>
        <w:spacing w:after="0"/>
      </w:pPr>
      <w:r>
        <w:rPr>
          <w:rFonts w:ascii="Courier New" w:hAnsi="Courier New"/>
          <w:sz w:val="15"/>
        </w:rPr>
        <w:t>3 TRAJECTORY: a rising trend counts as Cat 1 ONLY if a dangerous capability was reached NOW; a</w:t>
      </w:r>
    </w:p>
    <w:p>
      <w:pPr>
        <w:spacing w:after="0"/>
      </w:pPr>
      <w:r>
        <w:rPr>
          <w:rFonts w:ascii="Courier New" w:hAnsi="Courier New"/>
          <w:sz w:val="15"/>
        </w:rPr>
        <w:t xml:space="preserve">  pure future projection with no current dangerous level is Cat 2. If a specific dangerous</w:t>
      </w:r>
    </w:p>
    <w:p>
      <w:pPr>
        <w:spacing w:after="0"/>
      </w:pPr>
      <w:r>
        <w:rPr>
          <w:rFonts w:ascii="Courier New" w:hAnsi="Courier New"/>
          <w:sz w:val="15"/>
        </w:rPr>
        <w:t xml:space="preserve">  capability IS demonstrated at present, code Cat 1 even if the sentence also describes a trend.</w:t>
      </w:r>
    </w:p>
    <w:p>
      <w:pPr>
        <w:spacing w:after="0"/>
      </w:pPr>
      <w:r>
        <w:rPr>
          <w:rFonts w:ascii="Courier New" w:hAnsi="Courier New"/>
          <w:sz w:val="15"/>
        </w:rPr>
        <w:t xml:space="preserve">  A REASSURING trend (defences hardening, effort-to-bypass increasing) is Cat 2 even if it also</w:t>
      </w:r>
    </w:p>
    <w:p>
      <w:pPr>
        <w:spacing w:after="0"/>
      </w:pPr>
      <w:r>
        <w:rPr>
          <w:rFonts w:ascii="Courier New" w:hAnsi="Courier New"/>
          <w:sz w:val="15"/>
        </w:rPr>
        <w:t xml:space="preserve">  mentions a vulnerability.</w:t>
      </w:r>
    </w:p>
    <w:p>
      <w:pPr>
        <w:spacing w:after="0"/>
      </w:pPr>
      <w:r>
        <w:rPr>
          <w:rFonts w:ascii="Courier New" w:hAnsi="Courier New"/>
          <w:sz w:val="15"/>
        </w:rPr>
        <w:t>4 SOCIETAL HARM: documented real-world harm at scale IS Cat 1 under D4, even without a "safeguard".</w:t>
      </w:r>
    </w:p>
    <w:p>
      <w:pPr>
        <w:spacing w:after="0"/>
      </w:pPr>
      <w:r>
        <w:rPr>
          <w:rFonts w:ascii="Courier New" w:hAnsi="Courier New"/>
          <w:sz w:val="15"/>
        </w:rPr>
        <w:t>5 ABSOLUTE LEVEL: model-vs-model comparison alone is NOT sufficient for D1 or D4 — a dangerous</w:t>
      </w:r>
    </w:p>
    <w:p>
      <w:pPr>
        <w:spacing w:after="0"/>
      </w:pPr>
      <w:r>
        <w:rPr>
          <w:rFonts w:ascii="Courier New" w:hAnsi="Courier New"/>
          <w:sz w:val="15"/>
        </w:rPr>
        <w:t xml:space="preserve">  ABSOLUTE level (expert/human baseline or stated threshold) must be reached.</w:t>
      </w:r>
    </w:p>
    <w:p>
      <w:pPr>
        <w:spacing w:after="0"/>
      </w:pPr>
      <w:r>
        <w:rPr>
          <w:rFonts w:ascii="Courier New" w:hAnsi="Courier New"/>
          <w:sz w:val="15"/>
        </w:rPr>
        <w:t>6 NON-FRONTIER: if a dangerous capability/failure is demonstrated ONLY on non-frontier/small</w:t>
      </w:r>
    </w:p>
    <w:p>
      <w:pPr>
        <w:spacing w:after="0"/>
      </w:pPr>
      <w:r>
        <w:rPr>
          <w:rFonts w:ascii="Courier New" w:hAnsi="Courier New"/>
          <w:sz w:val="15"/>
        </w:rPr>
        <w:t xml:space="preserve">  research models (e.g. Llama-3.1-8B, Mistral-7B) and no frontier system is implicated -&gt; Cat 2.</w:t>
      </w:r>
    </w:p>
    <w:p>
      <w:pPr>
        <w:spacing w:after="0"/>
      </w:pPr>
      <w:r>
        <w:rPr>
          <w:rFonts w:ascii="Courier New" w:hAnsi="Courier New"/>
          <w:sz w:val="15"/>
        </w:rPr>
        <w:t xml:space="preserve"> </w:t>
      </w:r>
    </w:p>
    <w:p>
      <w:pPr>
        <w:spacing w:after="0"/>
      </w:pPr>
      <w:r>
        <w:rPr>
          <w:rFonts w:ascii="Courier New" w:hAnsi="Courier New"/>
          <w:sz w:val="15"/>
        </w:rPr>
        <w:t>OUTPUT (JSON only, no prose):</w:t>
      </w:r>
    </w:p>
    <w:p>
      <w:pPr>
        <w:spacing w:after="0"/>
      </w:pPr>
      <w:r>
        <w:rPr>
          <w:rFonts w:ascii="Courier New" w:hAnsi="Courier New"/>
          <w:sz w:val="15"/>
        </w:rPr>
        <w:t>{"d1_cbrn":bool,"d2_cyber":bool,"d3_autonomy":bool,"d4_persuasion_societal":bool,</w:t>
      </w:r>
    </w:p>
    <w:p>
      <w:pPr>
        <w:spacing w:after="0"/>
      </w:pPr>
      <w:r>
        <w:rPr>
          <w:rFonts w:ascii="Courier New" w:hAnsi="Courier New"/>
          <w:sz w:val="15"/>
        </w:rPr>
        <w:t xml:space="preserve"> "d5_deception":bool,"d6_safeguard_failure":bool,"d7_eval_integrity":bool,</w:t>
      </w:r>
    </w:p>
    <w:p>
      <w:pPr>
        <w:spacing w:after="0"/>
      </w:pPr>
      <w:r>
        <w:rPr>
          <w:rFonts w:ascii="Courier New" w:hAnsi="Courier New"/>
          <w:sz w:val="15"/>
        </w:rPr>
        <w:t xml:space="preserve"> "supporting_quote":"&lt;exact sentence justifying any TRUE domain; empty if all false&gt;",</w:t>
      </w:r>
    </w:p>
    <w:p>
      <w:pPr>
        <w:spacing w:after="0"/>
      </w:pPr>
      <w:r>
        <w:rPr>
          <w:rFonts w:ascii="Courier New" w:hAnsi="Courier New"/>
          <w:sz w:val="15"/>
        </w:rPr>
        <w:t xml:space="preserve"> "category":1 or 2,"confidence":"high" or "low","reason":"&lt;the deciding evidence and rationale for this category — which D-domain(s) drove it, or why all were false&gt;"}</w:t>
      </w:r>
    </w:p>
    <w:p>
      <w:pPr>
        <w:spacing w:after="0"/>
      </w:pPr>
      <w:r>
        <w:rPr>
          <w:rFonts w:ascii="Courier New" w:hAnsi="Courier New"/>
          <w:sz w:val="15"/>
        </w:rPr>
        <w:t>category = 1 if ANY d* is true, else 2.</w:t>
      </w:r>
    </w:p>
    <w:p>
      <w:pPr>
        <w:spacing w:after="0"/>
      </w:pPr>
      <w:r>
        <w:rPr>
          <w:rFonts w:ascii="Courier New" w:hAnsi="Courier New"/>
          <w:sz w:val="15"/>
        </w:rPr>
        <w:t xml:space="preserve"> </w:t>
      </w:r>
    </w:p>
    <w:p>
      <w:pPr>
        <w:spacing w:after="0"/>
      </w:pPr>
      <w:r>
        <w:rPr>
          <w:rFonts w:ascii="Courier New" w:hAnsi="Courier New"/>
          <w:sz w:val="15"/>
        </w:rPr>
        <w:t>FINDING TO ANNOTATE:</w:t>
      </w:r>
    </w:p>
    <w:p>
      <w:pPr>
        <w:spacing w:after="0"/>
      </w:pPr>
      <w:r>
        <w:rPr>
          <w:rFonts w:ascii="Courier New" w:hAnsi="Courier New"/>
          <w:sz w:val="15"/>
        </w:rPr>
        <w:t>Domain: {DOMAIN}</w:t>
      </w:r>
    </w:p>
    <w:p>
      <w:pPr>
        <w:spacing w:after="0"/>
      </w:pPr>
      <w:r>
        <w:rPr>
          <w:rFonts w:ascii="Courier New" w:hAnsi="Courier New"/>
          <w:sz w:val="15"/>
        </w:rPr>
        <w:t>Models/Systems: {MODELS}</w:t>
      </w:r>
    </w:p>
    <w:p>
      <w:pPr>
        <w:spacing w:after="0"/>
      </w:pPr>
      <w:r>
        <w:rPr>
          <w:rFonts w:ascii="Courier New" w:hAnsi="Courier New"/>
          <w:sz w:val="15"/>
        </w:rPr>
        <w:t>Finding: {FINDING}</w:t>
      </w:r>
    </w:p>
    <w:p>
      <w:pPr>
        <w:pStyle w:val="Heading1"/>
      </w:pPr>
      <w:r>
        <w:rPr>
          <w:color w:val="1F4E79"/>
        </w:rPr>
        <w:t>Appendix C — Institutional Comparison, Annotated</w:t>
      </w:r>
    </w:p>
    <w:p>
      <w:pPr>
        <w:spacing w:after="160"/>
      </w:pPr>
      <w:r>
        <w:rPr>
          <w:b w:val="0"/>
          <w:i/>
          <w:sz w:val="19"/>
        </w:rPr>
        <w:t>One- to two-sentence justifications for each row of Table 9. Comparator entries describe the statutory basis; the AISI/CAISI entry describes the documented absence.</w:t>
      </w:r>
    </w:p>
    <w:p>
      <w:pPr>
        <w:spacing w:after="40"/>
      </w:pPr>
      <w:r>
        <w:rPr>
          <w:b/>
          <w:sz w:val="20"/>
        </w:rPr>
        <w:t>Can block or delay market deployment</w:t>
      </w:r>
    </w:p>
    <w:p>
      <w:pPr>
        <w:pStyle w:val="ListBullet"/>
      </w:pPr>
      <w:r>
        <w:rPr>
          <w:b/>
          <w:sz w:val="19"/>
        </w:rPr>
        <w:t xml:space="preserve">Comparators: </w:t>
      </w:r>
      <w:r>
        <w:rPr>
          <w:sz w:val="19"/>
        </w:rPr>
        <w:t>FDA: premarket approval — drugs and devices cannot be marketed without authorisation. NRC: operating licences required before reactor operation. ONR: nuclear site licensing. FCA: product-intervention and authorisation powers. CAA: airworthiness certification. NTSB and PCAOB cannot block products (NTSB investigates; PCAOB regulates auditors, not issuers).</w:t>
      </w:r>
    </w:p>
    <w:p>
      <w:pPr>
        <w:pStyle w:val="ListBullet"/>
        <w:spacing w:after="160"/>
      </w:pPr>
      <w:r>
        <w:rPr>
          <w:b/>
          <w:sz w:val="19"/>
        </w:rPr>
        <w:t xml:space="preserve">AISI / CAISI: </w:t>
      </w:r>
      <w:r>
        <w:rPr>
          <w:sz w:val="19"/>
        </w:rPr>
        <w:t>AISI/CAISI have no authority to delay or block any deployment; the Fable 5/Mythos 5 suspension (Section 5.1) required a separate instrument — export-control law — invoked by the Commerce Department.</w:t>
      </w:r>
    </w:p>
    <w:p>
      <w:pPr>
        <w:spacing w:after="40"/>
      </w:pPr>
      <w:r>
        <w:rPr>
          <w:b/>
          <w:sz w:val="20"/>
        </w:rPr>
        <w:t>Mandatory disclosure of findings</w:t>
      </w:r>
    </w:p>
    <w:p>
      <w:pPr>
        <w:pStyle w:val="ListBullet"/>
      </w:pPr>
      <w:r>
        <w:rPr>
          <w:b/>
          <w:sz w:val="19"/>
        </w:rPr>
        <w:t xml:space="preserve">Comparators: </w:t>
      </w:r>
      <w:r>
        <w:rPr>
          <w:sz w:val="19"/>
        </w:rPr>
        <w:t>FDA publishes approval decisions and inspection letters; NRC publishes inspection findings and event reports; NTSB reports are public by statute; PCAOB publishes inspection reports; ONR, FCA and CAA publish enforcement and inspection outcomes.</w:t>
      </w:r>
    </w:p>
    <w:p>
      <w:pPr>
        <w:pStyle w:val="ListBullet"/>
        <w:spacing w:after="160"/>
      </w:pPr>
      <w:r>
        <w:rPr>
          <w:b/>
          <w:sz w:val="19"/>
        </w:rPr>
        <w:t xml:space="preserve">AISI / CAISI: </w:t>
      </w:r>
      <w:r>
        <w:rPr>
          <w:sz w:val="19"/>
        </w:rPr>
        <w:t>AISI evaluation publication is governed by agreement with the evaluated company; the company effectively controls what is published and when.</w:t>
      </w:r>
    </w:p>
    <w:p>
      <w:pPr>
        <w:spacing w:after="40"/>
      </w:pPr>
      <w:r>
        <w:rPr>
          <w:b/>
          <w:sz w:val="20"/>
        </w:rPr>
        <w:t>Privileged access rights (cannot be denied)</w:t>
      </w:r>
    </w:p>
    <w:p>
      <w:pPr>
        <w:pStyle w:val="ListBullet"/>
      </w:pPr>
      <w:r>
        <w:rPr>
          <w:b/>
          <w:sz w:val="19"/>
        </w:rPr>
        <w:t xml:space="preserve">Comparators: </w:t>
      </w:r>
      <w:r>
        <w:rPr>
          <w:sz w:val="19"/>
        </w:rPr>
        <w:t>FDA can inspect facilities; NRC has resident inspectors on site; NTSB has statutory access to wreckage, records and recorders; PCAOB can compel audit workpapers; ONR/FCA/CAA hold statutory inspection and information-gathering powers.</w:t>
      </w:r>
    </w:p>
    <w:p>
      <w:pPr>
        <w:pStyle w:val="ListBullet"/>
        <w:spacing w:after="160"/>
      </w:pPr>
      <w:r>
        <w:rPr>
          <w:b/>
          <w:sz w:val="19"/>
        </w:rPr>
        <w:t xml:space="preserve">AISI / CAISI: </w:t>
      </w:r>
      <w:r>
        <w:rPr>
          <w:sz w:val="19"/>
        </w:rPr>
        <w:t>AISI access is voluntary, company-granted, and negotiated per evaluation exercise; no statute compels a company to grant it or forbids withdrawing it.</w:t>
      </w:r>
    </w:p>
    <w:p>
      <w:pPr>
        <w:spacing w:after="40"/>
      </w:pPr>
      <w:r>
        <w:rPr>
          <w:b/>
          <w:sz w:val="20"/>
        </w:rPr>
        <w:t>Defined escalation thresholds (finding → required action)</w:t>
      </w:r>
    </w:p>
    <w:p>
      <w:pPr>
        <w:pStyle w:val="ListBullet"/>
      </w:pPr>
      <w:r>
        <w:rPr>
          <w:b/>
          <w:sz w:val="19"/>
        </w:rPr>
        <w:t xml:space="preserve">Comparators: </w:t>
      </w:r>
      <w:r>
        <w:rPr>
          <w:sz w:val="19"/>
        </w:rPr>
        <w:t>FDA: adverse findings trigger defined regulatory actions (warning letters, recalls, withdrawal). NRC: findings map to a graded enforcement matrix. PCAOB: inspection deficiencies trigger remediation requirements. ONR/FCA/CAA: graduated statutory enforcement ladders. NTSB: partial — findings produce recommendations that the FAA must formally answer but need not adopt.</w:t>
      </w:r>
    </w:p>
    <w:p>
      <w:pPr>
        <w:pStyle w:val="ListBullet"/>
        <w:spacing w:after="160"/>
      </w:pPr>
      <w:r>
        <w:rPr>
          <w:b/>
          <w:sz w:val="19"/>
        </w:rPr>
        <w:t xml:space="preserve">AISI / CAISI: </w:t>
      </w:r>
      <w:r>
        <w:rPr>
          <w:sz w:val="19"/>
        </w:rPr>
        <w:t>No finding severity, in any published AISI framework, triggers any required action by anyone.</w:t>
      </w:r>
    </w:p>
    <w:p>
      <w:pPr>
        <w:spacing w:after="40"/>
      </w:pPr>
      <w:r>
        <w:rPr>
          <w:b/>
          <w:sz w:val="20"/>
        </w:rPr>
        <w:t>Right to verify company remediation claims</w:t>
      </w:r>
    </w:p>
    <w:p>
      <w:pPr>
        <w:pStyle w:val="ListBullet"/>
      </w:pPr>
      <w:r>
        <w:rPr>
          <w:b/>
          <w:sz w:val="19"/>
        </w:rPr>
        <w:t xml:space="preserve">Comparators: </w:t>
      </w:r>
      <w:r>
        <w:rPr>
          <w:sz w:val="19"/>
        </w:rPr>
        <w:t>FDA re-inspects before lifting warning-letter status; NRC verifies corrective actions before closing findings; PCAOB reviews remediation within 12 months; ONR/FCA/CAA verify compliance before closing enforcement. NTSB lacks this (it can only re-recommend).</w:t>
      </w:r>
    </w:p>
    <w:p>
      <w:pPr>
        <w:pStyle w:val="ListBullet"/>
        <w:spacing w:after="160"/>
      </w:pPr>
      <w:r>
        <w:rPr>
          <w:b/>
          <w:sz w:val="19"/>
        </w:rPr>
        <w:t xml:space="preserve">AISI / CAISI: </w:t>
      </w:r>
      <w:r>
        <w:rPr>
          <w:sz w:val="19"/>
        </w:rPr>
        <w:t>Documented failure: UK AISI could not verify OpenAI's claimed GPT-5.5 jailbreak fix before deployment (Section 4.7). The one verified case — CAISI testing Anthropic's rebuilt safeguards — occurred only because an export-control order made verification a redeployment condition.</w:t>
      </w:r>
    </w:p>
    <w:p>
      <w:pPr>
        <w:spacing w:after="40"/>
      </w:pPr>
      <w:r>
        <w:rPr>
          <w:b/>
          <w:sz w:val="20"/>
        </w:rPr>
        <w:t>Defined pathway to an enforcement body</w:t>
      </w:r>
    </w:p>
    <w:p>
      <w:pPr>
        <w:pStyle w:val="ListBullet"/>
      </w:pPr>
      <w:r>
        <w:rPr>
          <w:b/>
          <w:sz w:val="19"/>
        </w:rPr>
        <w:t xml:space="preserve">Comparators: </w:t>
      </w:r>
      <w:r>
        <w:rPr>
          <w:sz w:val="19"/>
        </w:rPr>
        <w:t>FDA and NRC are themselves enforcement bodies; NTSB recommendations go to the FAA, which must respond formally; PCAOB refers to the SEC; ONR/FCA/CAA prosecute or sanction directly.</w:t>
      </w:r>
    </w:p>
    <w:p>
      <w:pPr>
        <w:pStyle w:val="ListBullet"/>
        <w:spacing w:after="160"/>
      </w:pPr>
      <w:r>
        <w:rPr>
          <w:b/>
          <w:sz w:val="19"/>
        </w:rPr>
        <w:t xml:space="preserve">AISI / CAISI: </w:t>
      </w:r>
      <w:r>
        <w:rPr>
          <w:sz w:val="19"/>
        </w:rPr>
        <w:t>AISI findings have no defined institutional recipient with enforcement authority in either the UK or the US.</w:t>
      </w:r>
    </w:p>
    <w:p>
      <w:pPr>
        <w:spacing w:after="40"/>
      </w:pPr>
      <w:r>
        <w:rPr>
          <w:b/>
          <w:sz w:val="20"/>
        </w:rPr>
        <w:t>Post-evaluation follow-up and tracking</w:t>
      </w:r>
    </w:p>
    <w:p>
      <w:pPr>
        <w:pStyle w:val="ListBullet"/>
      </w:pPr>
      <w:r>
        <w:rPr>
          <w:b/>
          <w:sz w:val="19"/>
        </w:rPr>
        <w:t xml:space="preserve">Comparators: </w:t>
      </w:r>
      <w:r>
        <w:rPr>
          <w:sz w:val="19"/>
        </w:rPr>
        <w:t>NTSB maintains a public recommendation-status database (open/closed/unacceptable); FDA tracks warning-letter closeouts; NRC tracks findings to closure; PCAOB tracks remediation; ONR/FCA/CAA maintain public enforcement registers.</w:t>
      </w:r>
    </w:p>
    <w:p>
      <w:pPr>
        <w:pStyle w:val="ListBullet"/>
        <w:spacing w:after="160"/>
      </w:pPr>
      <w:r>
        <w:rPr>
          <w:b/>
          <w:sz w:val="19"/>
        </w:rPr>
        <w:t xml:space="preserve">AISI / CAISI: </w:t>
      </w:r>
      <w:r>
        <w:rPr>
          <w:sz w:val="19"/>
        </w:rPr>
        <w:t>No AISI publishes any systematic record of whether its findings were acted on. This paper's dataset is, to our knowledge, the first public attempt.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nalsingh9373.github.io/evaluating-the-evaluators/" TargetMode="External"/><Relationship Id="rId10" Type="http://schemas.openxmlformats.org/officeDocument/2006/relationships/hyperlink" Target="https://arxiv.org/abs/2502.09618" TargetMode="External"/><Relationship Id="rId11" Type="http://schemas.openxmlformats.org/officeDocument/2006/relationships/hyperlink" Target="https://arxiv.org/abs/2601.11699" TargetMode="External"/><Relationship Id="rId12" Type="http://schemas.openxmlformats.org/officeDocument/2006/relationships/hyperlink" Target="https://dl.acm.org/doi/10.1145/3306618.3314244" TargetMode="External"/><Relationship Id="rId13" Type="http://schemas.openxmlformats.org/officeDocument/2006/relationships/hyperlink" Target="https://arxiv.org/abs/2509.22872" TargetMode="External"/><Relationship Id="rId14" Type="http://schemas.openxmlformats.org/officeDocument/2006/relationships/hyperlink" Target="https://arxiv.org/abs/2410.13042" TargetMode="External"/><Relationship Id="rId15" Type="http://schemas.openxmlformats.org/officeDocument/2006/relationships/hyperlink" Target="https://arxiv.org/abs/2508.08345" TargetMode="External"/><Relationship Id="rId16" Type="http://schemas.openxmlformats.org/officeDocument/2006/relationships/hyperlink" Target="https://arxiv.org/abs/2604.14070" TargetMode="External"/><Relationship Id="rId17" Type="http://schemas.openxmlformats.org/officeDocument/2006/relationships/hyperlink" Target="https://arxiv.org/abs/2602.21012" TargetMode="External"/><Relationship Id="rId18" Type="http://schemas.openxmlformats.org/officeDocument/2006/relationships/hyperlink" Target="https://arxiv.org/abs/2410.09024" TargetMode="External"/><Relationship Id="rId19" Type="http://schemas.openxmlformats.org/officeDocument/2006/relationships/hyperlink" Target="https://arxiv.org/abs/2410.09219" TargetMode="External"/><Relationship Id="rId20" Type="http://schemas.openxmlformats.org/officeDocument/2006/relationships/hyperlink" Target="https://arxiv.org/abs/2401.14446" TargetMode="External"/><Relationship Id="rId21" Type="http://schemas.openxmlformats.org/officeDocument/2006/relationships/hyperlink" Target="https://arxiv.org/abs/2602.15001" TargetMode="External"/><Relationship Id="rId22" Type="http://schemas.openxmlformats.org/officeDocument/2006/relationships/hyperlink" Target="https://arxiv.org/abs/2506.24068" TargetMode="External"/><Relationship Id="rId23" Type="http://schemas.openxmlformats.org/officeDocument/2006/relationships/hyperlink" Target="https://arxiv.org/abs/2501.18837" TargetMode="External"/><Relationship Id="rId24" Type="http://schemas.openxmlformats.org/officeDocument/2006/relationships/hyperlink" Target="https://arxiv.org/abs/2512.07810" TargetMode="External"/><Relationship Id="rId25" Type="http://schemas.openxmlformats.org/officeDocument/2006/relationships/hyperlink" Target="https://www.anthropic.com/claude-4-system-card" TargetMode="External"/><Relationship Id="rId26" Type="http://schemas.openxmlformats.org/officeDocument/2006/relationships/hyperlink" Target="https://openai.com/index/us-caisi-uk-aisi-ai-update/" TargetMode="External"/><Relationship Id="rId27" Type="http://schemas.openxmlformats.org/officeDocument/2006/relationships/hyperlink" Target="https://www.anthropic.com/news/strengthening-our-safeguards-through-collaboration-with-us-caisi-and-uk-aisi" TargetMode="External"/><Relationship Id="rId28" Type="http://schemas.openxmlformats.org/officeDocument/2006/relationships/hyperlink" Target="https://deploymentsafety.openai.com/gpt-5-3-codex/cyber-safeguards" TargetMode="External"/><Relationship Id="rId29" Type="http://schemas.openxmlformats.org/officeDocument/2006/relationships/hyperlink" Target="https://x.com/OpenAINewsroom/status/2023806364196434425" TargetMode="External"/><Relationship Id="rId30" Type="http://schemas.openxmlformats.org/officeDocument/2006/relationships/hyperlink" Target="https://deploymentsafety.openai.com/gpt-5-5/biological-and-chemical" TargetMode="External"/><Relationship Id="rId31" Type="http://schemas.openxmlformats.org/officeDocument/2006/relationships/hyperlink" Target="https://deploymentsafety.openai.com/gpt-5-5/cybersecurity" TargetMode="External"/><Relationship Id="rId32" Type="http://schemas.openxmlformats.org/officeDocument/2006/relationships/hyperlink" Target="https://www.anthropic.com/news/redeploying-fable-5" TargetMode="External"/><Relationship Id="rId33" Type="http://schemas.openxmlformats.org/officeDocument/2006/relationships/hyperlink" Target="https://deploymentsafety.openai.com/gpt-5-6/gpt-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