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pPr>
      <w:r>
        <w:rPr>
          <w:b/>
          <w:color w:val="1F5547"/>
          <w:sz w:val="20"/>
        </w:rPr>
        <w:t>KV6014 LOG TASK 2 · @DESIGNER(S) DELIVERABLE (COMPLETED DESIGN SPEC &amp; UX DIFFERENTIATION)</w:t>
      </w:r>
    </w:p>
    <w:p>
      <w:pPr>
        <w:keepNext/>
        <w:spacing w:before="0" w:after="120"/>
      </w:pPr>
      <w:r>
        <w:rPr>
          <w:rFonts w:ascii="Georgia" w:hAnsi="Georgia"/>
          <w:b/>
          <w:color w:val="18241E"/>
          <w:sz w:val="44"/>
        </w:rPr>
        <w:t>Completed Design Specification, Competitor UX Differentiation &amp; Developer Alignment Matrix</w:t>
      </w:r>
    </w:p>
    <w:p>
      <w:pPr>
        <w:spacing w:before="0" w:after="240"/>
      </w:pPr>
      <w:r>
        <w:rPr>
          <w:color w:val="5D6B62"/>
          <w:sz w:val="22"/>
        </w:rPr>
        <w:t>Project: ROSE Event Management Application (KV6014BHV31-GP6/event-management-app) | Forest Green (#1F5547) System</w:t>
      </w:r>
    </w:p>
    <w:tbl>
      <w:tblPr>
        <w:tblW w:type="auto" w:w="0"/>
        <w:jc w:val="center"/>
        <w:tblLook w:firstColumn="1" w:firstRow="1" w:lastColumn="0" w:lastRow="0" w:noHBand="0" w:noVBand="1" w:val="04A0"/>
      </w:tblPr>
      <w:tblGrid>
        <w:gridCol w:w="9360"/>
      </w:tblGrid>
      <w:tr>
        <w:trPr>
          <w:cantSplit/>
        </w:trPr>
        <w:tc>
          <w:tcPr>
            <w:tcW w:type="dxa" w:w="9360"/>
            <w:shd w:fill="EDF1E4"/>
          </w:tcPr>
          <w:p>
            <w:pPr>
              <w:spacing w:before="120" w:after="120" w:line="276" w:lineRule="auto"/>
            </w:pPr>
            <w:r>
              <w:rPr>
                <w:b/>
                <w:color w:val="1F5547"/>
                <w:sz w:val="22"/>
              </w:rPr>
              <w:t>Response to Cease-and-Desist Scenario &amp; Traceability Guarantee</w:t>
              <w:br/>
            </w:r>
            <w:r>
              <w:rPr>
                <w:color w:val="18241E"/>
                <w:sz w:val="21"/>
              </w:rPr>
              <w:t>To address the Log Task 2 competitor infringement challenge, this specification documents how our UX architecture differs fundamentally from commercial ticketing and generic form platforms, while maintaining 100% field-and-component alignment with the team's `frontend/live/` codebase and `/api/v1` FastAPI backend.</w:t>
            </w:r>
          </w:p>
        </w:tc>
      </w:tr>
    </w:tbl>
    <w:p>
      <w:pPr>
        <w:spacing w:before="0" w:after="80"/>
      </w:pPr>
    </w:p>
    <w:p>
      <w:pPr>
        <w:keepNext/>
        <w:spacing w:before="320" w:after="120"/>
      </w:pPr>
      <w:r>
        <w:rPr>
          <w:rFonts w:ascii="Georgia" w:hAnsi="Georgia"/>
          <w:b/>
          <w:color w:val="1F5547"/>
          <w:sz w:val="32"/>
        </w:rPr>
        <w:t>1. Competitor UX Differentiation Analysis Report</w:t>
      </w:r>
    </w:p>
    <w:p>
      <w:pPr>
        <w:spacing w:before="0" w:after="120" w:line="276" w:lineRule="auto"/>
      </w:pPr>
      <w:r>
        <w:rPr>
          <w:color w:val="18241E"/>
          <w:sz w:val="22"/>
        </w:rPr>
        <w:t>Aligned with the Project Manager's seven-competitor baseline (Ticket Tailor, Eventbrite, SimplyBook.me, CommCare, KoboToolbox, TextIt, and Ticket2U), our UX analysis evaluates why no single existing tool satisfies ROSE Foundation's B40 cervical screening workflow out of the box.</w:t>
      </w:r>
    </w:p>
    <w:tbl>
      <w:tblPr>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vAlign w:val="center"/>
            <w:shd w:fill="1F5547"/>
          </w:tcPr>
          <w:p>
            <w:pPr>
              <w:keepNext/>
              <w:spacing w:before="80" w:after="80"/>
            </w:pPr>
            <w:r>
              <w:rPr>
                <w:b/>
                <w:color w:val="FFFFFF"/>
                <w:sz w:val="20"/>
              </w:rPr>
              <w:t>Platform</w:t>
            </w:r>
          </w:p>
        </w:tc>
        <w:tc>
          <w:tcPr>
            <w:tcW w:type="dxa" w:w="1872"/>
            <w:vAlign w:val="center"/>
            <w:shd w:fill="1F5547"/>
          </w:tcPr>
          <w:p>
            <w:pPr>
              <w:keepNext/>
              <w:spacing w:before="80" w:after="80"/>
            </w:pPr>
            <w:r>
              <w:rPr>
                <w:b/>
                <w:color w:val="FFFFFF"/>
                <w:sz w:val="20"/>
              </w:rPr>
              <w:t>Primary UX Paradigm</w:t>
            </w:r>
          </w:p>
        </w:tc>
        <w:tc>
          <w:tcPr>
            <w:tcW w:type="dxa" w:w="1872"/>
            <w:vAlign w:val="center"/>
            <w:shd w:fill="1F5547"/>
          </w:tcPr>
          <w:p>
            <w:pPr>
              <w:keepNext/>
              <w:spacing w:before="80" w:after="80"/>
            </w:pPr>
            <w:r>
              <w:rPr>
                <w:b/>
                <w:color w:val="FFFFFF"/>
                <w:sz w:val="20"/>
              </w:rPr>
              <w:t>Dual Quota Split UI (Online vs Offline)</w:t>
            </w:r>
          </w:p>
        </w:tc>
        <w:tc>
          <w:tcPr>
            <w:tcW w:type="dxa" w:w="1872"/>
            <w:vAlign w:val="center"/>
            <w:shd w:fill="1F5547"/>
          </w:tcPr>
          <w:p>
            <w:pPr>
              <w:keepNext/>
              <w:spacing w:before="80" w:after="80"/>
            </w:pPr>
            <w:r>
              <w:rPr>
                <w:b/>
                <w:color w:val="FFFFFF"/>
                <w:sz w:val="20"/>
              </w:rPr>
              <w:t>Leader Outreach, Proxy &amp; Reviewed OCR</w:t>
            </w:r>
          </w:p>
        </w:tc>
        <w:tc>
          <w:tcPr>
            <w:tcW w:type="dxa" w:w="1872"/>
            <w:vAlign w:val="center"/>
            <w:shd w:fill="1F5547"/>
          </w:tcPr>
          <w:p>
            <w:pPr>
              <w:keepNext/>
              <w:spacing w:before="80" w:after="80"/>
            </w:pPr>
            <w:r>
              <w:rPr>
                <w:b/>
                <w:color w:val="FFFFFF"/>
                <w:sz w:val="20"/>
              </w:rPr>
              <w:t>Offline Check-In &amp; Conflict Resolution UI</w:t>
            </w:r>
          </w:p>
        </w:tc>
      </w:tr>
      <w:tr>
        <w:trPr>
          <w:cantSplit/>
        </w:trPr>
        <w:tc>
          <w:tcPr>
            <w:tcW w:type="dxa" w:w="1872"/>
            <w:vAlign w:val="center"/>
          </w:tcPr>
          <w:p>
            <w:pPr>
              <w:spacing w:before="60" w:after="60" w:line="264" w:lineRule="auto"/>
            </w:pPr>
            <w:r>
              <w:rPr>
                <w:b/>
                <w:color w:val="18241E"/>
                <w:sz w:val="20"/>
              </w:rPr>
              <w:t>Ticket Tailor</w:t>
            </w:r>
          </w:p>
        </w:tc>
        <w:tc>
          <w:tcPr>
            <w:tcW w:type="dxa" w:w="1872"/>
            <w:vAlign w:val="center"/>
          </w:tcPr>
          <w:p>
            <w:pPr>
              <w:spacing w:before="60" w:after="60" w:line="264" w:lineRule="auto"/>
            </w:pPr>
            <w:r>
              <w:rPr>
                <w:color w:val="18241E"/>
                <w:sz w:val="20"/>
              </w:rPr>
              <w:t>Commercial event ticketing &amp; entry</w:t>
            </w:r>
          </w:p>
        </w:tc>
        <w:tc>
          <w:tcPr>
            <w:tcW w:type="dxa" w:w="1872"/>
            <w:vAlign w:val="center"/>
          </w:tcPr>
          <w:p>
            <w:pPr>
              <w:spacing w:before="60" w:after="60" w:line="264" w:lineRule="auto"/>
            </w:pPr>
            <w:r>
              <w:rPr>
                <w:color w:val="18241E"/>
                <w:sz w:val="20"/>
              </w:rPr>
              <w:t>Standard ticket tiers only; no online/offline community pool isolation</w:t>
            </w:r>
          </w:p>
        </w:tc>
        <w:tc>
          <w:tcPr>
            <w:tcW w:type="dxa" w:w="1872"/>
            <w:vAlign w:val="center"/>
          </w:tcPr>
          <w:p>
            <w:pPr>
              <w:spacing w:before="60" w:after="60" w:line="264" w:lineRule="auto"/>
            </w:pPr>
            <w:r>
              <w:rPr>
                <w:color w:val="18241E"/>
                <w:sz w:val="20"/>
              </w:rPr>
              <w:t>Referral links &amp; manual orders; lacks leader quota progress &amp; OCR review gate</w:t>
            </w:r>
          </w:p>
        </w:tc>
        <w:tc>
          <w:tcPr>
            <w:tcW w:type="dxa" w:w="1872"/>
            <w:vAlign w:val="center"/>
          </w:tcPr>
          <w:p>
            <w:pPr>
              <w:spacing w:before="60" w:after="60" w:line="264" w:lineRule="auto"/>
            </w:pPr>
            <w:r>
              <w:rPr>
                <w:color w:val="18241E"/>
                <w:sz w:val="20"/>
              </w:rPr>
              <w:t>Offline check-in app exists, but native SMS is limited to UK/US and lacks conflict review UI</w:t>
            </w:r>
          </w:p>
        </w:tc>
      </w:tr>
      <w:tr>
        <w:trPr>
          <w:cantSplit/>
        </w:trPr>
        <w:tc>
          <w:tcPr>
            <w:tcW w:type="dxa" w:w="1872"/>
            <w:vAlign w:val="center"/>
            <w:shd w:fill="F6F8F4"/>
          </w:tcPr>
          <w:p>
            <w:pPr>
              <w:spacing w:before="60" w:after="60" w:line="264" w:lineRule="auto"/>
            </w:pPr>
            <w:r>
              <w:rPr>
                <w:b/>
                <w:color w:val="18241E"/>
                <w:sz w:val="20"/>
              </w:rPr>
              <w:t>Eventbrite</w:t>
            </w:r>
          </w:p>
        </w:tc>
        <w:tc>
          <w:tcPr>
            <w:tcW w:type="dxa" w:w="1872"/>
            <w:vAlign w:val="center"/>
            <w:shd w:fill="F6F8F4"/>
          </w:tcPr>
          <w:p>
            <w:pPr>
              <w:spacing w:before="60" w:after="60" w:line="264" w:lineRule="auto"/>
            </w:pPr>
            <w:r>
              <w:rPr>
                <w:color w:val="18241E"/>
                <w:sz w:val="20"/>
              </w:rPr>
              <w:t>Public event discovery &amp; ticket sales</w:t>
            </w:r>
          </w:p>
        </w:tc>
        <w:tc>
          <w:tcPr>
            <w:tcW w:type="dxa" w:w="1872"/>
            <w:vAlign w:val="center"/>
            <w:shd w:fill="F6F8F4"/>
          </w:tcPr>
          <w:p>
            <w:pPr>
              <w:spacing w:before="60" w:after="60" w:line="264" w:lineRule="auto"/>
            </w:pPr>
            <w:r>
              <w:rPr>
                <w:color w:val="18241E"/>
                <w:sz w:val="20"/>
              </w:rPr>
              <w:t>Single open inventory pool; online traffic can starve offline B40 access</w:t>
            </w:r>
          </w:p>
        </w:tc>
        <w:tc>
          <w:tcPr>
            <w:tcW w:type="dxa" w:w="1872"/>
            <w:vAlign w:val="center"/>
            <w:shd w:fill="F6F8F4"/>
          </w:tcPr>
          <w:p>
            <w:pPr>
              <w:spacing w:before="60" w:after="60" w:line="264" w:lineRule="auto"/>
            </w:pPr>
            <w:r>
              <w:rPr>
                <w:color w:val="18241E"/>
                <w:sz w:val="20"/>
              </w:rPr>
              <w:t>Self-service attendee focus; no village leader WhatsApp/flyer reporting loop</w:t>
            </w:r>
          </w:p>
        </w:tc>
        <w:tc>
          <w:tcPr>
            <w:tcW w:type="dxa" w:w="1872"/>
            <w:vAlign w:val="center"/>
            <w:shd w:fill="F6F8F4"/>
          </w:tcPr>
          <w:p>
            <w:pPr>
              <w:spacing w:before="60" w:after="60" w:line="264" w:lineRule="auto"/>
            </w:pPr>
            <w:r>
              <w:rPr>
                <w:color w:val="18241E"/>
                <w:sz w:val="20"/>
              </w:rPr>
              <w:t>Offline ticket scanning; heavy web assets unsuited to low-literacy proxy workflows</w:t>
            </w:r>
          </w:p>
        </w:tc>
      </w:tr>
      <w:tr>
        <w:trPr>
          <w:cantSplit/>
        </w:trPr>
        <w:tc>
          <w:tcPr>
            <w:tcW w:type="dxa" w:w="1872"/>
            <w:vAlign w:val="center"/>
          </w:tcPr>
          <w:p>
            <w:pPr>
              <w:spacing w:before="60" w:after="60" w:line="264" w:lineRule="auto"/>
            </w:pPr>
            <w:r>
              <w:rPr>
                <w:b/>
                <w:color w:val="18241E"/>
                <w:sz w:val="20"/>
              </w:rPr>
              <w:t>SimplyBook.me</w:t>
            </w:r>
          </w:p>
        </w:tc>
        <w:tc>
          <w:tcPr>
            <w:tcW w:type="dxa" w:w="1872"/>
            <w:vAlign w:val="center"/>
          </w:tcPr>
          <w:p>
            <w:pPr>
              <w:spacing w:before="60" w:after="60" w:line="264" w:lineRule="auto"/>
            </w:pPr>
            <w:r>
              <w:rPr>
                <w:color w:val="18241E"/>
                <w:sz w:val="20"/>
              </w:rPr>
              <w:t>Clinic &amp; salon timeslot scheduling</w:t>
            </w:r>
          </w:p>
        </w:tc>
        <w:tc>
          <w:tcPr>
            <w:tcW w:type="dxa" w:w="1872"/>
            <w:vAlign w:val="center"/>
          </w:tcPr>
          <w:p>
            <w:pPr>
              <w:spacing w:before="60" w:after="60" w:line="264" w:lineRule="auto"/>
            </w:pPr>
            <w:r>
              <w:rPr>
                <w:color w:val="18241E"/>
                <w:sz w:val="20"/>
              </w:rPr>
              <w:t>Per-slot capacity limits; no split between public web and leader proxy pools</w:t>
            </w:r>
          </w:p>
        </w:tc>
        <w:tc>
          <w:tcPr>
            <w:tcW w:type="dxa" w:w="1872"/>
            <w:vAlign w:val="center"/>
          </w:tcPr>
          <w:p>
            <w:pPr>
              <w:spacing w:before="60" w:after="60" w:line="264" w:lineRule="auto"/>
            </w:pPr>
            <w:r>
              <w:rPr>
                <w:color w:val="18241E"/>
                <w:sz w:val="20"/>
              </w:rPr>
              <w:t>Supports guest booking &amp; SMS, but lacks leader referral attribution &amp; OCR intake</w:t>
            </w:r>
          </w:p>
        </w:tc>
        <w:tc>
          <w:tcPr>
            <w:tcW w:type="dxa" w:w="1872"/>
            <w:vAlign w:val="center"/>
          </w:tcPr>
          <w:p>
            <w:pPr>
              <w:spacing w:before="60" w:after="60" w:line="264" w:lineRule="auto"/>
            </w:pPr>
            <w:r>
              <w:rPr>
                <w:color w:val="18241E"/>
                <w:sz w:val="20"/>
              </w:rPr>
              <w:t>Online calendar centric; lacks preloaded offline field roster &amp; conflict queue</w:t>
            </w:r>
          </w:p>
        </w:tc>
      </w:tr>
      <w:tr>
        <w:trPr>
          <w:cantSplit/>
        </w:trPr>
        <w:tc>
          <w:tcPr>
            <w:tcW w:type="dxa" w:w="1872"/>
            <w:vAlign w:val="center"/>
            <w:shd w:fill="F6F8F4"/>
          </w:tcPr>
          <w:p>
            <w:pPr>
              <w:spacing w:before="60" w:after="60" w:line="264" w:lineRule="auto"/>
            </w:pPr>
            <w:r>
              <w:rPr>
                <w:b/>
                <w:color w:val="18241E"/>
                <w:sz w:val="20"/>
              </w:rPr>
              <w:t>CommCare</w:t>
            </w:r>
          </w:p>
        </w:tc>
        <w:tc>
          <w:tcPr>
            <w:tcW w:type="dxa" w:w="1872"/>
            <w:vAlign w:val="center"/>
            <w:shd w:fill="F6F8F4"/>
          </w:tcPr>
          <w:p>
            <w:pPr>
              <w:spacing w:before="60" w:after="60" w:line="264" w:lineRule="auto"/>
            </w:pPr>
            <w:r>
              <w:rPr>
                <w:color w:val="18241E"/>
                <w:sz w:val="20"/>
              </w:rPr>
              <w:t>Frontline health worker case management</w:t>
            </w:r>
          </w:p>
        </w:tc>
        <w:tc>
          <w:tcPr>
            <w:tcW w:type="dxa" w:w="1872"/>
            <w:vAlign w:val="center"/>
            <w:shd w:fill="F6F8F4"/>
          </w:tcPr>
          <w:p>
            <w:pPr>
              <w:spacing w:before="60" w:after="60" w:line="264" w:lineRule="auto"/>
            </w:pPr>
            <w:r>
              <w:rPr>
                <w:color w:val="18241E"/>
                <w:sz w:val="20"/>
              </w:rPr>
              <w:t>Case forms without transactional dual-pool slot ledger or automatic waitlist</w:t>
            </w:r>
          </w:p>
        </w:tc>
        <w:tc>
          <w:tcPr>
            <w:tcW w:type="dxa" w:w="1872"/>
            <w:vAlign w:val="center"/>
            <w:shd w:fill="F6F8F4"/>
          </w:tcPr>
          <w:p>
            <w:pPr>
              <w:spacing w:before="60" w:after="60" w:line="264" w:lineRule="auto"/>
            </w:pPr>
            <w:r>
              <w:rPr>
                <w:color w:val="18241E"/>
                <w:sz w:val="20"/>
              </w:rPr>
              <w:t>Strong field forms, but lacks public low-bandwidth event discovery &amp; referral hub</w:t>
            </w:r>
          </w:p>
        </w:tc>
        <w:tc>
          <w:tcPr>
            <w:tcW w:type="dxa" w:w="1872"/>
            <w:vAlign w:val="center"/>
            <w:shd w:fill="F6F8F4"/>
          </w:tcPr>
          <w:p>
            <w:pPr>
              <w:spacing w:before="60" w:after="60" w:line="264" w:lineRule="auto"/>
            </w:pPr>
            <w:r>
              <w:rPr>
                <w:color w:val="18241E"/>
                <w:sz w:val="20"/>
              </w:rPr>
              <w:t>Robust offline storage, but requires custom app engineering to model event quotas</w:t>
            </w:r>
          </w:p>
        </w:tc>
      </w:tr>
      <w:tr>
        <w:trPr>
          <w:cantSplit/>
        </w:trPr>
        <w:tc>
          <w:tcPr>
            <w:tcW w:type="dxa" w:w="1872"/>
            <w:vAlign w:val="center"/>
          </w:tcPr>
          <w:p>
            <w:pPr>
              <w:spacing w:before="60" w:after="60" w:line="264" w:lineRule="auto"/>
            </w:pPr>
            <w:r>
              <w:rPr>
                <w:b/>
                <w:color w:val="18241E"/>
                <w:sz w:val="20"/>
              </w:rPr>
              <w:t>KoboToolbox</w:t>
            </w:r>
          </w:p>
        </w:tc>
        <w:tc>
          <w:tcPr>
            <w:tcW w:type="dxa" w:w="1872"/>
            <w:vAlign w:val="center"/>
          </w:tcPr>
          <w:p>
            <w:pPr>
              <w:spacing w:before="60" w:after="60" w:line="264" w:lineRule="auto"/>
            </w:pPr>
            <w:r>
              <w:rPr>
                <w:color w:val="18241E"/>
                <w:sz w:val="20"/>
              </w:rPr>
              <w:t>Humanitarian offline survey collection</w:t>
            </w:r>
          </w:p>
        </w:tc>
        <w:tc>
          <w:tcPr>
            <w:tcW w:type="dxa" w:w="1872"/>
            <w:vAlign w:val="center"/>
          </w:tcPr>
          <w:p>
            <w:pPr>
              <w:spacing w:before="60" w:after="60" w:line="264" w:lineRule="auto"/>
            </w:pPr>
            <w:r>
              <w:rPr>
                <w:color w:val="18241E"/>
                <w:sz w:val="20"/>
              </w:rPr>
              <w:t>Form submissions do not enforce atomic last-seat capacity locks on a server</w:t>
            </w:r>
          </w:p>
        </w:tc>
        <w:tc>
          <w:tcPr>
            <w:tcW w:type="dxa" w:w="1872"/>
            <w:vAlign w:val="center"/>
          </w:tcPr>
          <w:p>
            <w:pPr>
              <w:spacing w:before="60" w:after="60" w:line="264" w:lineRule="auto"/>
            </w:pPr>
            <w:r>
              <w:rPr>
                <w:color w:val="18241E"/>
                <w:sz w:val="20"/>
              </w:rPr>
              <w:t>Supports source fields &amp; offline forms, but does not deduct leader quota allocations</w:t>
            </w:r>
          </w:p>
        </w:tc>
        <w:tc>
          <w:tcPr>
            <w:tcW w:type="dxa" w:w="1872"/>
            <w:vAlign w:val="center"/>
          </w:tcPr>
          <w:p>
            <w:pPr>
              <w:spacing w:before="60" w:after="60" w:line="264" w:lineRule="auto"/>
            </w:pPr>
            <w:r>
              <w:rPr>
                <w:color w:val="18241E"/>
                <w:sz w:val="20"/>
              </w:rPr>
              <w:t>Caches form uploads only; no preloaded attendee check-in roster or walk-in release</w:t>
            </w:r>
          </w:p>
        </w:tc>
      </w:tr>
      <w:tr>
        <w:trPr>
          <w:cantSplit/>
        </w:trPr>
        <w:tc>
          <w:tcPr>
            <w:tcW w:type="dxa" w:w="1872"/>
            <w:vAlign w:val="center"/>
            <w:shd w:fill="F6F8F4"/>
          </w:tcPr>
          <w:p>
            <w:pPr>
              <w:spacing w:before="60" w:after="60" w:line="264" w:lineRule="auto"/>
            </w:pPr>
            <w:r>
              <w:rPr>
                <w:b/>
                <w:color w:val="18241E"/>
                <w:sz w:val="20"/>
              </w:rPr>
              <w:t>TextIt</w:t>
            </w:r>
          </w:p>
        </w:tc>
        <w:tc>
          <w:tcPr>
            <w:tcW w:type="dxa" w:w="1872"/>
            <w:vAlign w:val="center"/>
            <w:shd w:fill="F6F8F4"/>
          </w:tcPr>
          <w:p>
            <w:pPr>
              <w:spacing w:before="60" w:after="60" w:line="264" w:lineRule="auto"/>
            </w:pPr>
            <w:r>
              <w:rPr>
                <w:color w:val="18241E"/>
                <w:sz w:val="20"/>
              </w:rPr>
              <w:t>Two-way SMS / WhatsApp flow engine</w:t>
            </w:r>
          </w:p>
        </w:tc>
        <w:tc>
          <w:tcPr>
            <w:tcW w:type="dxa" w:w="1872"/>
            <w:vAlign w:val="center"/>
            <w:shd w:fill="F6F8F4"/>
          </w:tcPr>
          <w:p>
            <w:pPr>
              <w:spacing w:before="60" w:after="60" w:line="264" w:lineRule="auto"/>
            </w:pPr>
            <w:r>
              <w:rPr>
                <w:color w:val="18241E"/>
                <w:sz w:val="20"/>
              </w:rPr>
              <w:t>Messaging engine only; no visual event setup or dual quota management UI</w:t>
            </w:r>
          </w:p>
        </w:tc>
        <w:tc>
          <w:tcPr>
            <w:tcW w:type="dxa" w:w="1872"/>
            <w:vAlign w:val="center"/>
            <w:shd w:fill="F6F8F4"/>
          </w:tcPr>
          <w:p>
            <w:pPr>
              <w:spacing w:before="60" w:after="60" w:line="264" w:lineRule="auto"/>
            </w:pPr>
            <w:r>
              <w:rPr>
                <w:color w:val="18241E"/>
                <w:sz w:val="20"/>
              </w:rPr>
              <w:t>Automates SMS reminders, but has no printable flyer generator or OCR form review</w:t>
            </w:r>
          </w:p>
        </w:tc>
        <w:tc>
          <w:tcPr>
            <w:tcW w:type="dxa" w:w="1872"/>
            <w:vAlign w:val="center"/>
            <w:shd w:fill="F6F8F4"/>
          </w:tcPr>
          <w:p>
            <w:pPr>
              <w:spacing w:before="60" w:after="60" w:line="264" w:lineRule="auto"/>
            </w:pPr>
            <w:r>
              <w:rPr>
                <w:color w:val="18241E"/>
                <w:sz w:val="20"/>
              </w:rPr>
              <w:t>No field staff roster search, attendance check-in, or conflict resolution interface</w:t>
            </w:r>
          </w:p>
        </w:tc>
      </w:tr>
      <w:tr>
        <w:trPr>
          <w:cantSplit/>
        </w:trPr>
        <w:tc>
          <w:tcPr>
            <w:tcW w:type="dxa" w:w="1872"/>
            <w:vAlign w:val="center"/>
          </w:tcPr>
          <w:p>
            <w:pPr>
              <w:spacing w:before="60" w:after="60" w:line="264" w:lineRule="auto"/>
            </w:pPr>
            <w:r>
              <w:rPr>
                <w:b/>
                <w:color w:val="18241E"/>
                <w:sz w:val="20"/>
              </w:rPr>
              <w:t>Ticket2U</w:t>
            </w:r>
          </w:p>
        </w:tc>
        <w:tc>
          <w:tcPr>
            <w:tcW w:type="dxa" w:w="1872"/>
            <w:vAlign w:val="center"/>
          </w:tcPr>
          <w:p>
            <w:pPr>
              <w:spacing w:before="60" w:after="60" w:line="264" w:lineRule="auto"/>
            </w:pPr>
            <w:r>
              <w:rPr>
                <w:color w:val="18241E"/>
                <w:sz w:val="20"/>
              </w:rPr>
              <w:t>Malaysian commercial ticketing &amp; QR entry</w:t>
            </w:r>
          </w:p>
        </w:tc>
        <w:tc>
          <w:tcPr>
            <w:tcW w:type="dxa" w:w="1872"/>
            <w:vAlign w:val="center"/>
          </w:tcPr>
          <w:p>
            <w:pPr>
              <w:spacing w:before="60" w:after="60" w:line="264" w:lineRule="auto"/>
            </w:pPr>
            <w:r>
              <w:rPr>
                <w:color w:val="18241E"/>
                <w:sz w:val="20"/>
              </w:rPr>
              <w:t>Commercial ticket categories; no dedicated B40 offline community leader quota pool</w:t>
            </w:r>
          </w:p>
        </w:tc>
        <w:tc>
          <w:tcPr>
            <w:tcW w:type="dxa" w:w="1872"/>
            <w:vAlign w:val="center"/>
          </w:tcPr>
          <w:p>
            <w:pPr>
              <w:spacing w:before="60" w:after="60" w:line="264" w:lineRule="auto"/>
            </w:pPr>
            <w:r>
              <w:rPr>
                <w:color w:val="18241E"/>
                <w:sz w:val="20"/>
              </w:rPr>
              <w:t>Affiliate link tracking exists, but lacks self-reported flyer log &amp; no-account OCR proxy</w:t>
            </w:r>
          </w:p>
        </w:tc>
        <w:tc>
          <w:tcPr>
            <w:tcW w:type="dxa" w:w="1872"/>
            <w:vAlign w:val="center"/>
          </w:tcPr>
          <w:p>
            <w:pPr>
              <w:spacing w:before="60" w:after="60" w:line="264" w:lineRule="auto"/>
            </w:pPr>
            <w:r>
              <w:rPr>
                <w:color w:val="18241E"/>
                <w:sz w:val="20"/>
              </w:rPr>
              <w:t>Supports QR check-in, but designed for commercial venues rather than offline rural clinics</w:t>
            </w:r>
          </w:p>
        </w:tc>
      </w:tr>
      <w:tr>
        <w:trPr>
          <w:cantSplit/>
        </w:trPr>
        <w:tc>
          <w:tcPr>
            <w:tcW w:type="dxa" w:w="1872"/>
            <w:vAlign w:val="center"/>
            <w:shd w:fill="F6F8F4"/>
          </w:tcPr>
          <w:p>
            <w:pPr>
              <w:spacing w:before="60" w:after="60" w:line="264" w:lineRule="auto"/>
            </w:pPr>
            <w:r>
              <w:rPr>
                <w:b/>
                <w:color w:val="18241E"/>
                <w:sz w:val="20"/>
              </w:rPr>
              <w:t>ROSE Event Management App (Ours)</w:t>
            </w:r>
          </w:p>
        </w:tc>
        <w:tc>
          <w:tcPr>
            <w:tcW w:type="dxa" w:w="1872"/>
            <w:vAlign w:val="center"/>
            <w:shd w:fill="F6F8F4"/>
          </w:tcPr>
          <w:p>
            <w:pPr>
              <w:spacing w:before="60" w:after="60" w:line="264" w:lineRule="auto"/>
            </w:pPr>
            <w:r>
              <w:rPr>
                <w:color w:val="18241E"/>
                <w:sz w:val="20"/>
              </w:rPr>
              <w:t>Low-resource NGO screening coordination (Web + SMS + Assisted)</w:t>
            </w:r>
          </w:p>
        </w:tc>
        <w:tc>
          <w:tcPr>
            <w:tcW w:type="dxa" w:w="1872"/>
            <w:vAlign w:val="center"/>
            <w:shd w:fill="F6F8F4"/>
          </w:tcPr>
          <w:p>
            <w:pPr>
              <w:spacing w:before="60" w:after="60" w:line="264" w:lineRule="auto"/>
            </w:pPr>
            <w:r>
              <w:rPr>
                <w:color w:val="18241E"/>
                <w:sz w:val="20"/>
              </w:rPr>
              <w:t>Native `online_quota` &amp; `offline_quota` split on event creation (`SCR-05`) and live monitor (`SCR-10`)</w:t>
            </w:r>
          </w:p>
        </w:tc>
        <w:tc>
          <w:tcPr>
            <w:tcW w:type="dxa" w:w="1872"/>
            <w:vAlign w:val="center"/>
            <w:shd w:fill="F6F8F4"/>
          </w:tcPr>
          <w:p>
            <w:pPr>
              <w:spacing w:before="60" w:after="60" w:line="264" w:lineRule="auto"/>
            </w:pPr>
            <w:r>
              <w:rPr>
                <w:color w:val="18241E"/>
                <w:sz w:val="20"/>
              </w:rPr>
              <w:t>Unified Leader Hub (`SCR-08/09`): Referral URL + A4 Flyer + Amber-gated OCR Proxy + Flyer Log</w:t>
            </w:r>
          </w:p>
        </w:tc>
        <w:tc>
          <w:tcPr>
            <w:tcW w:type="dxa" w:w="1872"/>
            <w:vAlign w:val="center"/>
            <w:shd w:fill="F6F8F4"/>
          </w:tcPr>
          <w:p>
            <w:pPr>
              <w:spacing w:before="60" w:after="60" w:line="264" w:lineRule="auto"/>
            </w:pPr>
            <w:r>
              <w:rPr>
                <w:color w:val="18241E"/>
                <w:sz w:val="20"/>
              </w:rPr>
              <w:t>Explicit `PENDING_SYNC` -&gt; `SYNCED` / `CONFLICT` queue (`SCR-11`) with scoped roster revision</w:t>
            </w:r>
          </w:p>
        </w:tc>
      </w:tr>
    </w:tbl>
    <w:p>
      <w:pPr>
        <w:spacing w:before="0" w:after="120"/>
      </w:pPr>
    </w:p>
    <w:p>
      <w:pPr>
        <w:keepNext/>
        <w:spacing w:before="240" w:after="80"/>
      </w:pPr>
      <w:r>
        <w:rPr>
          <w:rFonts w:ascii="Georgia" w:hAnsi="Georgia"/>
          <w:b/>
          <w:color w:val="18241E"/>
          <w:sz w:val="27"/>
        </w:rPr>
        <w:t>1.1 Five Core UX Originality Pillars (Evidence Against Infringement)</w:t>
      </w:r>
    </w:p>
    <w:p>
      <w:pPr>
        <w:spacing w:before="0" w:after="120" w:line="276" w:lineRule="auto"/>
      </w:pPr>
      <w:r>
        <w:rPr>
          <w:b/>
          <w:color w:val="18241E"/>
          <w:sz w:val="22"/>
        </w:rPr>
        <w:t>1. Dual-Pool Quota Isolation (`online_quota` vs `offline_quota`):</w:t>
      </w:r>
      <w:r>
        <w:rPr>
          <w:color w:val="18241E"/>
          <w:sz w:val="22"/>
        </w:rPr>
        <w:t xml:space="preserve"> Commercial platforms treat all registrants as a single self-service pool. Our UI physically separates `online_quota` (for digitally literate applicants on `registration.html`) from `offline_quota` (reserved for Community Leader proxy entry, reviewed paper OCR, and eligible walk-ins), preventing online sign-ups from crowding out vulnerable rural women.</w:t>
      </w:r>
    </w:p>
    <w:p>
      <w:pPr>
        <w:spacing w:before="0" w:after="120" w:line="276" w:lineRule="auto"/>
      </w:pPr>
      <w:r>
        <w:rPr>
          <w:b/>
          <w:color w:val="18241E"/>
          <w:sz w:val="22"/>
        </w:rPr>
        <w:t>2. Strict Separation of Self-Reported Flyers vs Verified Attribution:</w:t>
      </w:r>
      <w:r>
        <w:rPr>
          <w:color w:val="18241E"/>
          <w:sz w:val="22"/>
        </w:rPr>
        <w:t xml:space="preserve"> To solve ROSE's promotion black box without conflating flyer distribution with real turnout, our Organizer Dashboard (`SCR-10`) and Closeout Report (`SCR-12`) visually separate self-reported printed flyer counts (badged as `Self-reported · Unverified Reach`) from server-verified referral registrations and checked-in arrivals.</w:t>
      </w:r>
    </w:p>
    <w:p>
      <w:pPr>
        <w:spacing w:before="0" w:after="120" w:line="276" w:lineRule="auto"/>
      </w:pPr>
      <w:r>
        <w:rPr>
          <w:b/>
          <w:color w:val="18241E"/>
          <w:sz w:val="22"/>
        </w:rPr>
        <w:t>3. Human-in-the-Loop Paper OCR Proxy Registration (`US-07`):</w:t>
      </w:r>
      <w:r>
        <w:rPr>
          <w:color w:val="18241E"/>
          <w:sz w:val="22"/>
        </w:rPr>
        <w:t xml:space="preserve"> Rather than raw automated OCR ingestion or manual-only typing, `SCR-09` introduces a mandatory Amber Verification Gate: camera-extracted fields populate standard `ParticipantCreate` inputs with high-contrast review borders, requiring explicit Community Leader confirmation before deducting `offline_quota`.</w:t>
      </w:r>
    </w:p>
    <w:p>
      <w:pPr>
        <w:spacing w:before="0" w:after="120" w:line="276" w:lineRule="auto"/>
      </w:pPr>
      <w:r>
        <w:rPr>
          <w:b/>
          <w:color w:val="18241E"/>
          <w:sz w:val="22"/>
        </w:rPr>
        <w:t>4. Capacity-Driven Pause / Boost Outreach Signalling (`US-05`):</w:t>
      </w:r>
      <w:r>
        <w:rPr>
          <w:color w:val="18241E"/>
          <w:sz w:val="22"/>
        </w:rPr>
        <w:t xml:space="preserve"> When registrations reach &gt;=80% capacity or lag below target, `SCR-10` equips ROSE Organizers with one-click Pause / Boost promotion signals directed to assigned Community Leaders, directly addressing the client's fear of over-promoting or under-promoting.</w:t>
      </w:r>
    </w:p>
    <w:p>
      <w:pPr>
        <w:spacing w:before="0" w:after="120" w:line="276" w:lineRule="auto"/>
      </w:pPr>
      <w:r>
        <w:t>5. Honest Server-Authoritative &amp; Offline Conflict State Machine (`US-09`): Neither Participant booking receipts (`SCR-07`) nor Organizer US-09 Event-Day offline check-ins (`SCR-11`, `role='organizer'`) ever display optimistic false success. Offline check-ins are badged `PENDING_SYNC (Stored locally)` until server reconciliation, and concurrent device edits surface an explicit `CONFLICT — Needs Review` resolution card.</w:t>
      </w:r>
    </w:p>
    <w:p>
      <w:pPr>
        <w:keepNext/>
        <w:spacing w:before="320" w:after="120"/>
      </w:pPr>
      <w:r>
        <w:rPr>
          <w:rFonts w:ascii="Georgia" w:hAnsi="Georgia"/>
          <w:b/>
          <w:color w:val="1F5547"/>
          <w:sz w:val="32"/>
        </w:rPr>
        <w:t>2. Visual Design System, Figma Component Structure &amp; Auto Layout Specification</w:t>
      </w:r>
    </w:p>
    <w:p>
      <w:pPr>
        <w:spacing w:before="0" w:after="120" w:line="276" w:lineRule="auto"/>
      </w:pPr>
      <w:r>
        <w:rPr>
          <w:color w:val="18241E"/>
          <w:sz w:val="22"/>
        </w:rPr>
        <w:t>In accordance with team constraints, the visual system preserves the exact Forest Green (`--green: #1F5547`) color architecture and `Georgia` serif heading hierarchy implemented in `frontend/live/styles.css`, while refining component elevation, status badges, quota meters, and accessibility focus states.</w:t>
      </w:r>
    </w:p>
    <w:p>
      <w:pPr>
        <w:keepNext/>
        <w:spacing w:before="120" w:after="60"/>
        <w:jc w:val="center"/>
      </w:pPr>
      <w:r>
        <w:drawing>
          <wp:inline xmlns:a="http://schemas.openxmlformats.org/drawingml/2006/main" xmlns:pic="http://schemas.openxmlformats.org/drawingml/2006/picture">
            <wp:extent cx="5852160" cy="2340864"/>
            <wp:docPr id="1" name="Picture 1"/>
            <wp:cNvGraphicFramePr>
              <a:graphicFrameLocks noChangeAspect="1"/>
            </wp:cNvGraphicFramePr>
            <a:graphic>
              <a:graphicData uri="http://schemas.openxmlformats.org/drawingml/2006/picture">
                <pic:pic>
                  <pic:nvPicPr>
                    <pic:cNvPr id="0" name="fig_figma_design_system.png"/>
                    <pic:cNvPicPr/>
                  </pic:nvPicPr>
                  <pic:blipFill>
                    <a:blip r:embed="rId9"/>
                    <a:stretch>
                      <a:fillRect/>
                    </a:stretch>
                  </pic:blipFill>
                  <pic:spPr>
                    <a:xfrm>
                      <a:off x="0" y="0"/>
                      <a:ext cx="5852160" cy="2340864"/>
                    </a:xfrm>
                    <a:prstGeom prst="rect"/>
                  </pic:spPr>
                </pic:pic>
              </a:graphicData>
            </a:graphic>
          </wp:inline>
        </w:drawing>
      </w:r>
    </w:p>
    <w:p>
      <w:pPr>
        <w:spacing w:before="0" w:after="160"/>
        <w:jc w:val="center"/>
      </w:pPr>
      <w:r>
        <w:rPr>
          <w:i/>
          <w:color w:val="5D6B62"/>
          <w:sz w:val="19"/>
        </w:rPr>
        <w:t>Figure 4: Figma Color Tokens, Typography Hierarchy, Auto Layout Parameters, and 8 Core Component Sets.</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340"/>
            <w:vAlign w:val="center"/>
            <w:shd w:fill="1F5547"/>
          </w:tcPr>
          <w:p>
            <w:pPr>
              <w:keepNext/>
              <w:spacing w:before="80" w:after="80"/>
            </w:pPr>
            <w:r>
              <w:rPr>
                <w:b/>
                <w:color w:val="FFFFFF"/>
                <w:sz w:val="20"/>
              </w:rPr>
              <w:t>Token / Variable Name</w:t>
            </w:r>
          </w:p>
        </w:tc>
        <w:tc>
          <w:tcPr>
            <w:tcW w:type="dxa" w:w="2340"/>
            <w:vAlign w:val="center"/>
            <w:shd w:fill="1F5547"/>
          </w:tcPr>
          <w:p>
            <w:pPr>
              <w:keepNext/>
              <w:spacing w:before="80" w:after="80"/>
            </w:pPr>
            <w:r>
              <w:rPr>
                <w:b/>
                <w:color w:val="FFFFFF"/>
                <w:sz w:val="20"/>
              </w:rPr>
              <w:t>Hex Code</w:t>
            </w:r>
          </w:p>
        </w:tc>
        <w:tc>
          <w:tcPr>
            <w:tcW w:type="dxa" w:w="2340"/>
            <w:vAlign w:val="center"/>
            <w:shd w:fill="1F5547"/>
          </w:tcPr>
          <w:p>
            <w:pPr>
              <w:keepNext/>
              <w:spacing w:before="80" w:after="80"/>
            </w:pPr>
            <w:r>
              <w:rPr>
                <w:b/>
                <w:color w:val="FFFFFF"/>
                <w:sz w:val="20"/>
              </w:rPr>
              <w:t>Figma Style Name</w:t>
            </w:r>
          </w:p>
        </w:tc>
        <w:tc>
          <w:tcPr>
            <w:tcW w:type="dxa" w:w="2340"/>
            <w:vAlign w:val="center"/>
            <w:shd w:fill="1F5547"/>
          </w:tcPr>
          <w:p>
            <w:pPr>
              <w:keepNext/>
              <w:spacing w:before="80" w:after="80"/>
            </w:pPr>
            <w:r>
              <w:rPr>
                <w:b/>
                <w:color w:val="FFFFFF"/>
                <w:sz w:val="20"/>
              </w:rPr>
              <w:t>Semantic Usage in UI &amp; `frontend/live/styles.css`</w:t>
            </w:r>
          </w:p>
        </w:tc>
      </w:tr>
      <w:tr>
        <w:trPr>
          <w:cantSplit/>
        </w:trPr>
        <w:tc>
          <w:tcPr>
            <w:tcW w:type="dxa" w:w="2340"/>
            <w:vAlign w:val="center"/>
          </w:tcPr>
          <w:p>
            <w:pPr>
              <w:spacing w:before="60" w:after="60" w:line="264" w:lineRule="auto"/>
            </w:pPr>
            <w:r>
              <w:rPr>
                <w:b/>
                <w:color w:val="18241E"/>
                <w:sz w:val="20"/>
              </w:rPr>
              <w:t>--green</w:t>
            </w:r>
          </w:p>
        </w:tc>
        <w:tc>
          <w:tcPr>
            <w:tcW w:type="dxa" w:w="2340"/>
            <w:vAlign w:val="center"/>
          </w:tcPr>
          <w:p>
            <w:pPr>
              <w:spacing w:before="60" w:after="60" w:line="264" w:lineRule="auto"/>
            </w:pPr>
            <w:r>
              <w:rPr>
                <w:color w:val="18241E"/>
                <w:sz w:val="20"/>
              </w:rPr>
              <w:t>#1F5547</w:t>
            </w:r>
          </w:p>
        </w:tc>
        <w:tc>
          <w:tcPr>
            <w:tcW w:type="dxa" w:w="2340"/>
            <w:vAlign w:val="center"/>
          </w:tcPr>
          <w:p>
            <w:pPr>
              <w:spacing w:before="60" w:after="60" w:line="264" w:lineRule="auto"/>
            </w:pPr>
            <w:r>
              <w:rPr>
                <w:color w:val="18241E"/>
                <w:sz w:val="20"/>
              </w:rPr>
              <w:t>Brand / Forest Green 700</w:t>
            </w:r>
          </w:p>
        </w:tc>
        <w:tc>
          <w:tcPr>
            <w:tcW w:type="dxa" w:w="2340"/>
            <w:vAlign w:val="center"/>
          </w:tcPr>
          <w:p>
            <w:pPr>
              <w:spacing w:before="60" w:after="60" w:line="264" w:lineRule="auto"/>
            </w:pPr>
            <w:r>
              <w:rPr>
                <w:color w:val="18241E"/>
                <w:sz w:val="20"/>
              </w:rPr>
              <w:t>Primary buttons (`.button`), `.eyebrow` labels, active badges, quota progress fill</w:t>
            </w:r>
          </w:p>
        </w:tc>
      </w:tr>
      <w:tr>
        <w:trPr>
          <w:cantSplit/>
        </w:trPr>
        <w:tc>
          <w:tcPr>
            <w:tcW w:type="dxa" w:w="2340"/>
            <w:vAlign w:val="center"/>
            <w:shd w:fill="F6F8F4"/>
          </w:tcPr>
          <w:p>
            <w:pPr>
              <w:spacing w:before="60" w:after="60" w:line="264" w:lineRule="auto"/>
            </w:pPr>
            <w:r>
              <w:rPr>
                <w:b/>
                <w:color w:val="18241E"/>
                <w:sz w:val="20"/>
              </w:rPr>
              <w:t>--green-hover</w:t>
            </w:r>
          </w:p>
        </w:tc>
        <w:tc>
          <w:tcPr>
            <w:tcW w:type="dxa" w:w="2340"/>
            <w:vAlign w:val="center"/>
            <w:shd w:fill="F6F8F4"/>
          </w:tcPr>
          <w:p>
            <w:pPr>
              <w:spacing w:before="60" w:after="60" w:line="264" w:lineRule="auto"/>
            </w:pPr>
            <w:r>
              <w:rPr>
                <w:color w:val="18241E"/>
                <w:sz w:val="20"/>
              </w:rPr>
              <w:t>#174537</w:t>
            </w:r>
          </w:p>
        </w:tc>
        <w:tc>
          <w:tcPr>
            <w:tcW w:type="dxa" w:w="2340"/>
            <w:vAlign w:val="center"/>
            <w:shd w:fill="F6F8F4"/>
          </w:tcPr>
          <w:p>
            <w:pPr>
              <w:spacing w:before="60" w:after="60" w:line="264" w:lineRule="auto"/>
            </w:pPr>
            <w:r>
              <w:rPr>
                <w:color w:val="18241E"/>
                <w:sz w:val="20"/>
              </w:rPr>
              <w:t>Brand / Forest Green 800</w:t>
            </w:r>
          </w:p>
        </w:tc>
        <w:tc>
          <w:tcPr>
            <w:tcW w:type="dxa" w:w="2340"/>
            <w:vAlign w:val="center"/>
            <w:shd w:fill="F6F8F4"/>
          </w:tcPr>
          <w:p>
            <w:pPr>
              <w:spacing w:before="60" w:after="60" w:line="264" w:lineRule="auto"/>
            </w:pPr>
            <w:r>
              <w:rPr>
                <w:color w:val="18241E"/>
                <w:sz w:val="20"/>
              </w:rPr>
              <w:t>Primary button hover and active pressed state</w:t>
            </w:r>
          </w:p>
        </w:tc>
      </w:tr>
      <w:tr>
        <w:trPr>
          <w:cantSplit/>
        </w:trPr>
        <w:tc>
          <w:tcPr>
            <w:tcW w:type="dxa" w:w="2340"/>
            <w:vAlign w:val="center"/>
          </w:tcPr>
          <w:p>
            <w:pPr>
              <w:spacing w:before="60" w:after="60" w:line="264" w:lineRule="auto"/>
            </w:pPr>
            <w:r>
              <w:rPr>
                <w:b/>
                <w:color w:val="18241E"/>
                <w:sz w:val="20"/>
              </w:rPr>
              <w:t>--welcome-bg / --welcome-border</w:t>
            </w:r>
          </w:p>
        </w:tc>
        <w:tc>
          <w:tcPr>
            <w:tcW w:type="dxa" w:w="2340"/>
            <w:vAlign w:val="center"/>
          </w:tcPr>
          <w:p>
            <w:pPr>
              <w:spacing w:before="60" w:after="60" w:line="264" w:lineRule="auto"/>
            </w:pPr>
            <w:r>
              <w:rPr>
                <w:color w:val="18241E"/>
                <w:sz w:val="20"/>
              </w:rPr>
              <w:t>#EDF1E4 / #D9E2CF</w:t>
            </w:r>
          </w:p>
        </w:tc>
        <w:tc>
          <w:tcPr>
            <w:tcW w:type="dxa" w:w="2340"/>
            <w:vAlign w:val="center"/>
          </w:tcPr>
          <w:p>
            <w:pPr>
              <w:spacing w:before="60" w:after="60" w:line="264" w:lineRule="auto"/>
            </w:pPr>
            <w:r>
              <w:rPr>
                <w:color w:val="18241E"/>
                <w:sz w:val="20"/>
              </w:rPr>
              <w:t>Surface / Sage Tint 100</w:t>
            </w:r>
          </w:p>
        </w:tc>
        <w:tc>
          <w:tcPr>
            <w:tcW w:type="dxa" w:w="2340"/>
            <w:vAlign w:val="center"/>
          </w:tcPr>
          <w:p>
            <w:pPr>
              <w:spacing w:before="60" w:after="60" w:line="264" w:lineRule="auto"/>
            </w:pPr>
            <w:r>
              <w:rPr>
                <w:color w:val="18241E"/>
                <w:sz w:val="20"/>
              </w:rPr>
              <w:t>Welcome card background (`index.html`), role summary banners, table header tint</w:t>
            </w:r>
          </w:p>
        </w:tc>
      </w:tr>
      <w:tr>
        <w:trPr>
          <w:cantSplit/>
        </w:trPr>
        <w:tc>
          <w:tcPr>
            <w:tcW w:type="dxa" w:w="2340"/>
            <w:vAlign w:val="center"/>
            <w:shd w:fill="F6F8F4"/>
          </w:tcPr>
          <w:p>
            <w:pPr>
              <w:spacing w:before="60" w:after="60" w:line="264" w:lineRule="auto"/>
            </w:pPr>
            <w:r>
              <w:rPr>
                <w:b/>
                <w:color w:val="18241E"/>
                <w:sz w:val="20"/>
              </w:rPr>
              <w:t>--quiet-hover</w:t>
            </w:r>
          </w:p>
        </w:tc>
        <w:tc>
          <w:tcPr>
            <w:tcW w:type="dxa" w:w="2340"/>
            <w:vAlign w:val="center"/>
            <w:shd w:fill="F6F8F4"/>
          </w:tcPr>
          <w:p>
            <w:pPr>
              <w:spacing w:before="60" w:after="60" w:line="264" w:lineRule="auto"/>
            </w:pPr>
            <w:r>
              <w:rPr>
                <w:color w:val="18241E"/>
                <w:sz w:val="20"/>
              </w:rPr>
              <w:t>#EDF1E8</w:t>
            </w:r>
          </w:p>
        </w:tc>
        <w:tc>
          <w:tcPr>
            <w:tcW w:type="dxa" w:w="2340"/>
            <w:vAlign w:val="center"/>
            <w:shd w:fill="F6F8F4"/>
          </w:tcPr>
          <w:p>
            <w:pPr>
              <w:spacing w:before="60" w:after="60" w:line="264" w:lineRule="auto"/>
            </w:pPr>
            <w:r>
              <w:rPr>
                <w:color w:val="18241E"/>
                <w:sz w:val="20"/>
              </w:rPr>
              <w:t>Surface / Quiet Hover 150</w:t>
            </w:r>
          </w:p>
        </w:tc>
        <w:tc>
          <w:tcPr>
            <w:tcW w:type="dxa" w:w="2340"/>
            <w:vAlign w:val="center"/>
            <w:shd w:fill="F6F8F4"/>
          </w:tcPr>
          <w:p>
            <w:pPr>
              <w:spacing w:before="60" w:after="60" w:line="264" w:lineRule="auto"/>
            </w:pPr>
            <w:r>
              <w:rPr>
                <w:color w:val="18241E"/>
                <w:sz w:val="20"/>
              </w:rPr>
              <w:t>Secondary button (`.button-quiet`) hover fill and progress bar track</w:t>
            </w:r>
          </w:p>
        </w:tc>
      </w:tr>
      <w:tr>
        <w:trPr>
          <w:cantSplit/>
        </w:trPr>
        <w:tc>
          <w:tcPr>
            <w:tcW w:type="dxa" w:w="2340"/>
            <w:vAlign w:val="center"/>
          </w:tcPr>
          <w:p>
            <w:pPr>
              <w:spacing w:before="60" w:after="60" w:line="264" w:lineRule="auto"/>
            </w:pPr>
            <w:r>
              <w:rPr>
                <w:b/>
                <w:color w:val="18241E"/>
                <w:sz w:val="20"/>
              </w:rPr>
              <w:t>--border</w:t>
            </w:r>
          </w:p>
        </w:tc>
        <w:tc>
          <w:tcPr>
            <w:tcW w:type="dxa" w:w="2340"/>
            <w:vAlign w:val="center"/>
          </w:tcPr>
          <w:p>
            <w:pPr>
              <w:spacing w:before="60" w:after="60" w:line="264" w:lineRule="auto"/>
            </w:pPr>
            <w:r>
              <w:rPr>
                <w:color w:val="18241E"/>
                <w:sz w:val="20"/>
              </w:rPr>
              <w:t>#D9E1D5</w:t>
            </w:r>
          </w:p>
        </w:tc>
        <w:tc>
          <w:tcPr>
            <w:tcW w:type="dxa" w:w="2340"/>
            <w:vAlign w:val="center"/>
          </w:tcPr>
          <w:p>
            <w:pPr>
              <w:spacing w:before="60" w:after="60" w:line="264" w:lineRule="auto"/>
            </w:pPr>
            <w:r>
              <w:rPr>
                <w:color w:val="18241E"/>
                <w:sz w:val="20"/>
              </w:rPr>
              <w:t>Neutral / Sage Border 200</w:t>
            </w:r>
          </w:p>
        </w:tc>
        <w:tc>
          <w:tcPr>
            <w:tcW w:type="dxa" w:w="2340"/>
            <w:vAlign w:val="center"/>
          </w:tcPr>
          <w:p>
            <w:pPr>
              <w:spacing w:before="60" w:after="60" w:line="264" w:lineRule="auto"/>
            </w:pPr>
            <w:r>
              <w:rPr>
                <w:color w:val="18241E"/>
                <w:sz w:val="20"/>
              </w:rPr>
              <w:t>Standard 1px border for cards, inputs, masthead divider, and tables</w:t>
            </w:r>
          </w:p>
        </w:tc>
      </w:tr>
      <w:tr>
        <w:trPr>
          <w:cantSplit/>
        </w:trPr>
        <w:tc>
          <w:tcPr>
            <w:tcW w:type="dxa" w:w="2340"/>
            <w:vAlign w:val="center"/>
            <w:shd w:fill="F6F8F4"/>
          </w:tcPr>
          <w:p>
            <w:pPr>
              <w:spacing w:before="60" w:after="60" w:line="264" w:lineRule="auto"/>
            </w:pPr>
            <w:r>
              <w:rPr>
                <w:b/>
                <w:color w:val="18241E"/>
                <w:sz w:val="20"/>
              </w:rPr>
              <w:t>--muted</w:t>
            </w:r>
          </w:p>
        </w:tc>
        <w:tc>
          <w:tcPr>
            <w:tcW w:type="dxa" w:w="2340"/>
            <w:vAlign w:val="center"/>
            <w:shd w:fill="F6F8F4"/>
          </w:tcPr>
          <w:p>
            <w:pPr>
              <w:spacing w:before="60" w:after="60" w:line="264" w:lineRule="auto"/>
            </w:pPr>
            <w:r>
              <w:rPr>
                <w:color w:val="18241E"/>
                <w:sz w:val="20"/>
              </w:rPr>
              <w:t>#5D6B62</w:t>
            </w:r>
          </w:p>
        </w:tc>
        <w:tc>
          <w:tcPr>
            <w:tcW w:type="dxa" w:w="2340"/>
            <w:vAlign w:val="center"/>
            <w:shd w:fill="F6F8F4"/>
          </w:tcPr>
          <w:p>
            <w:pPr>
              <w:spacing w:before="60" w:after="60" w:line="264" w:lineRule="auto"/>
            </w:pPr>
            <w:r>
              <w:rPr>
                <w:color w:val="18241E"/>
                <w:sz w:val="20"/>
              </w:rPr>
              <w:t>Text / Muted Slate 600</w:t>
            </w:r>
          </w:p>
        </w:tc>
        <w:tc>
          <w:tcPr>
            <w:tcW w:type="dxa" w:w="2340"/>
            <w:vAlign w:val="center"/>
            <w:shd w:fill="F6F8F4"/>
          </w:tcPr>
          <w:p>
            <w:pPr>
              <w:spacing w:before="60" w:after="60" w:line="264" w:lineRule="auto"/>
            </w:pPr>
            <w:r>
              <w:rPr>
                <w:color w:val="18241E"/>
                <w:sz w:val="20"/>
              </w:rPr>
              <w:t>Secondary descriptions, field constraints, `#results-summary`, timestamps</w:t>
            </w:r>
          </w:p>
        </w:tc>
      </w:tr>
      <w:tr>
        <w:trPr>
          <w:cantSplit/>
        </w:trPr>
        <w:tc>
          <w:tcPr>
            <w:tcW w:type="dxa" w:w="2340"/>
            <w:vAlign w:val="center"/>
          </w:tcPr>
          <w:p>
            <w:pPr>
              <w:spacing w:before="60" w:after="60" w:line="264" w:lineRule="auto"/>
            </w:pPr>
            <w:r>
              <w:rPr>
                <w:b/>
                <w:color w:val="18241E"/>
                <w:sz w:val="20"/>
              </w:rPr>
              <w:t>--ink / --white</w:t>
            </w:r>
          </w:p>
        </w:tc>
        <w:tc>
          <w:tcPr>
            <w:tcW w:type="dxa" w:w="2340"/>
            <w:vAlign w:val="center"/>
          </w:tcPr>
          <w:p>
            <w:pPr>
              <w:spacing w:before="60" w:after="60" w:line="264" w:lineRule="auto"/>
            </w:pPr>
            <w:r>
              <w:rPr>
                <w:color w:val="18241E"/>
                <w:sz w:val="20"/>
              </w:rPr>
              <w:t>#18241E / #FFFFFF</w:t>
            </w:r>
          </w:p>
        </w:tc>
        <w:tc>
          <w:tcPr>
            <w:tcW w:type="dxa" w:w="2340"/>
            <w:vAlign w:val="center"/>
          </w:tcPr>
          <w:p>
            <w:pPr>
              <w:spacing w:before="60" w:after="60" w:line="264" w:lineRule="auto"/>
            </w:pPr>
            <w:r>
              <w:rPr>
                <w:color w:val="18241E"/>
                <w:sz w:val="20"/>
              </w:rPr>
              <w:t>Text / Deep Ink &amp; Pure White</w:t>
            </w:r>
          </w:p>
        </w:tc>
        <w:tc>
          <w:tcPr>
            <w:tcW w:type="dxa" w:w="2340"/>
            <w:vAlign w:val="center"/>
          </w:tcPr>
          <w:p>
            <w:pPr>
              <w:spacing w:before="60" w:after="60" w:line="264" w:lineRule="auto"/>
            </w:pPr>
            <w:r>
              <w:rPr>
                <w:color w:val="18241E"/>
                <w:sz w:val="20"/>
              </w:rPr>
              <w:t>Primary body/heading text (WCAG AAA &gt;12:1 contrast) and card/input surfaces</w:t>
            </w:r>
          </w:p>
        </w:tc>
      </w:tr>
      <w:tr>
        <w:trPr>
          <w:cantSplit/>
        </w:trPr>
        <w:tc>
          <w:tcPr>
            <w:tcW w:type="dxa" w:w="2340"/>
            <w:vAlign w:val="center"/>
            <w:shd w:fill="F6F8F4"/>
          </w:tcPr>
          <w:p>
            <w:pPr>
              <w:spacing w:before="60" w:after="60" w:line="264" w:lineRule="auto"/>
            </w:pPr>
            <w:r>
              <w:rPr>
                <w:b/>
                <w:color w:val="18241E"/>
                <w:sz w:val="20"/>
              </w:rPr>
              <w:t>--focus-ring</w:t>
            </w:r>
          </w:p>
        </w:tc>
        <w:tc>
          <w:tcPr>
            <w:tcW w:type="dxa" w:w="2340"/>
            <w:vAlign w:val="center"/>
            <w:shd w:fill="F6F8F4"/>
          </w:tcPr>
          <w:p>
            <w:pPr>
              <w:spacing w:before="60" w:after="60" w:line="264" w:lineRule="auto"/>
            </w:pPr>
            <w:r>
              <w:rPr>
                <w:color w:val="18241E"/>
                <w:sz w:val="20"/>
              </w:rPr>
              <w:t>#AA7625</w:t>
            </w:r>
          </w:p>
        </w:tc>
        <w:tc>
          <w:tcPr>
            <w:tcW w:type="dxa" w:w="2340"/>
            <w:vAlign w:val="center"/>
            <w:shd w:fill="F6F8F4"/>
          </w:tcPr>
          <w:p>
            <w:pPr>
              <w:spacing w:before="60" w:after="60" w:line="264" w:lineRule="auto"/>
            </w:pPr>
            <w:r>
              <w:rPr>
                <w:color w:val="18241E"/>
                <w:sz w:val="20"/>
              </w:rPr>
              <w:t>A11y / Focus Gold 600</w:t>
            </w:r>
          </w:p>
        </w:tc>
        <w:tc>
          <w:tcPr>
            <w:tcW w:type="dxa" w:w="2340"/>
            <w:vAlign w:val="center"/>
            <w:shd w:fill="F6F8F4"/>
          </w:tcPr>
          <w:p>
            <w:pPr>
              <w:spacing w:before="60" w:after="60" w:line="264" w:lineRule="auto"/>
            </w:pPr>
            <w:r>
              <w:rPr>
                <w:color w:val="18241E"/>
                <w:sz w:val="20"/>
              </w:rPr>
              <w:t>Global keyboard focus ring (`3px solid #aa7625`, `outline-offset: 4px`)</w:t>
            </w:r>
          </w:p>
        </w:tc>
      </w:tr>
      <w:tr>
        <w:trPr>
          <w:cantSplit/>
        </w:trPr>
        <w:tc>
          <w:tcPr>
            <w:tcW w:type="dxa" w:w="2340"/>
            <w:vAlign w:val="center"/>
          </w:tcPr>
          <w:p>
            <w:pPr>
              <w:spacing w:before="60" w:after="60" w:line="264" w:lineRule="auto"/>
            </w:pPr>
            <w:r>
              <w:rPr>
                <w:b/>
                <w:color w:val="18241E"/>
                <w:sz w:val="20"/>
              </w:rPr>
              <w:t>--alert-bg / --alert-text / --alert-border</w:t>
            </w:r>
          </w:p>
        </w:tc>
        <w:tc>
          <w:tcPr>
            <w:tcW w:type="dxa" w:w="2340"/>
            <w:vAlign w:val="center"/>
          </w:tcPr>
          <w:p>
            <w:pPr>
              <w:spacing w:before="60" w:after="60" w:line="264" w:lineRule="auto"/>
            </w:pPr>
            <w:r>
              <w:rPr>
                <w:color w:val="18241E"/>
                <w:sz w:val="20"/>
              </w:rPr>
              <w:t>#FFF2EC / #833D2A / #DFBDAF</w:t>
            </w:r>
          </w:p>
        </w:tc>
        <w:tc>
          <w:tcPr>
            <w:tcW w:type="dxa" w:w="2340"/>
            <w:vAlign w:val="center"/>
          </w:tcPr>
          <w:p>
            <w:pPr>
              <w:spacing w:before="60" w:after="60" w:line="264" w:lineRule="auto"/>
            </w:pPr>
            <w:r>
              <w:rPr>
                <w:color w:val="18241E"/>
                <w:sz w:val="20"/>
              </w:rPr>
              <w:t>Status / Coral Alert</w:t>
            </w:r>
          </w:p>
        </w:tc>
        <w:tc>
          <w:tcPr>
            <w:tcW w:type="dxa" w:w="2340"/>
            <w:vAlign w:val="center"/>
          </w:tcPr>
          <w:p>
            <w:pPr>
              <w:spacing w:before="60" w:after="60" w:line="264" w:lineRule="auto"/>
            </w:pPr>
            <w:r>
              <w:rPr>
                <w:color w:val="18241E"/>
                <w:sz w:val="20"/>
              </w:rPr>
              <w:t>RBAC guards (`#login-prompt`, `#organizer-prompt`), `#not-accepting`, `CONFLICT` &amp; errors</w:t>
            </w:r>
          </w:p>
        </w:tc>
      </w:tr>
      <w:tr>
        <w:trPr>
          <w:cantSplit/>
        </w:trPr>
        <w:tc>
          <w:tcPr>
            <w:tcW w:type="dxa" w:w="2340"/>
            <w:vAlign w:val="center"/>
            <w:shd w:fill="F6F8F4"/>
          </w:tcPr>
          <w:p>
            <w:pPr>
              <w:spacing w:before="60" w:after="60" w:line="264" w:lineRule="auto"/>
            </w:pPr>
            <w:r>
              <w:rPr>
                <w:b/>
                <w:color w:val="18241E"/>
                <w:sz w:val="20"/>
              </w:rPr>
              <w:t>--wait-bg / --wait-text / --wait-border</w:t>
            </w:r>
          </w:p>
        </w:tc>
        <w:tc>
          <w:tcPr>
            <w:tcW w:type="dxa" w:w="2340"/>
            <w:vAlign w:val="center"/>
            <w:shd w:fill="F6F8F4"/>
          </w:tcPr>
          <w:p>
            <w:pPr>
              <w:spacing w:before="60" w:after="60" w:line="264" w:lineRule="auto"/>
            </w:pPr>
            <w:r>
              <w:rPr>
                <w:color w:val="18241E"/>
                <w:sz w:val="20"/>
              </w:rPr>
              <w:t>#FDF6E7 / #8A5A10 / #E6C88A</w:t>
            </w:r>
          </w:p>
        </w:tc>
        <w:tc>
          <w:tcPr>
            <w:tcW w:type="dxa" w:w="2340"/>
            <w:vAlign w:val="center"/>
            <w:shd w:fill="F6F8F4"/>
          </w:tcPr>
          <w:p>
            <w:pPr>
              <w:spacing w:before="60" w:after="60" w:line="264" w:lineRule="auto"/>
            </w:pPr>
            <w:r>
              <w:rPr>
                <w:color w:val="18241E"/>
                <w:sz w:val="20"/>
              </w:rPr>
              <w:t>Status / Amber Review</w:t>
            </w:r>
          </w:p>
        </w:tc>
        <w:tc>
          <w:tcPr>
            <w:tcW w:type="dxa" w:w="2340"/>
            <w:vAlign w:val="center"/>
            <w:shd w:fill="F6F8F4"/>
          </w:tcPr>
          <w:p>
            <w:pPr>
              <w:spacing w:before="60" w:after="60" w:line="264" w:lineRule="auto"/>
            </w:pPr>
            <w:r>
              <w:rPr>
                <w:color w:val="18241E"/>
                <w:sz w:val="20"/>
              </w:rPr>
              <w:t>`WAITLISTED`, `PENDING_REVIEW`, &gt;=80% quota alert, and OCR human verification gate</w:t>
            </w:r>
          </w:p>
        </w:tc>
      </w:tr>
      <w:tr>
        <w:trPr>
          <w:cantSplit/>
        </w:trPr>
        <w:tc>
          <w:tcPr>
            <w:tcW w:type="dxa" w:w="2340"/>
            <w:vAlign w:val="center"/>
          </w:tcPr>
          <w:p>
            <w:pPr>
              <w:spacing w:before="60" w:after="60" w:line="264" w:lineRule="auto"/>
            </w:pPr>
            <w:r>
              <w:rPr>
                <w:b/>
                <w:color w:val="18241E"/>
                <w:sz w:val="20"/>
              </w:rPr>
              <w:t>--sync-bg / --sync-text / --sync-border</w:t>
            </w:r>
          </w:p>
        </w:tc>
        <w:tc>
          <w:tcPr>
            <w:tcW w:type="dxa" w:w="2340"/>
            <w:vAlign w:val="center"/>
          </w:tcPr>
          <w:p>
            <w:pPr>
              <w:spacing w:before="60" w:after="60" w:line="264" w:lineRule="auto"/>
            </w:pPr>
            <w:r>
              <w:rPr>
                <w:color w:val="18241E"/>
                <w:sz w:val="20"/>
              </w:rPr>
              <w:t>#EEF0F8 / #344278 / #BFC6E0</w:t>
            </w:r>
          </w:p>
        </w:tc>
        <w:tc>
          <w:tcPr>
            <w:tcW w:type="dxa" w:w="2340"/>
            <w:vAlign w:val="center"/>
          </w:tcPr>
          <w:p>
            <w:pPr>
              <w:spacing w:before="60" w:after="60" w:line="264" w:lineRule="auto"/>
            </w:pPr>
            <w:r>
              <w:rPr>
                <w:color w:val="18241E"/>
                <w:sz w:val="20"/>
              </w:rPr>
              <w:t>Status / Indigo Offline Sync</w:t>
            </w:r>
          </w:p>
        </w:tc>
        <w:tc>
          <w:tcPr>
            <w:tcW w:type="dxa" w:w="2340"/>
            <w:vAlign w:val="center"/>
          </w:tcPr>
          <w:p>
            <w:pPr>
              <w:spacing w:before="60" w:after="60" w:line="264" w:lineRule="auto"/>
            </w:pPr>
            <w:r>
              <w:rPr>
                <w:color w:val="18241E"/>
                <w:sz w:val="20"/>
              </w:rPr>
              <w:t>`PENDING_SYNC` local check-in queue badge and scoped roster header (`US-09`)</w:t>
            </w:r>
          </w:p>
        </w:tc>
      </w:tr>
    </w:tbl>
    <w:p>
      <w:pPr>
        <w:spacing w:before="0" w:after="120"/>
      </w:pPr>
    </w:p>
    <w:p>
      <w:pPr>
        <w:keepNext/>
        <w:spacing w:before="240" w:after="80"/>
      </w:pPr>
      <w:r>
        <w:rPr>
          <w:rFonts w:ascii="Georgia" w:hAnsi="Georgia"/>
          <w:b/>
          <w:color w:val="18241E"/>
          <w:sz w:val="27"/>
        </w:rPr>
        <w:t>2.1 Figma Auto Layout &amp; Component Variants Blueprint</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340"/>
            <w:vAlign w:val="center"/>
            <w:shd w:fill="1F5547"/>
          </w:tcPr>
          <w:p>
            <w:pPr>
              <w:keepNext/>
              <w:spacing w:before="80" w:after="80"/>
            </w:pPr>
            <w:r>
              <w:rPr>
                <w:b/>
                <w:color w:val="FFFFFF"/>
                <w:sz w:val="20"/>
              </w:rPr>
              <w:t>Figma Component Set</w:t>
            </w:r>
          </w:p>
        </w:tc>
        <w:tc>
          <w:tcPr>
            <w:tcW w:type="dxa" w:w="2340"/>
            <w:vAlign w:val="center"/>
            <w:shd w:fill="1F5547"/>
          </w:tcPr>
          <w:p>
            <w:pPr>
              <w:keepNext/>
              <w:spacing w:before="80" w:after="80"/>
            </w:pPr>
            <w:r>
              <w:rPr>
                <w:b/>
                <w:color w:val="FFFFFF"/>
                <w:sz w:val="20"/>
              </w:rPr>
              <w:t>Code Selector / Element</w:t>
            </w:r>
          </w:p>
        </w:tc>
        <w:tc>
          <w:tcPr>
            <w:tcW w:type="dxa" w:w="2340"/>
            <w:vAlign w:val="center"/>
            <w:shd w:fill="1F5547"/>
          </w:tcPr>
          <w:p>
            <w:pPr>
              <w:keepNext/>
              <w:spacing w:before="80" w:after="80"/>
            </w:pPr>
            <w:r>
              <w:rPr>
                <w:b/>
                <w:color w:val="FFFFFF"/>
                <w:sz w:val="20"/>
              </w:rPr>
              <w:t>Auto Layout &amp; Resizing Rules</w:t>
            </w:r>
          </w:p>
        </w:tc>
        <w:tc>
          <w:tcPr>
            <w:tcW w:type="dxa" w:w="2340"/>
            <w:vAlign w:val="center"/>
            <w:shd w:fill="1F5547"/>
          </w:tcPr>
          <w:p>
            <w:pPr>
              <w:keepNext/>
              <w:spacing w:before="80" w:after="80"/>
            </w:pPr>
            <w:r>
              <w:rPr>
                <w:b/>
                <w:color w:val="FFFFFF"/>
                <w:sz w:val="20"/>
              </w:rPr>
              <w:t>Variant Properties &amp; States</w:t>
            </w:r>
          </w:p>
        </w:tc>
      </w:tr>
      <w:tr>
        <w:trPr>
          <w:cantSplit/>
        </w:trPr>
        <w:tc>
          <w:tcPr>
            <w:tcW w:type="dxa" w:w="2340"/>
            <w:vAlign w:val="center"/>
          </w:tcPr>
          <w:p>
            <w:pPr>
              <w:spacing w:before="60" w:after="60" w:line="264" w:lineRule="auto"/>
            </w:pPr>
            <w:r>
              <w:rPr>
                <w:b/>
                <w:color w:val="18241E"/>
                <w:sz w:val="20"/>
              </w:rPr>
              <w:t>Cmp / Masthead</w:t>
            </w:r>
          </w:p>
        </w:tc>
        <w:tc>
          <w:tcPr>
            <w:tcW w:type="dxa" w:w="2340"/>
            <w:vAlign w:val="center"/>
          </w:tcPr>
          <w:p>
            <w:pPr>
              <w:spacing w:before="60" w:after="60" w:line="264" w:lineRule="auto"/>
            </w:pPr>
            <w:r>
              <w:rPr>
                <w:color w:val="18241E"/>
                <w:sz w:val="20"/>
              </w:rPr>
              <w:t>header.masthead.shell</w:t>
              <w:br/>
              <w:t>#account-slot</w:t>
            </w:r>
          </w:p>
        </w:tc>
        <w:tc>
          <w:tcPr>
            <w:tcW w:type="dxa" w:w="2340"/>
            <w:vAlign w:val="center"/>
          </w:tcPr>
          <w:p>
            <w:pPr>
              <w:spacing w:before="60" w:after="60" w:line="264" w:lineRule="auto"/>
            </w:pPr>
            <w:r>
              <w:rPr>
                <w:color w:val="18241E"/>
                <w:sz w:val="20"/>
              </w:rPr>
              <w:t>Horizontal | Space-Between | Align Center | Pad 16x24 | MaxW 1080px (Fill)</w:t>
            </w:r>
          </w:p>
        </w:tc>
        <w:tc>
          <w:tcPr>
            <w:tcW w:type="dxa" w:w="2340"/>
            <w:vAlign w:val="center"/>
          </w:tcPr>
          <w:p>
            <w:pPr>
              <w:spacing w:before="60" w:after="60" w:line="264" w:lineRule="auto"/>
            </w:pPr>
            <w:r>
              <w:rPr>
                <w:color w:val="18241E"/>
                <w:sz w:val="20"/>
              </w:rPr>
              <w:t>AuthState = Guest | User | Organizer | Leader;</w:t>
              <w:br/>
              <w:t>Viewport = Desktop | Mobile</w:t>
            </w:r>
          </w:p>
        </w:tc>
      </w:tr>
      <w:tr>
        <w:trPr>
          <w:cantSplit/>
        </w:trPr>
        <w:tc>
          <w:tcPr>
            <w:tcW w:type="dxa" w:w="2340"/>
            <w:vAlign w:val="center"/>
            <w:shd w:fill="F6F8F4"/>
          </w:tcPr>
          <w:p>
            <w:pPr>
              <w:spacing w:before="60" w:after="60" w:line="264" w:lineRule="auto"/>
            </w:pPr>
            <w:r>
              <w:rPr>
                <w:b/>
                <w:color w:val="18241E"/>
                <w:sz w:val="20"/>
              </w:rPr>
              <w:t>Cmp / Button</w:t>
            </w:r>
          </w:p>
        </w:tc>
        <w:tc>
          <w:tcPr>
            <w:tcW w:type="dxa" w:w="2340"/>
            <w:vAlign w:val="center"/>
            <w:shd w:fill="F6F8F4"/>
          </w:tcPr>
          <w:p>
            <w:pPr>
              <w:spacing w:before="60" w:after="60" w:line="264" w:lineRule="auto"/>
            </w:pPr>
            <w:r>
              <w:rPr>
                <w:color w:val="18241E"/>
                <w:sz w:val="20"/>
              </w:rPr>
              <w:t>.button</w:t>
              <w:br/>
              <w:t>.button.button-quiet</w:t>
            </w:r>
          </w:p>
        </w:tc>
        <w:tc>
          <w:tcPr>
            <w:tcW w:type="dxa" w:w="2340"/>
            <w:vAlign w:val="center"/>
            <w:shd w:fill="F6F8F4"/>
          </w:tcPr>
          <w:p>
            <w:pPr>
              <w:spacing w:before="60" w:after="60" w:line="264" w:lineRule="auto"/>
            </w:pPr>
            <w:r>
              <w:rPr>
                <w:color w:val="18241E"/>
                <w:sz w:val="20"/>
              </w:rPr>
              <w:t>Horizontal | Align Center | Pad 8x16 | Gap 8px | Radius 6px | Hug Contents</w:t>
            </w:r>
          </w:p>
        </w:tc>
        <w:tc>
          <w:tcPr>
            <w:tcW w:type="dxa" w:w="2340"/>
            <w:vAlign w:val="center"/>
            <w:shd w:fill="F6F8F4"/>
          </w:tcPr>
          <w:p>
            <w:pPr>
              <w:spacing w:before="60" w:after="60" w:line="264" w:lineRule="auto"/>
            </w:pPr>
            <w:r>
              <w:rPr>
                <w:color w:val="18241E"/>
                <w:sz w:val="20"/>
              </w:rPr>
              <w:t>Hierarchy = Primary (#1F5547) | Quiet (#FFFFFF) | Danger;</w:t>
              <w:br/>
              <w:t>State = Default | Hover | FocusVisible (#AA7625) | Disabled</w:t>
            </w:r>
          </w:p>
        </w:tc>
      </w:tr>
      <w:tr>
        <w:trPr>
          <w:cantSplit/>
        </w:trPr>
        <w:tc>
          <w:tcPr>
            <w:tcW w:type="dxa" w:w="2340"/>
            <w:vAlign w:val="center"/>
          </w:tcPr>
          <w:p>
            <w:pPr>
              <w:spacing w:before="60" w:after="60" w:line="264" w:lineRule="auto"/>
            </w:pPr>
            <w:r>
              <w:rPr>
                <w:b/>
                <w:color w:val="18241E"/>
                <w:sz w:val="20"/>
              </w:rPr>
              <w:t>Cmp / FormField</w:t>
            </w:r>
          </w:p>
        </w:tc>
        <w:tc>
          <w:tcPr>
            <w:tcW w:type="dxa" w:w="2340"/>
            <w:vAlign w:val="center"/>
          </w:tcPr>
          <w:p>
            <w:pPr>
              <w:spacing w:before="60" w:after="60" w:line="264" w:lineRule="auto"/>
            </w:pPr>
            <w:r>
              <w:rPr>
                <w:color w:val="18241E"/>
                <w:sz w:val="20"/>
              </w:rPr>
              <w:t>label + input / select / textarea</w:t>
            </w:r>
          </w:p>
        </w:tc>
        <w:tc>
          <w:tcPr>
            <w:tcW w:type="dxa" w:w="2340"/>
            <w:vAlign w:val="center"/>
          </w:tcPr>
          <w:p>
            <w:pPr>
              <w:spacing w:before="60" w:after="60" w:line="264" w:lineRule="auto"/>
            </w:pPr>
            <w:r>
              <w:rPr>
                <w:color w:val="18241E"/>
                <w:sz w:val="20"/>
              </w:rPr>
              <w:t>Vertical | Gap 6px | Fill Container; Input Pad 8x12, Radius 6px, Stroke 1px #D9E1D5</w:t>
            </w:r>
          </w:p>
        </w:tc>
        <w:tc>
          <w:tcPr>
            <w:tcW w:type="dxa" w:w="2340"/>
            <w:vAlign w:val="center"/>
          </w:tcPr>
          <w:p>
            <w:pPr>
              <w:spacing w:before="60" w:after="60" w:line="264" w:lineRule="auto"/>
            </w:pPr>
            <w:r>
              <w:rPr>
                <w:color w:val="18241E"/>
                <w:sz w:val="20"/>
              </w:rPr>
              <w:t>FieldType = Text | Search | Password | Number | Datetime | Select | Textarea;</w:t>
              <w:br/>
              <w:t>State = Default | Focus | Error | OCR-Verify</w:t>
            </w:r>
          </w:p>
        </w:tc>
      </w:tr>
      <w:tr>
        <w:trPr>
          <w:cantSplit/>
        </w:trPr>
        <w:tc>
          <w:tcPr>
            <w:tcW w:type="dxa" w:w="2340"/>
            <w:vAlign w:val="center"/>
            <w:shd w:fill="F6F8F4"/>
          </w:tcPr>
          <w:p>
            <w:pPr>
              <w:spacing w:before="60" w:after="60" w:line="264" w:lineRule="auto"/>
            </w:pPr>
            <w:r>
              <w:rPr>
                <w:b/>
                <w:color w:val="18241E"/>
                <w:sz w:val="20"/>
              </w:rPr>
              <w:t>Cmp / StatusBadge</w:t>
            </w:r>
          </w:p>
        </w:tc>
        <w:tc>
          <w:tcPr>
            <w:tcW w:type="dxa" w:w="2340"/>
            <w:vAlign w:val="center"/>
            <w:shd w:fill="F6F8F4"/>
          </w:tcPr>
          <w:p>
            <w:pPr>
              <w:spacing w:before="60" w:after="60" w:line="264" w:lineRule="auto"/>
            </w:pPr>
            <w:r>
              <w:rPr>
                <w:color w:val="18241E"/>
                <w:sz w:val="20"/>
              </w:rPr>
              <w:t>.status-badge</w:t>
              <w:br/>
              <w:t>#detail-status</w:t>
            </w:r>
          </w:p>
        </w:tc>
        <w:tc>
          <w:tcPr>
            <w:tcW w:type="dxa" w:w="2340"/>
            <w:vAlign w:val="center"/>
            <w:shd w:fill="F6F8F4"/>
          </w:tcPr>
          <w:p>
            <w:pPr>
              <w:spacing w:before="60" w:after="60" w:line="264" w:lineRule="auto"/>
            </w:pPr>
            <w:r>
              <w:rPr>
                <w:color w:val="18241E"/>
                <w:sz w:val="20"/>
              </w:rPr>
              <w:t>Horizontal | Pad 4x10 | Gap 6px | Pill Radius 999px | Hug Contents</w:t>
            </w:r>
          </w:p>
        </w:tc>
        <w:tc>
          <w:tcPr>
            <w:tcW w:type="dxa" w:w="2340"/>
            <w:vAlign w:val="center"/>
            <w:shd w:fill="F6F8F4"/>
          </w:tcPr>
          <w:p>
            <w:pPr>
              <w:spacing w:before="60" w:after="60" w:line="264" w:lineRule="auto"/>
            </w:pPr>
            <w:r>
              <w:rPr>
                <w:color w:val="18241E"/>
                <w:sz w:val="20"/>
              </w:rPr>
              <w:t>Status = ACTIVE | CONFIRMED | PENDING_REVIEW | WAITLISTED | FULL | PENDING_SYNC | SYNCED | CONFLICT | SELF_REPORTED</w:t>
            </w:r>
          </w:p>
        </w:tc>
      </w:tr>
      <w:tr>
        <w:trPr>
          <w:cantSplit/>
        </w:trPr>
        <w:tc>
          <w:tcPr>
            <w:tcW w:type="dxa" w:w="2340"/>
            <w:vAlign w:val="center"/>
          </w:tcPr>
          <w:p>
            <w:pPr>
              <w:spacing w:before="60" w:after="60" w:line="264" w:lineRule="auto"/>
            </w:pPr>
            <w:r>
              <w:rPr>
                <w:b/>
                <w:color w:val="18241E"/>
                <w:sz w:val="20"/>
              </w:rPr>
              <w:t>Cmp / BannerNotice</w:t>
            </w:r>
          </w:p>
        </w:tc>
        <w:tc>
          <w:tcPr>
            <w:tcW w:type="dxa" w:w="2340"/>
            <w:vAlign w:val="center"/>
          </w:tcPr>
          <w:p>
            <w:pPr>
              <w:spacing w:before="60" w:after="60" w:line="264" w:lineRule="auto"/>
            </w:pPr>
            <w:r>
              <w:rPr>
                <w:color w:val="18241E"/>
                <w:sz w:val="20"/>
              </w:rPr>
              <w:t>#auth-notice, #login-prompt, #organizer-prompt, #not-accepting</w:t>
            </w:r>
          </w:p>
        </w:tc>
        <w:tc>
          <w:tcPr>
            <w:tcW w:type="dxa" w:w="2340"/>
            <w:vAlign w:val="center"/>
          </w:tcPr>
          <w:p>
            <w:pPr>
              <w:spacing w:before="60" w:after="60" w:line="264" w:lineRule="auto"/>
            </w:pPr>
            <w:r>
              <w:rPr>
                <w:color w:val="18241E"/>
                <w:sz w:val="20"/>
              </w:rPr>
              <w:t>Horizontal (Wrap on Mobile) | Pad 12x16 | Gap 12px | Radius 8px | Fill Container</w:t>
            </w:r>
          </w:p>
        </w:tc>
        <w:tc>
          <w:tcPr>
            <w:tcW w:type="dxa" w:w="2340"/>
            <w:vAlign w:val="center"/>
          </w:tcPr>
          <w:p>
            <w:pPr>
              <w:spacing w:before="60" w:after="60" w:line="264" w:lineRule="auto"/>
            </w:pPr>
            <w:r>
              <w:rPr>
                <w:color w:val="18241E"/>
                <w:sz w:val="20"/>
              </w:rPr>
              <w:t>Tone = WelcomeInfo (#EDF1E4) | AuthGuardAlert (#FFF2EC) | ThresholdWarning (#FDF6E7) | OfflineBanner (#EEF0F8)</w:t>
            </w:r>
          </w:p>
        </w:tc>
      </w:tr>
      <w:tr>
        <w:trPr>
          <w:cantSplit/>
        </w:trPr>
        <w:tc>
          <w:tcPr>
            <w:tcW w:type="dxa" w:w="2340"/>
            <w:vAlign w:val="center"/>
            <w:shd w:fill="F6F8F4"/>
          </w:tcPr>
          <w:p>
            <w:pPr>
              <w:spacing w:before="60" w:after="60" w:line="264" w:lineRule="auto"/>
            </w:pPr>
            <w:r>
              <w:rPr>
                <w:b/>
                <w:color w:val="18241E"/>
                <w:sz w:val="20"/>
              </w:rPr>
              <w:t>Cmp / EventCard</w:t>
            </w:r>
          </w:p>
        </w:tc>
        <w:tc>
          <w:tcPr>
            <w:tcW w:type="dxa" w:w="2340"/>
            <w:vAlign w:val="center"/>
            <w:shd w:fill="F6F8F4"/>
          </w:tcPr>
          <w:p>
            <w:pPr>
              <w:spacing w:before="60" w:after="60" w:line="264" w:lineRule="auto"/>
            </w:pPr>
            <w:r>
              <w:rPr>
                <w:color w:val="18241E"/>
                <w:sz w:val="20"/>
              </w:rPr>
              <w:t>Event Grid Item in index.html</w:t>
            </w:r>
          </w:p>
        </w:tc>
        <w:tc>
          <w:tcPr>
            <w:tcW w:type="dxa" w:w="2340"/>
            <w:vAlign w:val="center"/>
            <w:shd w:fill="F6F8F4"/>
          </w:tcPr>
          <w:p>
            <w:pPr>
              <w:spacing w:before="60" w:after="60" w:line="264" w:lineRule="auto"/>
            </w:pPr>
            <w:r>
              <w:rPr>
                <w:color w:val="18241E"/>
                <w:sz w:val="20"/>
              </w:rPr>
              <w:t>Vertical | Space-Between | Pad 20px | Gap 12px | Radius 10px | Stroke 1px #D9E1D5</w:t>
            </w:r>
          </w:p>
        </w:tc>
        <w:tc>
          <w:tcPr>
            <w:tcW w:type="dxa" w:w="2340"/>
            <w:vAlign w:val="center"/>
            <w:shd w:fill="F6F8F4"/>
          </w:tcPr>
          <w:p>
            <w:pPr>
              <w:spacing w:before="60" w:after="60" w:line="264" w:lineRule="auto"/>
            </w:pPr>
            <w:r>
              <w:rPr>
                <w:color w:val="18241E"/>
                <w:sz w:val="20"/>
              </w:rPr>
              <w:t>Viewport = Desktop (3-col) | Tablet (&lt;=1000px 2-col, gap 35px) | Mobile (&lt;=720px 1-col);</w:t>
              <w:br/>
              <w:t>State = Accepting | WaitlistOnly | Closed</w:t>
            </w:r>
          </w:p>
        </w:tc>
      </w:tr>
      <w:tr>
        <w:trPr>
          <w:cantSplit/>
        </w:trPr>
        <w:tc>
          <w:tcPr>
            <w:tcW w:type="dxa" w:w="2340"/>
            <w:vAlign w:val="center"/>
          </w:tcPr>
          <w:p>
            <w:pPr>
              <w:spacing w:before="60" w:after="60" w:line="264" w:lineRule="auto"/>
            </w:pPr>
            <w:r>
              <w:rPr>
                <w:b/>
                <w:color w:val="18241E"/>
                <w:sz w:val="20"/>
              </w:rPr>
              <w:t>Cmp / QuotaMeter</w:t>
            </w:r>
          </w:p>
        </w:tc>
        <w:tc>
          <w:tcPr>
            <w:tcW w:type="dxa" w:w="2340"/>
            <w:vAlign w:val="center"/>
          </w:tcPr>
          <w:p>
            <w:pPr>
              <w:spacing w:before="60" w:after="60" w:line="264" w:lineRule="auto"/>
            </w:pPr>
            <w:r>
              <w:rPr>
                <w:color w:val="18241E"/>
                <w:sz w:val="20"/>
              </w:rPr>
              <w:t>online_quota &amp; offline_quota bars</w:t>
            </w:r>
          </w:p>
        </w:tc>
        <w:tc>
          <w:tcPr>
            <w:tcW w:type="dxa" w:w="2340"/>
            <w:vAlign w:val="center"/>
          </w:tcPr>
          <w:p>
            <w:pPr>
              <w:spacing w:before="60" w:after="60" w:line="264" w:lineRule="auto"/>
            </w:pPr>
            <w:r>
              <w:rPr>
                <w:color w:val="18241E"/>
                <w:sz w:val="20"/>
              </w:rPr>
              <w:t>Vertical | Gap 6px | Fill Container; Track H 8px (#EDF1E8), Fill Bar (#1F5547)</w:t>
            </w:r>
          </w:p>
        </w:tc>
        <w:tc>
          <w:tcPr>
            <w:tcW w:type="dxa" w:w="2340"/>
            <w:vAlign w:val="center"/>
          </w:tcPr>
          <w:p>
            <w:pPr>
              <w:spacing w:before="60" w:after="60" w:line="264" w:lineRule="auto"/>
            </w:pPr>
            <w:r>
              <w:rPr>
                <w:color w:val="18241E"/>
                <w:sz w:val="20"/>
              </w:rPr>
              <w:t>Pool = OnlinePublic | OfflineLeader;</w:t>
              <w:br/>
              <w:t>UsageState = Normal (&lt;80%) | HighAlert (&gt;=80% #AA7625) | Full (100% #833D2A)</w:t>
            </w:r>
          </w:p>
        </w:tc>
      </w:tr>
      <w:tr>
        <w:trPr>
          <w:cantSplit/>
        </w:trPr>
        <w:tc>
          <w:tcPr>
            <w:tcW w:type="dxa" w:w="2340"/>
            <w:vAlign w:val="center"/>
            <w:shd w:fill="F6F8F4"/>
          </w:tcPr>
          <w:p>
            <w:pPr>
              <w:spacing w:before="60" w:after="60" w:line="264" w:lineRule="auto"/>
            </w:pPr>
            <w:r>
              <w:rPr>
                <w:b/>
                <w:color w:val="18241E"/>
                <w:sz w:val="20"/>
              </w:rPr>
              <w:t>Cmp / PaginationBar</w:t>
            </w:r>
          </w:p>
        </w:tc>
        <w:tc>
          <w:tcPr>
            <w:tcW w:type="dxa" w:w="2340"/>
            <w:vAlign w:val="center"/>
            <w:shd w:fill="F6F8F4"/>
          </w:tcPr>
          <w:p>
            <w:pPr>
              <w:spacing w:before="60" w:after="60" w:line="264" w:lineRule="auto"/>
            </w:pPr>
            <w:r>
              <w:rPr>
                <w:color w:val="18241E"/>
                <w:sz w:val="20"/>
              </w:rPr>
              <w:t>First / #page-number / Next</w:t>
            </w:r>
          </w:p>
        </w:tc>
        <w:tc>
          <w:tcPr>
            <w:tcW w:type="dxa" w:w="2340"/>
            <w:vAlign w:val="center"/>
            <w:shd w:fill="F6F8F4"/>
          </w:tcPr>
          <w:p>
            <w:pPr>
              <w:spacing w:before="60" w:after="60" w:line="264" w:lineRule="auto"/>
            </w:pPr>
            <w:r>
              <w:rPr>
                <w:color w:val="18241E"/>
                <w:sz w:val="20"/>
              </w:rPr>
              <w:t>Horizontal | Space-Between | Align Center | Pad 12x0 | Gap 12px | Fill Container</w:t>
            </w:r>
          </w:p>
        </w:tc>
        <w:tc>
          <w:tcPr>
            <w:tcW w:type="dxa" w:w="2340"/>
            <w:vAlign w:val="center"/>
            <w:shd w:fill="F6F8F4"/>
          </w:tcPr>
          <w:p>
            <w:pPr>
              <w:spacing w:before="60" w:after="60" w:line="264" w:lineRule="auto"/>
            </w:pPr>
            <w:r>
              <w:rPr>
                <w:color w:val="18241E"/>
                <w:sz w:val="20"/>
              </w:rPr>
              <w:t>Position = FirstPage (First disabled) | MiddlePage | SinglePage</w:t>
            </w:r>
          </w:p>
        </w:tc>
      </w:tr>
    </w:tbl>
    <w:p>
      <w:pPr>
        <w:spacing w:before="0" w:after="120"/>
      </w:pPr>
    </w:p>
    <w:p>
      <w:pPr>
        <w:keepNext/>
        <w:spacing w:before="320" w:after="120"/>
      </w:pPr>
      <w:r>
        <w:rPr>
          <w:rFonts w:ascii="Georgia" w:hAnsi="Georgia"/>
          <w:b/>
          <w:color w:val="1F5547"/>
          <w:sz w:val="32"/>
        </w:rPr>
        <w:t>3. Developer Alignment Mapping Table (Full 12-Screen Traceability Matrix)</w:t>
      </w:r>
    </w:p>
    <w:p>
      <w:pPr>
        <w:spacing w:before="0" w:after="120" w:line="276" w:lineRule="auto"/>
      </w:pPr>
      <w:r>
        <w:rPr>
          <w:color w:val="18241E"/>
          <w:sz w:val="22"/>
        </w:rPr>
        <w:t>Table 4 provides the authoritative cross-reference between the Designer's 12 screens (`SCR-01` to `SCR-12`), the frontend files and DOM selectors in `frontend/live/`, the FastAPI `/api/v1` endpoints and Pydantic schemas in `backend/src/`, the PM's User Stories (`US-01` to `US-10`), and the GitHub Project #1 issues (`#6` to `#37`).</w:t>
      </w:r>
    </w:p>
    <w:p>
      <w:pPr>
        <w:keepNext/>
        <w:spacing w:before="120" w:after="40"/>
        <w:jc w:val="center"/>
      </w:pPr>
      <w:r>
        <w:drawing>
          <wp:inline xmlns:a="http://schemas.openxmlformats.org/drawingml/2006/main" xmlns:pic="http://schemas.openxmlformats.org/drawingml/2006/picture">
            <wp:extent cx="5943600" cy="4088754"/>
            <wp:docPr id="2" name="Picture 2"/>
            <wp:cNvGraphicFramePr>
              <a:graphicFrameLocks noChangeAspect="1"/>
            </wp:cNvGraphicFramePr>
            <a:graphic>
              <a:graphicData uri="http://schemas.openxmlformats.org/drawingml/2006/picture">
                <pic:pic>
                  <pic:nvPicPr>
                    <pic:cNvPr id="0" name="00_ROSE_User_Flow_Diagram_Comprehensive_EN.png"/>
                    <pic:cNvPicPr/>
                  </pic:nvPicPr>
                  <pic:blipFill>
                    <a:blip r:embed="rId10"/>
                    <a:stretch>
                      <a:fillRect/>
                    </a:stretch>
                  </pic:blipFill>
                  <pic:spPr>
                    <a:xfrm>
                      <a:off x="0" y="0"/>
                      <a:ext cx="5943600" cy="4088754"/>
                    </a:xfrm>
                    <a:prstGeom prst="rect"/>
                  </pic:spPr>
                </pic:pic>
              </a:graphicData>
            </a:graphic>
          </wp:inline>
        </w:drawing>
      </w:r>
    </w:p>
    <w:p>
      <w:pPr>
        <w:spacing w:after="160"/>
        <w:jc w:val="center"/>
      </w:pPr>
      <w:r>
        <w:rPr>
          <w:rFonts w:ascii="Calibri" w:hAnsi="Calibri"/>
          <w:i/>
          <w:color w:val="55625B"/>
          <w:sz w:val="19"/>
        </w:rPr>
        <w:t>Figure 5: End-to-End Multi-Role UX User Flow &amp; 49-State Interactive Prototype Decision State Machine (v2.0 — Mapping SCR-01..SCR-12, FastAPI Endpoints, and US-09 Sub-Function).</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shd w:fill="1F5547"/>
          </w:tcPr>
          <w:p>
            <w:pPr>
              <w:keepNext/>
              <w:spacing w:before="80" w:after="80"/>
            </w:pPr>
            <w:r>
              <w:rPr>
                <w:b/>
                <w:color w:val="FFFFFF"/>
                <w:sz w:val="20"/>
              </w:rPr>
              <w:t>Screen ID &amp; Title</w:t>
            </w:r>
          </w:p>
        </w:tc>
        <w:tc>
          <w:tcPr>
            <w:tcW w:type="dxa" w:w="1560"/>
            <w:vAlign w:val="center"/>
            <w:shd w:fill="1F5547"/>
          </w:tcPr>
          <w:p>
            <w:pPr>
              <w:keepNext/>
              <w:spacing w:before="80" w:after="80"/>
            </w:pPr>
            <w:r>
              <w:rPr>
                <w:b/>
                <w:color w:val="FFFFFF"/>
                <w:sz w:val="20"/>
              </w:rPr>
              <w:t>Release &amp; GitHub Issues</w:t>
            </w:r>
          </w:p>
        </w:tc>
        <w:tc>
          <w:tcPr>
            <w:tcW w:type="dxa" w:w="1560"/>
            <w:vAlign w:val="center"/>
            <w:shd w:fill="1F5547"/>
          </w:tcPr>
          <w:p>
            <w:pPr>
              <w:keepNext/>
              <w:spacing w:before="80" w:after="80"/>
            </w:pPr>
            <w:r>
              <w:rPr>
                <w:b/>
                <w:color w:val="FFFFFF"/>
                <w:sz w:val="20"/>
              </w:rPr>
              <w:t>PM User Story</w:t>
            </w:r>
          </w:p>
        </w:tc>
        <w:tc>
          <w:tcPr>
            <w:tcW w:type="dxa" w:w="1560"/>
            <w:vAlign w:val="center"/>
            <w:shd w:fill="1F5547"/>
          </w:tcPr>
          <w:p>
            <w:pPr>
              <w:keepNext/>
              <w:spacing w:before="80" w:after="80"/>
            </w:pPr>
            <w:r>
              <w:rPr>
                <w:b/>
                <w:color w:val="FFFFFF"/>
                <w:sz w:val="20"/>
              </w:rPr>
              <w:t>Frontend File &amp; Module</w:t>
            </w:r>
          </w:p>
        </w:tc>
        <w:tc>
          <w:tcPr>
            <w:tcW w:type="dxa" w:w="1560"/>
            <w:vAlign w:val="center"/>
            <w:shd w:fill="1F5547"/>
          </w:tcPr>
          <w:p>
            <w:pPr>
              <w:keepNext/>
              <w:spacing w:before="80" w:after="80"/>
            </w:pPr>
            <w:r>
              <w:rPr>
                <w:b/>
                <w:color w:val="FFFFFF"/>
                <w:sz w:val="20"/>
              </w:rPr>
              <w:t>Exact DOM IDs &amp; Form `name` Attributes</w:t>
            </w:r>
          </w:p>
        </w:tc>
        <w:tc>
          <w:tcPr>
            <w:tcW w:type="dxa" w:w="1560"/>
            <w:vAlign w:val="center"/>
            <w:shd w:fill="1F5547"/>
          </w:tcPr>
          <w:p>
            <w:pPr>
              <w:keepNext/>
              <w:spacing w:before="80" w:after="80"/>
            </w:pPr>
            <w:r>
              <w:rPr>
                <w:b/>
                <w:color w:val="FFFFFF"/>
                <w:sz w:val="20"/>
              </w:rPr>
              <w:t>Backend FastAPI Endpoint &amp; Schema</w:t>
            </w:r>
          </w:p>
        </w:tc>
      </w:tr>
      <w:tr>
        <w:trPr>
          <w:cantSplit/>
        </w:trPr>
        <w:tc>
          <w:tcPr>
            <w:tcW w:type="dxa" w:w="1560"/>
            <w:vAlign w:val="center"/>
          </w:tcPr>
          <w:p>
            <w:pPr>
              <w:spacing w:before="60" w:after="60" w:line="264" w:lineRule="auto"/>
            </w:pPr>
            <w:r>
              <w:rPr>
                <w:b/>
                <w:color w:val="18241E"/>
                <w:sz w:val="20"/>
              </w:rPr>
              <w:t>SCR-01</w:t>
              <w:br/>
              <w:t>Public Event List &amp; Search</w:t>
            </w:r>
          </w:p>
        </w:tc>
        <w:tc>
          <w:tcPr>
            <w:tcW w:type="dxa" w:w="1560"/>
            <w:vAlign w:val="center"/>
          </w:tcPr>
          <w:p>
            <w:pPr>
              <w:spacing w:before="60" w:after="60" w:line="264" w:lineRule="auto"/>
            </w:pPr>
            <w:r>
              <w:rPr>
                <w:color w:val="18241E"/>
                <w:sz w:val="20"/>
              </w:rPr>
              <w:t>R1 (Implemented)</w:t>
              <w:br/>
              <w:t>#17, #18, #19</w:t>
            </w:r>
          </w:p>
        </w:tc>
        <w:tc>
          <w:tcPr>
            <w:tcW w:type="dxa" w:w="1560"/>
            <w:vAlign w:val="center"/>
          </w:tcPr>
          <w:p>
            <w:pPr>
              <w:spacing w:before="60" w:after="60" w:line="264" w:lineRule="auto"/>
            </w:pPr>
            <w:r>
              <w:rPr>
                <w:color w:val="18241E"/>
                <w:sz w:val="20"/>
              </w:rPr>
              <w:t>US-06 (T-06-01)</w:t>
              <w:br/>
              <w:t>US-02</w:t>
            </w:r>
          </w:p>
        </w:tc>
        <w:tc>
          <w:tcPr>
            <w:tcW w:type="dxa" w:w="1560"/>
            <w:vAlign w:val="center"/>
          </w:tcPr>
          <w:p>
            <w:pPr>
              <w:spacing w:before="60" w:after="60" w:line="264" w:lineRule="auto"/>
            </w:pPr>
            <w:r>
              <w:rPr>
                <w:color w:val="18241E"/>
                <w:sz w:val="20"/>
              </w:rPr>
              <w:t>frontend/live/index.html</w:t>
              <w:br/>
              <w:t>events.mjs</w:t>
            </w:r>
          </w:p>
        </w:tc>
        <w:tc>
          <w:tcPr>
            <w:tcW w:type="dxa" w:w="1560"/>
            <w:vAlign w:val="center"/>
          </w:tcPr>
          <w:p>
            <w:pPr>
              <w:spacing w:before="60" w:after="60" w:line="264" w:lineRule="auto"/>
            </w:pPr>
            <w:r>
              <w:rPr>
                <w:color w:val="18241E"/>
                <w:sz w:val="20"/>
              </w:rPr>
              <w:t>#event-keyword (name='keyword'), #clear-search, #results-summary, #page-number, .masthead, #account-slot</w:t>
            </w:r>
          </w:p>
        </w:tc>
        <w:tc>
          <w:tcPr>
            <w:tcW w:type="dxa" w:w="1560"/>
            <w:vAlign w:val="center"/>
          </w:tcPr>
          <w:p>
            <w:pPr>
              <w:spacing w:before="60" w:after="60" w:line="264" w:lineRule="auto"/>
            </w:pPr>
            <w:r>
              <w:rPr>
                <w:color w:val="18241E"/>
                <w:sz w:val="20"/>
              </w:rPr>
              <w:t>GET /api/v1/events</w:t>
              <w:br/>
              <w:t>Query: page, pageSize, keyword -&gt; PaginatedEventResponse</w:t>
            </w:r>
          </w:p>
        </w:tc>
      </w:tr>
      <w:tr>
        <w:trPr>
          <w:cantSplit/>
        </w:trPr>
        <w:tc>
          <w:tcPr>
            <w:tcW w:type="dxa" w:w="1560"/>
            <w:vAlign w:val="center"/>
            <w:shd w:fill="F6F8F4"/>
          </w:tcPr>
          <w:p>
            <w:pPr>
              <w:spacing w:before="60" w:after="60" w:line="264" w:lineRule="auto"/>
            </w:pPr>
            <w:r>
              <w:rPr>
                <w:b/>
                <w:color w:val="18241E"/>
                <w:sz w:val="20"/>
              </w:rPr>
              <w:t>SCR-02</w:t>
              <w:br/>
              <w:t>Event Detail &amp; Capacity View</w:t>
            </w:r>
          </w:p>
        </w:tc>
        <w:tc>
          <w:tcPr>
            <w:tcW w:type="dxa" w:w="1560"/>
            <w:vAlign w:val="center"/>
            <w:shd w:fill="F6F8F4"/>
          </w:tcPr>
          <w:p>
            <w:pPr>
              <w:spacing w:before="60" w:after="60" w:line="264" w:lineRule="auto"/>
            </w:pPr>
            <w:r>
              <w:rPr>
                <w:color w:val="18241E"/>
                <w:sz w:val="20"/>
              </w:rPr>
              <w:t>R1 (Implemented)</w:t>
              <w:br/>
              <w:t>#17, #18, #19</w:t>
            </w:r>
          </w:p>
        </w:tc>
        <w:tc>
          <w:tcPr>
            <w:tcW w:type="dxa" w:w="1560"/>
            <w:vAlign w:val="center"/>
            <w:shd w:fill="F6F8F4"/>
          </w:tcPr>
          <w:p>
            <w:pPr>
              <w:spacing w:before="60" w:after="60" w:line="264" w:lineRule="auto"/>
            </w:pPr>
            <w:r>
              <w:rPr>
                <w:color w:val="18241E"/>
                <w:sz w:val="20"/>
              </w:rPr>
              <w:t>US-02 (T-02-01)</w:t>
              <w:br/>
              <w:t>US-06 (T-06-01)</w:t>
            </w:r>
          </w:p>
        </w:tc>
        <w:tc>
          <w:tcPr>
            <w:tcW w:type="dxa" w:w="1560"/>
            <w:vAlign w:val="center"/>
            <w:shd w:fill="F6F8F4"/>
          </w:tcPr>
          <w:p>
            <w:pPr>
              <w:spacing w:before="60" w:after="60" w:line="264" w:lineRule="auto"/>
            </w:pPr>
            <w:r>
              <w:rPr>
                <w:color w:val="18241E"/>
                <w:sz w:val="20"/>
              </w:rPr>
              <w:t>frontend/live/event.html</w:t>
              <w:br/>
              <w:t>event-detail.mjs</w:t>
            </w:r>
          </w:p>
        </w:tc>
        <w:tc>
          <w:tcPr>
            <w:tcW w:type="dxa" w:w="1560"/>
            <w:vAlign w:val="center"/>
            <w:shd w:fill="F6F8F4"/>
          </w:tcPr>
          <w:p>
            <w:pPr>
              <w:spacing w:before="60" w:after="60" w:line="264" w:lineRule="auto"/>
            </w:pPr>
            <w:r>
              <w:rPr>
                <w:color w:val="18241E"/>
                <w:sz w:val="20"/>
              </w:rPr>
              <w:t>#detail-status (.status-badge), #not-accepting, #detail-retry, #choose-event ('Apply for this event -&gt;')</w:t>
            </w:r>
          </w:p>
        </w:tc>
        <w:tc>
          <w:tcPr>
            <w:tcW w:type="dxa" w:w="1560"/>
            <w:vAlign w:val="center"/>
            <w:shd w:fill="F6F8F4"/>
          </w:tcPr>
          <w:p>
            <w:pPr>
              <w:spacing w:before="60" w:after="60" w:line="264" w:lineRule="auto"/>
            </w:pPr>
            <w:r>
              <w:rPr>
                <w:color w:val="18241E"/>
                <w:sz w:val="20"/>
              </w:rPr>
              <w:t>GET /api/v1/events/{public_id}</w:t>
              <w:br/>
              <w:t>Returns EventResponse (online_quota, offline_quota, status=ACTIVE)</w:t>
            </w:r>
          </w:p>
        </w:tc>
      </w:tr>
      <w:tr>
        <w:trPr>
          <w:cantSplit/>
        </w:trPr>
        <w:tc>
          <w:tcPr>
            <w:tcW w:type="dxa" w:w="1560"/>
            <w:vAlign w:val="center"/>
          </w:tcPr>
          <w:p>
            <w:pPr>
              <w:spacing w:before="60" w:after="60" w:line="264" w:lineRule="auto"/>
            </w:pPr>
            <w:r>
              <w:rPr>
                <w:b/>
                <w:color w:val="18241E"/>
                <w:sz w:val="20"/>
              </w:rPr>
              <w:t>SCR-03</w:t>
              <w:br/>
              <w:t>Account Registration</w:t>
            </w:r>
          </w:p>
        </w:tc>
        <w:tc>
          <w:tcPr>
            <w:tcW w:type="dxa" w:w="1560"/>
            <w:vAlign w:val="center"/>
          </w:tcPr>
          <w:p>
            <w:pPr>
              <w:spacing w:before="60" w:after="60" w:line="264" w:lineRule="auto"/>
            </w:pPr>
            <w:r>
              <w:rPr>
                <w:color w:val="18241E"/>
                <w:sz w:val="20"/>
              </w:rPr>
              <w:t>R1 (Implemented)</w:t>
              <w:br/>
              <w:t>#23, #24, #25, #10, #31</w:t>
            </w:r>
          </w:p>
        </w:tc>
        <w:tc>
          <w:tcPr>
            <w:tcW w:type="dxa" w:w="1560"/>
            <w:vAlign w:val="center"/>
          </w:tcPr>
          <w:p>
            <w:pPr>
              <w:spacing w:before="60" w:after="60" w:line="264" w:lineRule="auto"/>
            </w:pPr>
            <w:r>
              <w:rPr>
                <w:color w:val="18241E"/>
                <w:sz w:val="20"/>
              </w:rPr>
              <w:t>US-01 (T-01-01, T-01-02)</w:t>
            </w:r>
          </w:p>
        </w:tc>
        <w:tc>
          <w:tcPr>
            <w:tcW w:type="dxa" w:w="1560"/>
            <w:vAlign w:val="center"/>
          </w:tcPr>
          <w:p>
            <w:pPr>
              <w:spacing w:before="60" w:after="60" w:line="264" w:lineRule="auto"/>
            </w:pPr>
            <w:r>
              <w:rPr>
                <w:color w:val="18241E"/>
                <w:sz w:val="20"/>
              </w:rPr>
              <w:t>frontend/live/signup.html</w:t>
              <w:br/>
              <w:t>signup.mjs</w:t>
            </w:r>
          </w:p>
        </w:tc>
        <w:tc>
          <w:tcPr>
            <w:tcW w:type="dxa" w:w="1560"/>
            <w:vAlign w:val="center"/>
          </w:tcPr>
          <w:p>
            <w:pPr>
              <w:spacing w:before="60" w:after="60" w:line="264" w:lineRule="auto"/>
            </w:pPr>
            <w:r>
              <w:rPr>
                <w:color w:val="18241E"/>
                <w:sz w:val="20"/>
              </w:rPr>
              <w:t>input[name='username'] (3-20), input[name='password'] (&gt;=6), select[name='role'] (user|organizer|leader)</w:t>
            </w:r>
          </w:p>
        </w:tc>
        <w:tc>
          <w:tcPr>
            <w:tcW w:type="dxa" w:w="1560"/>
            <w:vAlign w:val="center"/>
          </w:tcPr>
          <w:p>
            <w:pPr>
              <w:spacing w:before="60" w:after="60" w:line="264" w:lineRule="auto"/>
            </w:pPr>
            <w:r>
              <w:rPr>
                <w:color w:val="18241E"/>
                <w:sz w:val="20"/>
              </w:rPr>
              <w:t>POST /api/v1/users</w:t>
              <w:br/>
              <w:t>Body: UserCreate -&gt; 201 UserResponse (ULID id, UserRole Enum)</w:t>
            </w:r>
          </w:p>
        </w:tc>
      </w:tr>
      <w:tr>
        <w:trPr>
          <w:cantSplit/>
        </w:trPr>
        <w:tc>
          <w:tcPr>
            <w:tcW w:type="dxa" w:w="1560"/>
            <w:vAlign w:val="center"/>
            <w:shd w:fill="F6F8F4"/>
          </w:tcPr>
          <w:p>
            <w:pPr>
              <w:spacing w:before="60" w:after="60" w:line="264" w:lineRule="auto"/>
            </w:pPr>
            <w:r>
              <w:rPr>
                <w:b/>
                <w:color w:val="18241E"/>
                <w:sz w:val="20"/>
              </w:rPr>
              <w:t>SCR-04</w:t>
              <w:br/>
              <w:t>Role-Aware Sign In</w:t>
            </w:r>
          </w:p>
        </w:tc>
        <w:tc>
          <w:tcPr>
            <w:tcW w:type="dxa" w:w="1560"/>
            <w:vAlign w:val="center"/>
            <w:shd w:fill="F6F8F4"/>
          </w:tcPr>
          <w:p>
            <w:pPr>
              <w:spacing w:before="60" w:after="60" w:line="264" w:lineRule="auto"/>
            </w:pPr>
            <w:r>
              <w:rPr>
                <w:color w:val="18241E"/>
                <w:sz w:val="20"/>
              </w:rPr>
              <w:t>R1 (Implemented)</w:t>
              <w:br/>
              <w:t>#7, #8, #9, #10</w:t>
            </w:r>
          </w:p>
        </w:tc>
        <w:tc>
          <w:tcPr>
            <w:tcW w:type="dxa" w:w="1560"/>
            <w:vAlign w:val="center"/>
            <w:shd w:fill="F6F8F4"/>
          </w:tcPr>
          <w:p>
            <w:pPr>
              <w:spacing w:before="60" w:after="60" w:line="264" w:lineRule="auto"/>
            </w:pPr>
            <w:r>
              <w:rPr>
                <w:color w:val="18241E"/>
                <w:sz w:val="20"/>
              </w:rPr>
              <w:t>US-01 (T-01-01)</w:t>
            </w:r>
          </w:p>
        </w:tc>
        <w:tc>
          <w:tcPr>
            <w:tcW w:type="dxa" w:w="1560"/>
            <w:vAlign w:val="center"/>
            <w:shd w:fill="F6F8F4"/>
          </w:tcPr>
          <w:p>
            <w:pPr>
              <w:spacing w:before="60" w:after="60" w:line="264" w:lineRule="auto"/>
            </w:pPr>
            <w:r>
              <w:rPr>
                <w:color w:val="18241E"/>
                <w:sz w:val="20"/>
              </w:rPr>
              <w:t>frontend/live/login.html</w:t>
              <w:br/>
              <w:t>login.mjs, session.mjs</w:t>
            </w:r>
          </w:p>
        </w:tc>
        <w:tc>
          <w:tcPr>
            <w:tcW w:type="dxa" w:w="1560"/>
            <w:vAlign w:val="center"/>
            <w:shd w:fill="F6F8F4"/>
          </w:tcPr>
          <w:p>
            <w:pPr>
              <w:spacing w:before="60" w:after="60" w:line="264" w:lineRule="auto"/>
            </w:pPr>
            <w:r>
              <w:rPr>
                <w:color w:val="18241E"/>
                <w:sz w:val="20"/>
              </w:rPr>
              <w:t>input[name='username'], input[name='password'], button ('Log in'), #account-slot</w:t>
            </w:r>
          </w:p>
        </w:tc>
        <w:tc>
          <w:tcPr>
            <w:tcW w:type="dxa" w:w="1560"/>
            <w:vAlign w:val="center"/>
            <w:shd w:fill="F6F8F4"/>
          </w:tcPr>
          <w:p>
            <w:pPr>
              <w:spacing w:before="60" w:after="60" w:line="264" w:lineRule="auto"/>
            </w:pPr>
            <w:r>
              <w:rPr>
                <w:color w:val="18241E"/>
                <w:sz w:val="20"/>
              </w:rPr>
              <w:t>POST /api/v1/auth/login (or /auth/token)</w:t>
              <w:br/>
              <w:t>GET /api/v1/users/me -&gt; Bearer JWT</w:t>
            </w:r>
          </w:p>
        </w:tc>
      </w:tr>
      <w:tr>
        <w:trPr>
          <w:cantSplit/>
        </w:trPr>
        <w:tc>
          <w:tcPr>
            <w:tcW w:type="dxa" w:w="1560"/>
            <w:vAlign w:val="center"/>
          </w:tcPr>
          <w:p>
            <w:pPr>
              <w:spacing w:before="60" w:after="60" w:line="264" w:lineRule="auto"/>
            </w:pPr>
            <w:r>
              <w:rPr>
                <w:b/>
                <w:color w:val="18241E"/>
                <w:sz w:val="20"/>
              </w:rPr>
              <w:t>SCR-05</w:t>
              <w:br/>
              <w:t>Organizer Create Event</w:t>
            </w:r>
          </w:p>
        </w:tc>
        <w:tc>
          <w:tcPr>
            <w:tcW w:type="dxa" w:w="1560"/>
            <w:vAlign w:val="center"/>
          </w:tcPr>
          <w:p>
            <w:pPr>
              <w:spacing w:before="60" w:after="60" w:line="264" w:lineRule="auto"/>
            </w:pPr>
            <w:r>
              <w:rPr>
                <w:color w:val="18241E"/>
                <w:sz w:val="20"/>
              </w:rPr>
              <w:t>R1 (Implemented)</w:t>
              <w:br/>
              <w:t>#12, #13, #14, #32</w:t>
            </w:r>
          </w:p>
        </w:tc>
        <w:tc>
          <w:tcPr>
            <w:tcW w:type="dxa" w:w="1560"/>
            <w:vAlign w:val="center"/>
          </w:tcPr>
          <w:p>
            <w:pPr>
              <w:spacing w:before="60" w:after="60" w:line="264" w:lineRule="auto"/>
            </w:pPr>
            <w:r>
              <w:rPr>
                <w:color w:val="18241E"/>
                <w:sz w:val="20"/>
              </w:rPr>
              <w:t>US-02 (T-02-01, T-02-02)</w:t>
            </w:r>
          </w:p>
        </w:tc>
        <w:tc>
          <w:tcPr>
            <w:tcW w:type="dxa" w:w="1560"/>
            <w:vAlign w:val="center"/>
          </w:tcPr>
          <w:p>
            <w:pPr>
              <w:spacing w:before="60" w:after="60" w:line="264" w:lineRule="auto"/>
            </w:pPr>
            <w:r>
              <w:rPr>
                <w:color w:val="18241E"/>
                <w:sz w:val="20"/>
              </w:rPr>
              <w:t>frontend/live/create-event.html</w:t>
              <w:br/>
              <w:t>create-event.mjs</w:t>
            </w:r>
          </w:p>
        </w:tc>
        <w:tc>
          <w:tcPr>
            <w:tcW w:type="dxa" w:w="1560"/>
            <w:vAlign w:val="center"/>
          </w:tcPr>
          <w:p>
            <w:pPr>
              <w:spacing w:before="60" w:after="60" w:line="264" w:lineRule="auto"/>
            </w:pPr>
            <w:r>
              <w:rPr>
                <w:color w:val="18241E"/>
                <w:sz w:val="20"/>
              </w:rPr>
              <w:t>#auth-notice, #login-prompt, #organizer-prompt, title, overview, location, online_quota, offline_quota, start_time, end_time</w:t>
            </w:r>
          </w:p>
        </w:tc>
        <w:tc>
          <w:tcPr>
            <w:tcW w:type="dxa" w:w="1560"/>
            <w:vAlign w:val="center"/>
          </w:tcPr>
          <w:p>
            <w:pPr>
              <w:spacing w:before="60" w:after="60" w:line="264" w:lineRule="auto"/>
            </w:pPr>
            <w:r>
              <w:rPr>
                <w:color w:val="18241E"/>
                <w:sz w:val="20"/>
              </w:rPr>
              <w:t>POST /api/v1/events</w:t>
              <w:br/>
              <w:t>Body: EventCreate (Organizer Bearer Token required; 403 otherwise)</w:t>
            </w:r>
          </w:p>
        </w:tc>
      </w:tr>
      <w:tr>
        <w:trPr>
          <w:cantSplit/>
        </w:trPr>
        <w:tc>
          <w:tcPr>
            <w:tcW w:type="dxa" w:w="1560"/>
            <w:vAlign w:val="center"/>
            <w:shd w:fill="F6F8F4"/>
          </w:tcPr>
          <w:p>
            <w:pPr>
              <w:spacing w:before="60" w:after="60" w:line="264" w:lineRule="auto"/>
            </w:pPr>
            <w:r>
              <w:rPr>
                <w:b/>
                <w:color w:val="18241E"/>
                <w:sz w:val="20"/>
              </w:rPr>
              <w:t>SCR-06</w:t>
              <w:br/>
              <w:t>Participant Application Form</w:t>
            </w:r>
          </w:p>
        </w:tc>
        <w:tc>
          <w:tcPr>
            <w:tcW w:type="dxa" w:w="1560"/>
            <w:vAlign w:val="center"/>
            <w:shd w:fill="F6F8F4"/>
          </w:tcPr>
          <w:p>
            <w:pPr>
              <w:spacing w:before="60" w:after="60" w:line="264" w:lineRule="auto"/>
            </w:pPr>
            <w:r>
              <w:rPr>
                <w:color w:val="18241E"/>
                <w:sz w:val="20"/>
              </w:rPr>
              <w:t>R1 (Implemented)</w:t>
              <w:br/>
              <w:t>#20, #21, #22, #26</w:t>
            </w:r>
          </w:p>
        </w:tc>
        <w:tc>
          <w:tcPr>
            <w:tcW w:type="dxa" w:w="1560"/>
            <w:vAlign w:val="center"/>
            <w:shd w:fill="F6F8F4"/>
          </w:tcPr>
          <w:p>
            <w:pPr>
              <w:spacing w:before="60" w:after="60" w:line="264" w:lineRule="auto"/>
            </w:pPr>
            <w:r>
              <w:rPr>
                <w:color w:val="18241E"/>
                <w:sz w:val="20"/>
              </w:rPr>
              <w:t>US-06 (T-06-01, T-06-02)</w:t>
            </w:r>
          </w:p>
        </w:tc>
        <w:tc>
          <w:tcPr>
            <w:tcW w:type="dxa" w:w="1560"/>
            <w:vAlign w:val="center"/>
            <w:shd w:fill="F6F8F4"/>
          </w:tcPr>
          <w:p>
            <w:pPr>
              <w:spacing w:before="60" w:after="60" w:line="264" w:lineRule="auto"/>
            </w:pPr>
            <w:r>
              <w:rPr>
                <w:color w:val="18241E"/>
                <w:sz w:val="20"/>
              </w:rPr>
              <w:t>frontend/live/registration.html</w:t>
              <w:br/>
              <w:t>registration.mjs</w:t>
            </w:r>
          </w:p>
        </w:tc>
        <w:tc>
          <w:tcPr>
            <w:tcW w:type="dxa" w:w="1560"/>
            <w:vAlign w:val="center"/>
            <w:shd w:fill="F6F8F4"/>
          </w:tcPr>
          <w:p>
            <w:pPr>
              <w:spacing w:before="60" w:after="60" w:line="264" w:lineRule="auto"/>
            </w:pPr>
            <w:r>
              <w:rPr>
                <w:color w:val="18241E"/>
                <w:sz w:val="20"/>
              </w:rPr>
              <w:t>first_name (&lt;=20), last_name (&lt;=20), gender (male/female), date_of_birth, phone (&lt;=20), address (opt), national_id (opt &lt;=50)</w:t>
            </w:r>
          </w:p>
        </w:tc>
        <w:tc>
          <w:tcPr>
            <w:tcW w:type="dxa" w:w="1560"/>
            <w:vAlign w:val="center"/>
            <w:shd w:fill="F6F8F4"/>
          </w:tcPr>
          <w:p>
            <w:pPr>
              <w:spacing w:before="60" w:after="60" w:line="264" w:lineRule="auto"/>
            </w:pPr>
            <w:r>
              <w:rPr>
                <w:color w:val="18241E"/>
                <w:sz w:val="20"/>
              </w:rPr>
              <w:t>POST /api/v1/participants</w:t>
              <w:br/>
              <w:t>Body: ParticipantCreate (UserGender Enum) -&gt; 201 ParticipantResponse</w:t>
            </w:r>
          </w:p>
        </w:tc>
      </w:tr>
      <w:tr>
        <w:trPr>
          <w:cantSplit/>
        </w:trPr>
        <w:tc>
          <w:tcPr>
            <w:tcW w:type="dxa" w:w="1560"/>
            <w:vAlign w:val="center"/>
          </w:tcPr>
          <w:p>
            <w:pPr>
              <w:spacing w:before="60" w:after="60" w:line="264" w:lineRule="auto"/>
            </w:pPr>
            <w:r>
              <w:rPr>
                <w:b/>
                <w:color w:val="18241E"/>
                <w:sz w:val="20"/>
              </w:rPr>
              <w:t>SCR-07</w:t>
              <w:br/>
              <w:t>OTP, Receipt &amp; Waitlist Center</w:t>
            </w:r>
          </w:p>
        </w:tc>
        <w:tc>
          <w:tcPr>
            <w:tcW w:type="dxa" w:w="1560"/>
            <w:vAlign w:val="center"/>
          </w:tcPr>
          <w:p>
            <w:pPr>
              <w:spacing w:before="60" w:after="60" w:line="264" w:lineRule="auto"/>
            </w:pPr>
            <w:r>
              <w:rPr>
                <w:color w:val="18241E"/>
                <w:sz w:val="20"/>
              </w:rPr>
              <w:t>R2 (Planned Ready)</w:t>
              <w:br/>
              <w:t>#34, #35, #36, #37</w:t>
            </w:r>
          </w:p>
        </w:tc>
        <w:tc>
          <w:tcPr>
            <w:tcW w:type="dxa" w:w="1560"/>
            <w:vAlign w:val="center"/>
          </w:tcPr>
          <w:p>
            <w:pPr>
              <w:spacing w:before="60" w:after="60" w:line="264" w:lineRule="auto"/>
            </w:pPr>
            <w:r>
              <w:rPr>
                <w:color w:val="18241E"/>
                <w:sz w:val="20"/>
              </w:rPr>
              <w:t>US-08 (T-08-01~03)</w:t>
              <w:br/>
              <w:t>US-06</w:t>
            </w:r>
          </w:p>
        </w:tc>
        <w:tc>
          <w:tcPr>
            <w:tcW w:type="dxa" w:w="1560"/>
            <w:vAlign w:val="center"/>
          </w:tcPr>
          <w:p>
            <w:pPr>
              <w:spacing w:before="60" w:after="60" w:line="264" w:lineRule="auto"/>
            </w:pPr>
            <w:r>
              <w:rPr>
                <w:color w:val="18241E"/>
                <w:sz w:val="20"/>
              </w:rPr>
              <w:t>Planned: my-bookings.html</w:t>
              <w:br/>
              <w:t>(extends registration.mjs)</w:t>
            </w:r>
          </w:p>
        </w:tc>
        <w:tc>
          <w:tcPr>
            <w:tcW w:type="dxa" w:w="1560"/>
            <w:vAlign w:val="center"/>
          </w:tcPr>
          <w:p>
            <w:pPr>
              <w:spacing w:before="60" w:after="60" w:line="264" w:lineRule="auto"/>
            </w:pPr>
            <w:r>
              <w:rPr>
                <w:color w:val="18241E"/>
                <w:sz w:val="20"/>
              </w:rPr>
              <w:t>#otp-code, #booking-status-badge, #btn-cancel-booking, #waitlist-offer-banner</w:t>
            </w:r>
          </w:p>
        </w:tc>
        <w:tc>
          <w:tcPr>
            <w:tcW w:type="dxa" w:w="1560"/>
            <w:vAlign w:val="center"/>
          </w:tcPr>
          <w:p>
            <w:pPr>
              <w:spacing w:before="60" w:after="60" w:line="264" w:lineRule="auto"/>
            </w:pPr>
            <w:r>
              <w:rPr>
                <w:color w:val="18241E"/>
                <w:sz w:val="20"/>
              </w:rPr>
              <w:t>POST /api/v1/auth/otp, GET /api/v1/participants/me, PUT /api/v1/registrations/{id} (cancel/waitlist)</w:t>
            </w:r>
          </w:p>
        </w:tc>
      </w:tr>
      <w:tr>
        <w:trPr>
          <w:cantSplit/>
        </w:trPr>
        <w:tc>
          <w:tcPr>
            <w:tcW w:type="dxa" w:w="1560"/>
            <w:vAlign w:val="center"/>
            <w:shd w:fill="F6F8F4"/>
          </w:tcPr>
          <w:p>
            <w:pPr>
              <w:spacing w:before="60" w:after="60" w:line="264" w:lineRule="auto"/>
            </w:pPr>
            <w:r>
              <w:rPr>
                <w:b/>
                <w:color w:val="18241E"/>
                <w:sz w:val="20"/>
              </w:rPr>
              <w:t>SCR-08</w:t>
              <w:br/>
              <w:t>Community Leader Promotion Hub</w:t>
            </w:r>
          </w:p>
        </w:tc>
        <w:tc>
          <w:tcPr>
            <w:tcW w:type="dxa" w:w="1560"/>
            <w:vAlign w:val="center"/>
            <w:shd w:fill="F6F8F4"/>
          </w:tcPr>
          <w:p>
            <w:pPr>
              <w:spacing w:before="60" w:after="60" w:line="264" w:lineRule="auto"/>
            </w:pPr>
            <w:r>
              <w:rPr>
                <w:color w:val="18241E"/>
                <w:sz w:val="20"/>
              </w:rPr>
              <w:t>R2 (Planned Ready)</w:t>
              <w:br/>
              <w:t>#31, #32</w:t>
            </w:r>
          </w:p>
        </w:tc>
        <w:tc>
          <w:tcPr>
            <w:tcW w:type="dxa" w:w="1560"/>
            <w:vAlign w:val="center"/>
            <w:shd w:fill="F6F8F4"/>
          </w:tcPr>
          <w:p>
            <w:pPr>
              <w:spacing w:before="60" w:after="60" w:line="264" w:lineRule="auto"/>
            </w:pPr>
            <w:r>
              <w:rPr>
                <w:color w:val="18241E"/>
                <w:sz w:val="20"/>
              </w:rPr>
              <w:t>US-03 (T-03-01)</w:t>
              <w:br/>
              <w:t>US-04 (T-04-01~03)</w:t>
            </w:r>
          </w:p>
        </w:tc>
        <w:tc>
          <w:tcPr>
            <w:tcW w:type="dxa" w:w="1560"/>
            <w:vAlign w:val="center"/>
            <w:shd w:fill="F6F8F4"/>
          </w:tcPr>
          <w:p>
            <w:pPr>
              <w:spacing w:before="60" w:after="60" w:line="264" w:lineRule="auto"/>
            </w:pPr>
            <w:r>
              <w:rPr>
                <w:color w:val="18241E"/>
                <w:sz w:val="20"/>
              </w:rPr>
              <w:t>Planned: leader-hub.html</w:t>
              <w:br/>
              <w:t>(aligned with mock v1.2.1)</w:t>
            </w:r>
          </w:p>
        </w:tc>
        <w:tc>
          <w:tcPr>
            <w:tcW w:type="dxa" w:w="1560"/>
            <w:vAlign w:val="center"/>
            <w:shd w:fill="F6F8F4"/>
          </w:tcPr>
          <w:p>
            <w:pPr>
              <w:spacing w:before="60" w:after="60" w:line="264" w:lineRule="auto"/>
            </w:pPr>
            <w:r>
              <w:rPr>
                <w:color w:val="18241E"/>
                <w:sz w:val="20"/>
              </w:rPr>
              <w:t>#leader-quota-bar, #referral-link-box, #btn-copy-whatsapp, #btn-generate-brochure, #btn-download-flyer</w:t>
            </w:r>
          </w:p>
        </w:tc>
        <w:tc>
          <w:tcPr>
            <w:tcW w:type="dxa" w:w="1560"/>
            <w:vAlign w:val="center"/>
            <w:shd w:fill="F6F8F4"/>
          </w:tcPr>
          <w:p>
            <w:pPr>
              <w:spacing w:before="60" w:after="60" w:line="264" w:lineRule="auto"/>
            </w:pPr>
            <w:r>
              <w:rPr>
                <w:color w:val="18241E"/>
                <w:sz w:val="20"/>
              </w:rPr>
              <w:t>GET /api/v1/events/{id}/leader-quota</w:t>
              <w:br/>
              <w:t>POST /api/v1/events/{eventId}/brochures/generations</w:t>
            </w:r>
          </w:p>
        </w:tc>
      </w:tr>
      <w:tr>
        <w:trPr>
          <w:cantSplit/>
        </w:trPr>
        <w:tc>
          <w:tcPr>
            <w:tcW w:type="dxa" w:w="1560"/>
            <w:vAlign w:val="center"/>
          </w:tcPr>
          <w:p>
            <w:pPr>
              <w:spacing w:before="60" w:after="60" w:line="264" w:lineRule="auto"/>
            </w:pPr>
            <w:r>
              <w:rPr>
                <w:b/>
                <w:color w:val="18241E"/>
                <w:sz w:val="20"/>
              </w:rPr>
              <w:t>SCR-09</w:t>
              <w:br/>
              <w:t>Leader Proxy, OCR &amp; Flyer Report</w:t>
            </w:r>
          </w:p>
        </w:tc>
        <w:tc>
          <w:tcPr>
            <w:tcW w:type="dxa" w:w="1560"/>
            <w:vAlign w:val="center"/>
          </w:tcPr>
          <w:p>
            <w:pPr>
              <w:spacing w:before="60" w:after="60" w:line="264" w:lineRule="auto"/>
            </w:pPr>
            <w:r>
              <w:rPr>
                <w:color w:val="18241E"/>
                <w:sz w:val="20"/>
              </w:rPr>
              <w:t>R2 (Planned Ready)</w:t>
              <w:br/>
              <w:t>#32, US-07 Split</w:t>
            </w:r>
          </w:p>
        </w:tc>
        <w:tc>
          <w:tcPr>
            <w:tcW w:type="dxa" w:w="1560"/>
            <w:vAlign w:val="center"/>
          </w:tcPr>
          <w:p>
            <w:pPr>
              <w:spacing w:before="60" w:after="60" w:line="264" w:lineRule="auto"/>
            </w:pPr>
            <w:r>
              <w:rPr>
                <w:color w:val="18241E"/>
                <w:sz w:val="20"/>
              </w:rPr>
              <w:t>US-07 (T-07-01~03)</w:t>
              <w:br/>
              <w:t>US-05 (T-05-03)</w:t>
            </w:r>
          </w:p>
        </w:tc>
        <w:tc>
          <w:tcPr>
            <w:tcW w:type="dxa" w:w="1560"/>
            <w:vAlign w:val="center"/>
          </w:tcPr>
          <w:p>
            <w:pPr>
              <w:spacing w:before="60" w:after="60" w:line="264" w:lineRule="auto"/>
            </w:pPr>
            <w:r>
              <w:rPr>
                <w:color w:val="18241E"/>
                <w:sz w:val="20"/>
              </w:rPr>
              <w:t>Planned: leader-assist.html</w:t>
              <w:br/>
              <w:t>(aligned with mock v1.2.1)</w:t>
            </w:r>
          </w:p>
        </w:tc>
        <w:tc>
          <w:tcPr>
            <w:tcW w:type="dxa" w:w="1560"/>
            <w:vAlign w:val="center"/>
          </w:tcPr>
          <w:p>
            <w:pPr>
              <w:spacing w:before="60" w:after="60" w:line="264" w:lineRule="auto"/>
            </w:pPr>
            <w:r>
              <w:rPr>
                <w:color w:val="18241E"/>
                <w:sz w:val="20"/>
              </w:rPr>
              <w:t>#btn-scan-paper-form, #ocr-review-banner, 7-field proxy form, #flyers-distributed-input (1-500)</w:t>
            </w:r>
          </w:p>
        </w:tc>
        <w:tc>
          <w:tcPr>
            <w:tcW w:type="dxa" w:w="1560"/>
            <w:vAlign w:val="center"/>
          </w:tcPr>
          <w:p>
            <w:pPr>
              <w:spacing w:before="60" w:after="60" w:line="264" w:lineRule="auto"/>
            </w:pPr>
            <w:r>
              <w:rPr>
                <w:color w:val="18241E"/>
                <w:sz w:val="20"/>
              </w:rPr>
              <w:t>POST /api/v1/ocr/scan-form, POST /api/v1/participants (offline pool), POST /api/v1/outreach-reports</w:t>
            </w:r>
          </w:p>
        </w:tc>
      </w:tr>
      <w:tr>
        <w:trPr>
          <w:cantSplit/>
        </w:trPr>
        <w:tc>
          <w:tcPr>
            <w:tcW w:type="dxa" w:w="1560"/>
            <w:vAlign w:val="center"/>
            <w:shd w:fill="F6F8F4"/>
          </w:tcPr>
          <w:p>
            <w:pPr>
              <w:spacing w:before="60" w:after="60" w:line="264" w:lineRule="auto"/>
            </w:pPr>
            <w:r>
              <w:rPr>
                <w:b/>
                <w:color w:val="18241E"/>
                <w:sz w:val="20"/>
              </w:rPr>
              <w:t>SCR-10</w:t>
              <w:br/>
              <w:t>Organizer Live Demand Monitor</w:t>
            </w:r>
          </w:p>
        </w:tc>
        <w:tc>
          <w:tcPr>
            <w:tcW w:type="dxa" w:w="1560"/>
            <w:vAlign w:val="center"/>
            <w:shd w:fill="F6F8F4"/>
          </w:tcPr>
          <w:p>
            <w:pPr>
              <w:spacing w:before="60" w:after="60" w:line="264" w:lineRule="auto"/>
            </w:pPr>
            <w:r>
              <w:rPr>
                <w:color w:val="18241E"/>
                <w:sz w:val="20"/>
              </w:rPr>
              <w:t>R2 (Planned Ready)</w:t>
              <w:br/>
              <w:t>#32, #33</w:t>
            </w:r>
          </w:p>
        </w:tc>
        <w:tc>
          <w:tcPr>
            <w:tcW w:type="dxa" w:w="1560"/>
            <w:vAlign w:val="center"/>
            <w:shd w:fill="F6F8F4"/>
          </w:tcPr>
          <w:p>
            <w:pPr>
              <w:spacing w:before="60" w:after="60" w:line="264" w:lineRule="auto"/>
            </w:pPr>
            <w:r>
              <w:rPr>
                <w:color w:val="18241E"/>
                <w:sz w:val="20"/>
              </w:rPr>
              <w:t>US-05 (T-05-01~03)</w:t>
              <w:br/>
              <w:t>US-06.2, US-02</w:t>
            </w:r>
          </w:p>
        </w:tc>
        <w:tc>
          <w:tcPr>
            <w:tcW w:type="dxa" w:w="1560"/>
            <w:vAlign w:val="center"/>
            <w:shd w:fill="F6F8F4"/>
          </w:tcPr>
          <w:p>
            <w:pPr>
              <w:spacing w:before="60" w:after="60" w:line="264" w:lineRule="auto"/>
            </w:pPr>
            <w:r>
              <w:rPr>
                <w:color w:val="18241E"/>
                <w:sz w:val="20"/>
              </w:rPr>
              <w:t>Planned: organizer-dashboard.html</w:t>
            </w:r>
          </w:p>
        </w:tc>
        <w:tc>
          <w:tcPr>
            <w:tcW w:type="dxa" w:w="1560"/>
            <w:vAlign w:val="center"/>
            <w:shd w:fill="F6F8F4"/>
          </w:tcPr>
          <w:p>
            <w:pPr>
              <w:spacing w:before="60" w:after="60" w:line="264" w:lineRule="auto"/>
            </w:pPr>
            <w:r>
              <w:rPr>
                <w:color w:val="18241E"/>
                <w:sz w:val="20"/>
              </w:rPr>
              <w:t>#stat-confirmed, #stat-pending-review, #stat-waitlist, #stat-reported-flyers, #btn-signal-pause, #btn-send-notice</w:t>
            </w:r>
          </w:p>
        </w:tc>
        <w:tc>
          <w:tcPr>
            <w:tcW w:type="dxa" w:w="1560"/>
            <w:vAlign w:val="center"/>
            <w:shd w:fill="F6F8F4"/>
          </w:tcPr>
          <w:p>
            <w:pPr>
              <w:spacing w:before="60" w:after="60" w:line="264" w:lineRule="auto"/>
            </w:pPr>
            <w:r>
              <w:rPr>
                <w:color w:val="18241E"/>
                <w:sz w:val="20"/>
              </w:rPr>
              <w:t>GET /api/v1/events/{id}/summary (shared T-05-01 aggregation), POST /api/v1/events/{id}/notices</w:t>
            </w:r>
          </w:p>
        </w:tc>
      </w:tr>
      <w:tr>
        <w:trPr>
          <w:cantSplit/>
        </w:trPr>
        <w:tc>
          <w:tcPr>
            <w:tcW w:type="dxa" w:w="1560"/>
            <w:vAlign w:val="center"/>
          </w:tcPr>
          <w:p>
            <w:pPr>
              <w:spacing w:before="60" w:after="60" w:line="264" w:lineRule="auto"/>
            </w:pPr>
            <w:r>
              <w:rPr>
                <w:b/>
                <w:color w:val="18241E"/>
                <w:sz w:val="20"/>
              </w:rPr>
              <w:t>SCR-11</w:t>
              <w:br/>
              <w:t>Field Offline Check-In &amp; Walk-In</w:t>
            </w:r>
          </w:p>
        </w:tc>
        <w:tc>
          <w:tcPr>
            <w:tcW w:type="dxa" w:w="1560"/>
            <w:vAlign w:val="center"/>
          </w:tcPr>
          <w:p>
            <w:pPr>
              <w:spacing w:before="60" w:after="60" w:line="264" w:lineRule="auto"/>
            </w:pPr>
            <w:r>
              <w:rPr>
                <w:color w:val="18241E"/>
                <w:sz w:val="20"/>
              </w:rPr>
              <w:t>R3 (Planned W10-12)</w:t>
              <w:br/>
              <w:t>US-09 Story Map</w:t>
            </w:r>
          </w:p>
        </w:tc>
        <w:tc>
          <w:tcPr>
            <w:tcW w:type="dxa" w:w="1560"/>
            <w:vAlign w:val="center"/>
          </w:tcPr>
          <w:p>
            <w:pPr>
              <w:spacing w:before="60" w:after="60" w:line="264" w:lineRule="auto"/>
            </w:pPr>
            <w:r>
              <w:rPr>
                <w:color w:val="18241E"/>
                <w:sz w:val="20"/>
              </w:rPr>
              <w:t>US-09 (T-09-01~03)</w:t>
            </w:r>
          </w:p>
        </w:tc>
        <w:tc>
          <w:tcPr>
            <w:tcW w:type="dxa" w:w="1560"/>
            <w:vAlign w:val="center"/>
          </w:tcPr>
          <w:p>
            <w:pPr>
              <w:spacing w:before="60" w:after="60" w:line="264" w:lineRule="auto"/>
            </w:pPr>
            <w:r>
              <w:rPr>
                <w:color w:val="18241E"/>
                <w:sz w:val="20"/>
              </w:rPr>
              <w:t>Planned: field-checkin.html</w:t>
              <w:br/>
              <w:t>(aligned with mock v1.2.1)</w:t>
            </w:r>
          </w:p>
        </w:tc>
        <w:tc>
          <w:tcPr>
            <w:tcW w:type="dxa" w:w="1560"/>
            <w:vAlign w:val="center"/>
          </w:tcPr>
          <w:p>
            <w:pPr>
              <w:spacing w:before="60" w:after="60" w:line="264" w:lineRule="auto"/>
            </w:pPr>
            <w:r>
              <w:rPr>
                <w:color w:val="18241E"/>
                <w:sz w:val="20"/>
              </w:rPr>
              <w:t>#roster-revision-tag, #checkin-search, #btn-queue-checkin, #sync-queue-list, #btn-register-walkin</w:t>
            </w:r>
          </w:p>
        </w:tc>
        <w:tc>
          <w:tcPr>
            <w:tcW w:type="dxa" w:w="1560"/>
            <w:vAlign w:val="center"/>
          </w:tcPr>
          <w:p>
            <w:pPr>
              <w:spacing w:before="60" w:after="60" w:line="264" w:lineRule="auto"/>
            </w:pPr>
            <w:r>
              <w:rPr>
                <w:color w:val="18241E"/>
                <w:sz w:val="20"/>
              </w:rPr>
              <w:t>GET /api/v1/events/{id}/roster, POST /api/v1/checkins/sync (idempotent op_id -&gt; SYNCED | CONFLICT)</w:t>
            </w:r>
          </w:p>
        </w:tc>
      </w:tr>
      <w:tr>
        <w:trPr>
          <w:cantSplit/>
        </w:trPr>
        <w:tc>
          <w:tcPr>
            <w:tcW w:type="dxa" w:w="1560"/>
            <w:vAlign w:val="center"/>
            <w:shd w:fill="F6F8F4"/>
          </w:tcPr>
          <w:p>
            <w:pPr>
              <w:spacing w:before="60" w:after="60" w:line="264" w:lineRule="auto"/>
            </w:pPr>
            <w:r>
              <w:rPr>
                <w:b/>
                <w:color w:val="18241E"/>
                <w:sz w:val="20"/>
              </w:rPr>
              <w:t>SCR-12</w:t>
              <w:br/>
              <w:t>Event Closeout &amp; Review Summary</w:t>
            </w:r>
          </w:p>
        </w:tc>
        <w:tc>
          <w:tcPr>
            <w:tcW w:type="dxa" w:w="1560"/>
            <w:vAlign w:val="center"/>
            <w:shd w:fill="F6F8F4"/>
          </w:tcPr>
          <w:p>
            <w:pPr>
              <w:spacing w:before="60" w:after="60" w:line="264" w:lineRule="auto"/>
            </w:pPr>
            <w:r>
              <w:rPr>
                <w:color w:val="18241E"/>
                <w:sz w:val="20"/>
              </w:rPr>
              <w:t>R3 (Planned W10-12)</w:t>
              <w:br/>
              <w:t>US-10 Story Map</w:t>
            </w:r>
          </w:p>
        </w:tc>
        <w:tc>
          <w:tcPr>
            <w:tcW w:type="dxa" w:w="1560"/>
            <w:vAlign w:val="center"/>
            <w:shd w:fill="F6F8F4"/>
          </w:tcPr>
          <w:p>
            <w:pPr>
              <w:spacing w:before="60" w:after="60" w:line="264" w:lineRule="auto"/>
            </w:pPr>
            <w:r>
              <w:rPr>
                <w:color w:val="18241E"/>
                <w:sz w:val="20"/>
              </w:rPr>
              <w:t>US-10 (T-10-01~03)</w:t>
              <w:br/>
              <w:t>US-03 (T-03-03)</w:t>
            </w:r>
          </w:p>
        </w:tc>
        <w:tc>
          <w:tcPr>
            <w:tcW w:type="dxa" w:w="1560"/>
            <w:vAlign w:val="center"/>
            <w:shd w:fill="F6F8F4"/>
          </w:tcPr>
          <w:p>
            <w:pPr>
              <w:spacing w:before="60" w:after="60" w:line="264" w:lineRule="auto"/>
            </w:pPr>
            <w:r>
              <w:rPr>
                <w:color w:val="18241E"/>
                <w:sz w:val="20"/>
              </w:rPr>
              <w:t>Planned: event-closeout.html</w:t>
            </w:r>
          </w:p>
        </w:tc>
        <w:tc>
          <w:tcPr>
            <w:tcW w:type="dxa" w:w="1560"/>
            <w:vAlign w:val="center"/>
            <w:shd w:fill="F6F8F4"/>
          </w:tcPr>
          <w:p>
            <w:pPr>
              <w:spacing w:before="60" w:after="60" w:line="264" w:lineRule="auto"/>
            </w:pPr>
            <w:r>
              <w:rPr>
                <w:color w:val="18241E"/>
                <w:sz w:val="20"/>
              </w:rPr>
              <w:t>#closeout-metrics-grid, #attribution-comparison-table, #no-show-rate-card, #btn-export-csv</w:t>
            </w:r>
          </w:p>
        </w:tc>
        <w:tc>
          <w:tcPr>
            <w:tcW w:type="dxa" w:w="1560"/>
            <w:vAlign w:val="center"/>
            <w:shd w:fill="F6F8F4"/>
          </w:tcPr>
          <w:p>
            <w:pPr>
              <w:spacing w:before="60" w:after="60" w:line="264" w:lineRule="auto"/>
            </w:pPr>
            <w:r>
              <w:rPr>
                <w:color w:val="18241E"/>
                <w:sz w:val="20"/>
              </w:rPr>
              <w:t>GET /api/v1/events/{id}/closeout-summary (reuses T-05-01 shared aggregation component)</w:t>
            </w:r>
          </w:p>
        </w:tc>
      </w:tr>
    </w:tbl>
    <w:p>
      <w:pPr>
        <w:spacing w:before="0" w:after="120"/>
      </w:pPr>
    </w:p>
    <w:p>
      <w:pPr>
        <w:keepNext/>
        <w:spacing w:before="320" w:after="120"/>
      </w:pPr>
      <w:r>
        <w:rPr>
          <w:rFonts w:ascii="Georgia" w:hAnsi="Georgia"/>
          <w:b/>
          <w:color w:val="1F5547"/>
          <w:sz w:val="32"/>
        </w:rPr>
        <w:t>4. Security, Privacy (Malaysian PDPA) &amp; Low-Resource UX Controls</w:t>
      </w:r>
    </w:p>
    <w:p>
      <w:pPr>
        <w:spacing w:before="0" w:after="120" w:line="276" w:lineRule="auto"/>
      </w:pPr>
      <w:r>
        <w:rPr>
          <w:color w:val="18241E"/>
          <w:sz w:val="22"/>
        </w:rPr>
        <w:t>In alignment with the Cyber Consultant's Risk Assessment (Log Task 1) and Security Features Specification (Log Task 2), the UI enforces four mandatory protective controls:</w:t>
      </w:r>
    </w:p>
    <w:p>
      <w:pPr>
        <w:spacing w:before="0" w:after="120" w:line="276" w:lineRule="auto"/>
      </w:pPr>
      <w:r>
        <w:rPr>
          <w:b/>
          <w:color w:val="18241E"/>
          <w:sz w:val="22"/>
        </w:rPr>
        <w:t>1. Role-Based Access Control (RBAC) UI Guards:</w:t>
      </w:r>
      <w:r>
        <w:rPr>
          <w:color w:val="18241E"/>
          <w:sz w:val="22"/>
        </w:rPr>
        <w:t xml:space="preserve"> All privileged views (`SCR-05`, `SCR-08`, `SCR-10`, `SCR-11`, `SCR-12`) validate JWT role permissions both in the UI (`#login-prompt` and `#organizer-prompt` banners) and on the FastAPI server (`HTTP 403 Forbidden` for unauthorized roles).</w:t>
      </w:r>
    </w:p>
    <w:p>
      <w:pPr>
        <w:spacing w:before="0" w:after="120" w:line="276" w:lineRule="auto"/>
      </w:pPr>
      <w:r>
        <w:rPr>
          <w:b/>
          <w:color w:val="18241E"/>
          <w:sz w:val="22"/>
        </w:rPr>
        <w:t>2. Data Minimization &amp; Clinical Privacy Boundary (PDPA Compliance):</w:t>
      </w:r>
      <w:r>
        <w:rPr>
          <w:color w:val="18241E"/>
          <w:sz w:val="22"/>
        </w:rPr>
        <w:t xml:space="preserve"> The online registration form (`SCR-06`) collects only the 7 essential identity and contact fields (`first_name`, `last_name`, `gender`, `date_of_birth`, `phone`, `address`, `national_id`). Sensitive medical or sexual-history questions are never asked on the web form and are deferred to private on-site nurse consultations.</w:t>
      </w:r>
    </w:p>
    <w:p>
      <w:pPr>
        <w:spacing w:before="0" w:after="120" w:line="276" w:lineRule="auto"/>
      </w:pPr>
      <w:r>
        <w:rPr>
          <w:b/>
          <w:color w:val="18241E"/>
          <w:sz w:val="22"/>
        </w:rPr>
        <w:t>3. Ephemeral OCR Image Handling &amp; Scoped Offline Cache:</w:t>
      </w:r>
      <w:r>
        <w:rPr>
          <w:color w:val="18241E"/>
          <w:sz w:val="22"/>
        </w:rPr>
        <w:t xml:space="preserve"> Paper registration photos captured in `SCR-09` are used transiently for text extraction and human verification without persistent public caching. Offline field rosters in `SCR-11` preload only minimal attendee lookup fields with a strict expiration window.</w:t>
      </w:r>
    </w:p>
    <w:p>
      <w:pPr>
        <w:spacing w:before="0" w:after="120" w:line="276" w:lineRule="auto"/>
      </w:pPr>
      <w:r>
        <w:rPr>
          <w:b/>
          <w:color w:val="18241E"/>
          <w:sz w:val="22"/>
        </w:rPr>
        <w:t>4. Anti-Enumeration &amp; Safe Cancellation Tokens:</w:t>
      </w:r>
      <w:r>
        <w:rPr>
          <w:color w:val="18241E"/>
          <w:sz w:val="22"/>
        </w:rPr>
        <w:t xml:space="preserve"> Self-service booking lookup and cancellation links (`SCR-07`) require phone OTP verification (`#34`) or unguessable time-limited tokens rather than sequential integer IDs, and mutations are never triggered by HTTP `GET` requests (preventing WhatsApp link-preview bots from accidentally cancelling a woman's screening slot).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824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