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5547"/>
          <w:sz w:val="18"/>
        </w:rPr>
        <w:t>DEVELOPER(S) CONTRIBUTION  |  TASK 1</w:t>
      </w:r>
    </w:p>
    <w:p>
      <w:pPr>
        <w:pStyle w:val="Title"/>
      </w:pPr>
      <w:r>
        <w:t>Log Task 1: Developer Feature Plan and Story Splitting</w:t>
      </w:r>
    </w:p>
    <w:p>
      <w:r>
        <w:rPr>
          <w:i/>
          <w:color w:val="61716B"/>
        </w:rPr>
        <w:t>KV6014 Challenge 5 | Group 6 | ROSE-Pulse community event management system | 12 October 2026</w:t>
      </w:r>
    </w:p>
    <w:tbl>
      <w:tblPr>
        <w:tblW w:type="auto" w:w="0"/>
        <w:tblLayout w:type="fixed"/>
        <w:tblLook w:firstColumn="1" w:firstRow="1" w:lastColumn="0" w:lastRow="0" w:noHBand="0" w:noVBand="1" w:val="04A0"/>
      </w:tblPr>
      <w:tblGrid>
        <w:gridCol w:w="9808"/>
      </w:tblGrid>
      <w:tr>
        <w:trPr>
          <w:tblHeader w:val="true"/>
          <w:cantSplit/>
        </w:trPr>
        <w:tc>
          <w:tcPr>
            <w:tcW w:type="dxa" w:w="9922"/>
            <w:shd w:fill="EAF2E9"/>
            <w:tcMar>
              <w:top w:w="130" w:type="dxa"/>
              <w:start w:w="150" w:type="dxa"/>
              <w:bottom w:w="130" w:type="dxa"/>
              <w:end w:w="150" w:type="dxa"/>
            </w:tcMar>
          </w:tcPr>
          <w:p>
            <w:pPr>
              <w:keepNext/>
              <w:spacing w:after="0"/>
            </w:pPr>
            <w:r>
              <w:rPr>
                <w:b/>
                <w:color w:val="1E5547"/>
              </w:rPr>
              <w:t>STATUS  Developer contribution for insertion into the team Log Task. Source-based screenshots and tested demo behavior are separated from proposed production work.</w:t>
            </w:r>
          </w:p>
        </w:tc>
      </w:tr>
    </w:tbl>
    <w:p/>
    <w:p>
      <w:pPr>
        <w:pStyle w:val="Heading1"/>
        <w:keepNext/>
      </w:pPr>
      <w:r>
        <w:t>1. Problem and intended development outcome</w:t>
      </w:r>
    </w:p>
    <w:p>
      <w:r>
        <w:t>ROSE supports cervical cancer screening activities for women in Malaysian B40 communities. Limited medical staff and screening supplies mean attendance must be balanced against each event's safe capacity. Promotion often relies on community leaders, WhatsApp messages and printed flyers. The organisation cannot consistently measure outreach activity or predict the final number of attendees. Some participants have limited digital access or network connectivity. [S1, S2]</w:t>
      </w:r>
    </w:p>
    <w:tbl>
      <w:tblPr>
        <w:tblW w:type="auto" w:w="0"/>
        <w:tblLook w:firstColumn="1" w:firstRow="1" w:lastColumn="0" w:lastRow="0" w:noHBand="0" w:noVBand="1" w:val="04A0"/>
      </w:tblPr>
      <w:tblGrid>
        <w:gridCol w:w="9922"/>
      </w:tblGrid>
      <w:tr>
        <w:trPr>
          <w:tblHeader w:val="true"/>
          <w:cantSplit/>
        </w:trPr>
        <w:tc>
          <w:tcPr>
            <w:tcW w:type="dxa" w:w="9922"/>
            <w:shd w:fill="F0F5F1"/>
            <w:tcMar>
              <w:top w:w="110" w:type="dxa"/>
              <w:start w:w="130" w:type="dxa"/>
              <w:bottom w:w="95" w:type="dxa"/>
              <w:end w:w="130" w:type="dxa"/>
            </w:tcMar>
          </w:tcPr>
          <w:p>
            <w:pPr>
              <w:keepNext/>
            </w:pPr>
            <w:r>
              <w:rPr>
                <w:b/>
                <w:color w:val="1E5547"/>
                <w:sz w:val="16"/>
              </w:rPr>
              <w:t xml:space="preserve">DEVELOPER OBJECTIVE  </w:t>
            </w:r>
            <w:r>
              <w:rPr>
                <w:sz w:val="18"/>
              </w:rPr>
              <w:t>Build a lightweight, mobile-first workflow that connects promotion, controlled registration, attendance and operational reporting. A booking must never be shown as confirmed until an authorised server has accepted it.</w:t>
            </w:r>
          </w:p>
        </w:tc>
      </w:tr>
    </w:tbl>
    <w:p>
      <w:pPr>
        <w:spacing w:after="0"/>
      </w:pPr>
    </w:p>
    <w:p>
      <w:pPr>
        <w:pStyle w:val="Heading1"/>
        <w:keepNext/>
      </w:pPr>
      <w:r>
        <w:t>2. Pain points, requirements and success criteria</w:t>
      </w:r>
    </w:p>
    <w:tbl>
      <w:tblPr>
        <w:tblW w:type="auto" w:w="0"/>
        <w:jc w:val="center"/>
        <w:tblLayout w:type="fixed"/>
        <w:tblLook w:firstColumn="1" w:firstRow="1" w:lastColumn="0" w:lastRow="0" w:noHBand="0" w:noVBand="1" w:val="04A0"/>
      </w:tblPr>
      <w:tblGrid>
        <w:gridCol w:w="2154"/>
        <w:gridCol w:w="3912"/>
        <w:gridCol w:w="3685"/>
      </w:tblGrid>
      <w:tr>
        <w:trPr>
          <w:tblHeader w:val="true"/>
          <w:cantSplit/>
        </w:trPr>
        <w:tc>
          <w:tcPr>
            <w:tcW w:type="dxa" w:w="3307"/>
            <w:shd w:fill="1E5547"/>
            <w:tcMar>
              <w:top w:w="115" w:type="dxa"/>
              <w:start w:w="95" w:type="dxa"/>
              <w:bottom w:w="115" w:type="dxa"/>
              <w:end w:w="95" w:type="dxa"/>
            </w:tcMar>
            <w:vAlign w:val="center"/>
          </w:tcPr>
          <w:p>
            <w:pPr>
              <w:keepNext/>
              <w:spacing w:after="0" w:line="259" w:lineRule="auto"/>
            </w:pPr>
            <w:r>
              <w:rPr>
                <w:b/>
                <w:color w:val="FFFFFF"/>
                <w:sz w:val="16"/>
              </w:rPr>
              <w:t>Challenge</w:t>
            </w:r>
          </w:p>
        </w:tc>
        <w:tc>
          <w:tcPr>
            <w:tcW w:type="dxa" w:w="3307"/>
            <w:shd w:fill="1E5547"/>
            <w:tcMar>
              <w:top w:w="115" w:type="dxa"/>
              <w:start w:w="95" w:type="dxa"/>
              <w:bottom w:w="115" w:type="dxa"/>
              <w:end w:w="95" w:type="dxa"/>
            </w:tcMar>
            <w:vAlign w:val="center"/>
          </w:tcPr>
          <w:p>
            <w:pPr>
              <w:keepNext/>
              <w:spacing w:after="0" w:line="259" w:lineRule="auto"/>
            </w:pPr>
            <w:r>
              <w:rPr>
                <w:b/>
                <w:color w:val="FFFFFF"/>
                <w:sz w:val="16"/>
              </w:rPr>
              <w:t>Functional response</w:t>
            </w:r>
          </w:p>
        </w:tc>
        <w:tc>
          <w:tcPr>
            <w:tcW w:type="dxa" w:w="3307"/>
            <w:shd w:fill="1E5547"/>
            <w:tcMar>
              <w:top w:w="115" w:type="dxa"/>
              <w:start w:w="95" w:type="dxa"/>
              <w:bottom w:w="115" w:type="dxa"/>
              <w:end w:w="95" w:type="dxa"/>
            </w:tcMar>
            <w:vAlign w:val="center"/>
          </w:tcPr>
          <w:p>
            <w:pPr>
              <w:keepNext/>
              <w:spacing w:after="0" w:line="259" w:lineRule="auto"/>
            </w:pPr>
            <w:r>
              <w:rPr>
                <w:b/>
                <w:color w:val="FFFFFF"/>
                <w:sz w:val="16"/>
              </w:rPr>
              <w:t>Acceptance target</w:t>
            </w:r>
          </w:p>
        </w:tc>
      </w:tr>
      <w:tr>
        <w:trPr>
          <w:cantSplit/>
        </w:trPr>
        <w:tc>
          <w:tcPr>
            <w:tcW w:type="dxa" w:w="2154"/>
            <w:tcMar>
              <w:top w:w="88" w:type="dxa"/>
              <w:start w:w="88" w:type="dxa"/>
              <w:bottom w:w="88" w:type="dxa"/>
              <w:end w:w="88" w:type="dxa"/>
            </w:tcMar>
            <w:vAlign w:val="center"/>
            <w:shd w:fill="F6F8F5"/>
          </w:tcPr>
          <w:p>
            <w:pPr>
              <w:spacing w:line="254" w:lineRule="auto" w:after="0"/>
            </w:pPr>
            <w:r>
              <w:rPr>
                <w:color w:val="193C35"/>
                <w:sz w:val="16"/>
              </w:rPr>
              <w:t>Overcrowding or unused capacity</w:t>
            </w:r>
          </w:p>
        </w:tc>
        <w:tc>
          <w:tcPr>
            <w:tcW w:type="dxa" w:w="3912"/>
            <w:tcMar>
              <w:top w:w="88" w:type="dxa"/>
              <w:start w:w="88" w:type="dxa"/>
              <w:bottom w:w="88" w:type="dxa"/>
              <w:end w:w="88" w:type="dxa"/>
            </w:tcMar>
            <w:vAlign w:val="center"/>
            <w:shd w:fill="F6F8F5"/>
          </w:tcPr>
          <w:p>
            <w:pPr>
              <w:spacing w:line="254" w:lineRule="auto" w:after="0"/>
            </w:pPr>
            <w:r>
              <w:rPr>
                <w:color w:val="193C35"/>
                <w:sz w:val="16"/>
              </w:rPr>
              <w:t>Event time slots, total capacity, public and leader quota pools, waitlist and cancellation.</w:t>
            </w:r>
          </w:p>
        </w:tc>
        <w:tc>
          <w:tcPr>
            <w:tcW w:type="dxa" w:w="3685"/>
            <w:tcMar>
              <w:top w:w="88" w:type="dxa"/>
              <w:start w:w="88" w:type="dxa"/>
              <w:bottom w:w="88" w:type="dxa"/>
              <w:end w:w="88" w:type="dxa"/>
            </w:tcMar>
            <w:vAlign w:val="center"/>
            <w:shd w:fill="F6F8F5"/>
          </w:tcPr>
          <w:p>
            <w:pPr>
              <w:spacing w:line="254" w:lineRule="auto" w:after="0"/>
            </w:pPr>
            <w:r>
              <w:rPr>
                <w:color w:val="193C35"/>
                <w:sz w:val="16"/>
              </w:rPr>
              <w:t>For each slot, server-confirmed bookings never exceed capacity; cancellation does not free more than one place.</w:t>
            </w:r>
          </w:p>
        </w:tc>
      </w:tr>
      <w:tr>
        <w:trPr>
          <w:cantSplit/>
        </w:trPr>
        <w:tc>
          <w:tcPr>
            <w:tcW w:type="dxa" w:w="2154"/>
            <w:tcMar>
              <w:top w:w="88" w:type="dxa"/>
              <w:start w:w="88" w:type="dxa"/>
              <w:bottom w:w="88" w:type="dxa"/>
              <w:end w:w="88" w:type="dxa"/>
            </w:tcMar>
            <w:vAlign w:val="center"/>
          </w:tcPr>
          <w:p>
            <w:pPr>
              <w:spacing w:line="254" w:lineRule="auto" w:after="0"/>
            </w:pPr>
            <w:r>
              <w:rPr>
                <w:color w:val="193C35"/>
                <w:sz w:val="16"/>
              </w:rPr>
              <w:t>Unclear outreach results</w:t>
            </w:r>
          </w:p>
        </w:tc>
        <w:tc>
          <w:tcPr>
            <w:tcW w:type="dxa" w:w="3912"/>
            <w:tcMar>
              <w:top w:w="88" w:type="dxa"/>
              <w:start w:w="88" w:type="dxa"/>
              <w:bottom w:w="88" w:type="dxa"/>
              <w:end w:w="88" w:type="dxa"/>
            </w:tcMar>
            <w:vAlign w:val="center"/>
          </w:tcPr>
          <w:p>
            <w:pPr>
              <w:spacing w:line="254" w:lineRule="auto" w:after="0"/>
            </w:pPr>
            <w:r>
              <w:rPr>
                <w:color w:val="193C35"/>
                <w:sz w:val="16"/>
              </w:rPr>
              <w:t>Unique leader referral attribution, printed flyer reporting and an operations dashboard.</w:t>
            </w:r>
          </w:p>
        </w:tc>
        <w:tc>
          <w:tcPr>
            <w:tcW w:type="dxa" w:w="3685"/>
            <w:tcMar>
              <w:top w:w="88" w:type="dxa"/>
              <w:start w:w="88" w:type="dxa"/>
              <w:bottom w:w="88" w:type="dxa"/>
              <w:end w:w="88" w:type="dxa"/>
            </w:tcMar>
            <w:vAlign w:val="center"/>
          </w:tcPr>
          <w:p>
            <w:pPr>
              <w:spacing w:line="254" w:lineRule="auto" w:after="0"/>
            </w:pPr>
            <w:r>
              <w:rPr>
                <w:color w:val="193C35"/>
                <w:sz w:val="16"/>
              </w:rPr>
              <w:t>Display self-reported activity separately from link clicks, registrations and actual attendance.</w:t>
            </w:r>
          </w:p>
        </w:tc>
      </w:tr>
      <w:tr>
        <w:trPr>
          <w:cantSplit/>
        </w:trPr>
        <w:tc>
          <w:tcPr>
            <w:tcW w:type="dxa" w:w="2154"/>
            <w:tcMar>
              <w:top w:w="88" w:type="dxa"/>
              <w:start w:w="88" w:type="dxa"/>
              <w:bottom w:w="88" w:type="dxa"/>
              <w:end w:w="88" w:type="dxa"/>
            </w:tcMar>
            <w:vAlign w:val="center"/>
            <w:shd w:fill="F6F8F5"/>
          </w:tcPr>
          <w:p>
            <w:pPr>
              <w:spacing w:line="254" w:lineRule="auto" w:after="0"/>
            </w:pPr>
            <w:r>
              <w:rPr>
                <w:color w:val="193C35"/>
                <w:sz w:val="16"/>
              </w:rPr>
              <w:t>Low digital confidence</w:t>
            </w:r>
          </w:p>
        </w:tc>
        <w:tc>
          <w:tcPr>
            <w:tcW w:type="dxa" w:w="3912"/>
            <w:tcMar>
              <w:top w:w="88" w:type="dxa"/>
              <w:start w:w="88" w:type="dxa"/>
              <w:bottom w:w="88" w:type="dxa"/>
              <w:end w:w="88" w:type="dxa"/>
            </w:tcMar>
            <w:vAlign w:val="center"/>
            <w:shd w:fill="F6F8F5"/>
          </w:tcPr>
          <w:p>
            <w:pPr>
              <w:spacing w:line="254" w:lineRule="auto" w:after="0"/>
            </w:pPr>
            <w:r>
              <w:rPr>
                <w:color w:val="193C35"/>
                <w:sz w:val="16"/>
              </w:rPr>
              <w:t>Mobile guest registration without a participant account; leader-assisted proxy registration.</w:t>
            </w:r>
          </w:p>
        </w:tc>
        <w:tc>
          <w:tcPr>
            <w:tcW w:type="dxa" w:w="3685"/>
            <w:tcMar>
              <w:top w:w="88" w:type="dxa"/>
              <w:start w:w="88" w:type="dxa"/>
              <w:bottom w:w="88" w:type="dxa"/>
              <w:end w:w="88" w:type="dxa"/>
            </w:tcMar>
            <w:vAlign w:val="center"/>
            <w:shd w:fill="F6F8F5"/>
          </w:tcPr>
          <w:p>
            <w:pPr>
              <w:spacing w:line="254" w:lineRule="auto" w:after="0"/>
            </w:pPr>
            <w:r>
              <w:rPr>
                <w:color w:val="193C35"/>
                <w:sz w:val="16"/>
              </w:rPr>
              <w:t>A new participant can request a place with the minimum approved fields and receive an accessible status.</w:t>
            </w:r>
          </w:p>
        </w:tc>
      </w:tr>
      <w:tr>
        <w:trPr>
          <w:cantSplit/>
        </w:trPr>
        <w:tc>
          <w:tcPr>
            <w:tcW w:type="dxa" w:w="2154"/>
            <w:tcMar>
              <w:top w:w="88" w:type="dxa"/>
              <w:start w:w="88" w:type="dxa"/>
              <w:bottom w:w="88" w:type="dxa"/>
              <w:end w:w="88" w:type="dxa"/>
            </w:tcMar>
            <w:vAlign w:val="center"/>
          </w:tcPr>
          <w:p>
            <w:pPr>
              <w:spacing w:line="254" w:lineRule="auto" w:after="0"/>
            </w:pPr>
            <w:r>
              <w:rPr>
                <w:color w:val="193C35"/>
                <w:sz w:val="16"/>
              </w:rPr>
              <w:t>Unstable internet at the venue</w:t>
            </w:r>
          </w:p>
        </w:tc>
        <w:tc>
          <w:tcPr>
            <w:tcW w:type="dxa" w:w="3912"/>
            <w:tcMar>
              <w:top w:w="88" w:type="dxa"/>
              <w:start w:w="88" w:type="dxa"/>
              <w:bottom w:w="88" w:type="dxa"/>
              <w:end w:w="88" w:type="dxa"/>
            </w:tcMar>
            <w:vAlign w:val="center"/>
          </w:tcPr>
          <w:p>
            <w:pPr>
              <w:spacing w:line="254" w:lineRule="auto" w:after="0"/>
            </w:pPr>
            <w:r>
              <w:rPr>
                <w:color w:val="193C35"/>
                <w:sz w:val="16"/>
              </w:rPr>
              <w:t>Offline-safe check-in queue with pending, synced, failed and conflict states.</w:t>
            </w:r>
          </w:p>
        </w:tc>
        <w:tc>
          <w:tcPr>
            <w:tcW w:type="dxa" w:w="3685"/>
            <w:tcMar>
              <w:top w:w="88" w:type="dxa"/>
              <w:start w:w="88" w:type="dxa"/>
              <w:bottom w:w="88" w:type="dxa"/>
              <w:end w:w="88" w:type="dxa"/>
            </w:tcMar>
            <w:vAlign w:val="center"/>
          </w:tcPr>
          <w:p>
            <w:pPr>
              <w:spacing w:line="254" w:lineRule="auto" w:after="0"/>
            </w:pPr>
            <w:r>
              <w:rPr>
                <w:color w:val="193C35"/>
                <w:sz w:val="16"/>
              </w:rPr>
              <w:t>Staff can retain approved pending records safely and reconcile once online; no false success display.</w:t>
            </w:r>
          </w:p>
        </w:tc>
      </w:tr>
      <w:tr>
        <w:trPr>
          <w:cantSplit/>
        </w:trPr>
        <w:tc>
          <w:tcPr>
            <w:tcW w:type="dxa" w:w="2154"/>
            <w:tcMar>
              <w:top w:w="88" w:type="dxa"/>
              <w:start w:w="88" w:type="dxa"/>
              <w:bottom w:w="88" w:type="dxa"/>
              <w:end w:w="88" w:type="dxa"/>
            </w:tcMar>
            <w:vAlign w:val="center"/>
            <w:shd w:fill="F6F8F5"/>
          </w:tcPr>
          <w:p>
            <w:pPr>
              <w:spacing w:line="254" w:lineRule="auto" w:after="0"/>
            </w:pPr>
            <w:r>
              <w:rPr>
                <w:color w:val="193C35"/>
                <w:sz w:val="16"/>
              </w:rPr>
              <w:t>Participant privacy and field permissions</w:t>
            </w:r>
          </w:p>
        </w:tc>
        <w:tc>
          <w:tcPr>
            <w:tcW w:type="dxa" w:w="3912"/>
            <w:tcMar>
              <w:top w:w="88" w:type="dxa"/>
              <w:start w:w="88" w:type="dxa"/>
              <w:bottom w:w="88" w:type="dxa"/>
              <w:end w:w="88" w:type="dxa"/>
            </w:tcMar>
            <w:vAlign w:val="center"/>
            <w:shd w:fill="F6F8F5"/>
          </w:tcPr>
          <w:p>
            <w:pPr>
              <w:spacing w:line="254" w:lineRule="auto" w:after="0"/>
            </w:pPr>
            <w:r>
              <w:rPr>
                <w:color w:val="193C35"/>
                <w:sz w:val="16"/>
              </w:rPr>
              <w:t>Restricted staff access, verified self-service capabilities and data minimisation.</w:t>
            </w:r>
          </w:p>
        </w:tc>
        <w:tc>
          <w:tcPr>
            <w:tcW w:type="dxa" w:w="3685"/>
            <w:tcMar>
              <w:top w:w="88" w:type="dxa"/>
              <w:start w:w="88" w:type="dxa"/>
              <w:bottom w:w="88" w:type="dxa"/>
              <w:end w:w="88" w:type="dxa"/>
            </w:tcMar>
            <w:vAlign w:val="center"/>
            <w:shd w:fill="F6F8F5"/>
          </w:tcPr>
          <w:p>
            <w:pPr>
              <w:spacing w:line="254" w:lineRule="auto" w:after="0"/>
            </w:pPr>
            <w:r>
              <w:rPr>
                <w:color w:val="193C35"/>
                <w:sz w:val="16"/>
              </w:rPr>
              <w:t>A public visitor cannot obtain another participant's private record or perform staff actions.</w:t>
            </w:r>
          </w:p>
        </w:tc>
      </w:tr>
    </w:tbl>
    <w:p>
      <w:pPr>
        <w:pStyle w:val="Heading1"/>
        <w:keepNext/>
        <w:pageBreakBefore/>
      </w:pPr>
      <w:r>
        <w:t>3. Proposed user journey</w:t>
      </w:r>
    </w:p>
    <w:p>
      <w:pPr>
        <w:keepNext/>
        <w:keepLines/>
        <w:jc w:val="center"/>
      </w:pPr>
      <w:r>
        <w:drawing>
          <wp:inline xmlns:a="http://schemas.openxmlformats.org/drawingml/2006/main" xmlns:pic="http://schemas.openxmlformats.org/drawingml/2006/picture">
            <wp:extent cx="6120000" cy="1092387"/>
            <wp:docPr id="1" name="Picture 1" descr="Proposed ROSE developer workflow diagram; not proof of implemented backend behavior."/>
            <wp:cNvGraphicFramePr>
              <a:graphicFrameLocks noChangeAspect="1"/>
            </wp:cNvGraphicFramePr>
            <a:graphic>
              <a:graphicData uri="http://schemas.openxmlformats.org/drawingml/2006/picture">
                <pic:pic>
                  <pic:nvPicPr>
                    <pic:cNvPr id="0" name="end-to-end_event_journey.png"/>
                    <pic:cNvPicPr/>
                  </pic:nvPicPr>
                  <pic:blipFill>
                    <a:blip r:embed="rId11"/>
                    <a:stretch>
                      <a:fillRect/>
                    </a:stretch>
                  </pic:blipFill>
                  <pic:spPr>
                    <a:xfrm>
                      <a:off x="0" y="0"/>
                      <a:ext cx="6120000" cy="1092387"/>
                    </a:xfrm>
                    <a:prstGeom prst="rect"/>
                  </pic:spPr>
                </pic:pic>
              </a:graphicData>
            </a:graphic>
          </wp:inline>
        </w:drawing>
      </w:r>
    </w:p>
    <w:p>
      <w:pPr>
        <w:pStyle w:val="FigureCaption"/>
        <w:keepLines/>
      </w:pPr>
      <w:r>
        <w:t>Figure 1. Proposed ROSE service journey. Server validation and offline reconciliation remain integration work.</w:t>
      </w:r>
    </w:p>
    <w:p>
      <w:r>
        <w:t>The system supports four roles: (1) ROSE Coordinator, (2) Community Leader, (3) Participant, and (4) Field Staff. Each role performs a small set of actions instead of navigating a general-purpose ticketing system. The participant and proxy flows converge on the same authoritative registration service.</w:t>
      </w:r>
    </w:p>
    <w:p>
      <w:pPr>
        <w:pStyle w:val="Heading1"/>
        <w:keepNext/>
      </w:pPr>
      <w:r>
        <w:t>4. Functional scope mapped to ten user stories</w:t>
      </w:r>
    </w:p>
    <w:tbl>
      <w:tblPr>
        <w:tblW w:type="auto" w:w="0"/>
        <w:jc w:val="center"/>
        <w:tblLayout w:type="fixed"/>
        <w:tblLook w:firstColumn="1" w:firstRow="1" w:lastColumn="0" w:lastRow="0" w:noHBand="0" w:noVBand="1" w:val="04A0"/>
      </w:tblPr>
      <w:tblGrid>
        <w:gridCol w:w="737"/>
        <w:gridCol w:w="4082"/>
        <w:gridCol w:w="4932"/>
      </w:tblGrid>
      <w:tr>
        <w:trPr>
          <w:tblHeader w:val="true"/>
          <w:cantSplit/>
        </w:trPr>
        <w:tc>
          <w:tcPr>
            <w:tcW w:type="dxa" w:w="3307"/>
            <w:shd w:fill="1E5547"/>
            <w:tcMar>
              <w:top w:w="115" w:type="dxa"/>
              <w:start w:w="95" w:type="dxa"/>
              <w:bottom w:w="115" w:type="dxa"/>
              <w:end w:w="95" w:type="dxa"/>
            </w:tcMar>
            <w:vAlign w:val="center"/>
          </w:tcPr>
          <w:p>
            <w:pPr>
              <w:keepNext/>
              <w:spacing w:after="0" w:line="259" w:lineRule="auto"/>
            </w:pPr>
            <w:r>
              <w:rPr>
                <w:b/>
                <w:color w:val="FFFFFF"/>
                <w:sz w:val="16"/>
              </w:rPr>
              <w:t>Story</w:t>
            </w:r>
          </w:p>
        </w:tc>
        <w:tc>
          <w:tcPr>
            <w:tcW w:type="dxa" w:w="3307"/>
            <w:shd w:fill="1E5547"/>
            <w:tcMar>
              <w:top w:w="115" w:type="dxa"/>
              <w:start w:w="95" w:type="dxa"/>
              <w:bottom w:w="115" w:type="dxa"/>
              <w:end w:w="95" w:type="dxa"/>
            </w:tcMar>
            <w:vAlign w:val="center"/>
          </w:tcPr>
          <w:p>
            <w:pPr>
              <w:keepNext/>
              <w:spacing w:after="0" w:line="259" w:lineRule="auto"/>
            </w:pPr>
            <w:r>
              <w:rPr>
                <w:b/>
                <w:color w:val="FFFFFF"/>
                <w:sz w:val="16"/>
              </w:rPr>
              <w:t>Role / intended capability</w:t>
            </w:r>
          </w:p>
        </w:tc>
        <w:tc>
          <w:tcPr>
            <w:tcW w:type="dxa" w:w="3307"/>
            <w:shd w:fill="1E5547"/>
            <w:tcMar>
              <w:top w:w="115" w:type="dxa"/>
              <w:start w:w="95" w:type="dxa"/>
              <w:bottom w:w="115" w:type="dxa"/>
              <w:end w:w="95" w:type="dxa"/>
            </w:tcMar>
            <w:vAlign w:val="center"/>
          </w:tcPr>
          <w:p>
            <w:pPr>
              <w:keepNext/>
              <w:spacing w:after="0" w:line="259" w:lineRule="auto"/>
            </w:pPr>
            <w:r>
              <w:rPr>
                <w:b/>
                <w:color w:val="FFFFFF"/>
                <w:sz w:val="16"/>
              </w:rPr>
              <w:t>Current evidence (12 Oct 2026)</w:t>
            </w:r>
          </w:p>
        </w:tc>
      </w:tr>
      <w:tr>
        <w:trPr>
          <w:cantSplit/>
        </w:trPr>
        <w:tc>
          <w:tcPr>
            <w:tcW w:type="dxa" w:w="737"/>
            <w:tcMar>
              <w:top w:w="88" w:type="dxa"/>
              <w:start w:w="88" w:type="dxa"/>
              <w:bottom w:w="88" w:type="dxa"/>
              <w:end w:w="88" w:type="dxa"/>
            </w:tcMar>
            <w:vAlign w:val="center"/>
            <w:shd w:fill="F6F8F5"/>
          </w:tcPr>
          <w:p>
            <w:pPr>
              <w:spacing w:line="254" w:lineRule="auto" w:after="0"/>
            </w:pPr>
            <w:r>
              <w:rPr>
                <w:color w:val="193C35"/>
                <w:sz w:val="16"/>
              </w:rPr>
              <w:t>US01</w:t>
            </w:r>
          </w:p>
        </w:tc>
        <w:tc>
          <w:tcPr>
            <w:tcW w:type="dxa" w:w="4082"/>
            <w:tcMar>
              <w:top w:w="88" w:type="dxa"/>
              <w:start w:w="88" w:type="dxa"/>
              <w:bottom w:w="88" w:type="dxa"/>
              <w:end w:w="88" w:type="dxa"/>
            </w:tcMar>
            <w:vAlign w:val="center"/>
            <w:shd w:fill="F6F8F5"/>
          </w:tcPr>
          <w:p>
            <w:pPr>
              <w:spacing w:line="254" w:lineRule="auto" w:after="0"/>
            </w:pPr>
            <w:r>
              <w:rPr>
                <w:color w:val="193C35"/>
                <w:sz w:val="16"/>
              </w:rPr>
              <w:t>Coordinator creates events and time slots; enforces quota and waitlist.</w:t>
            </w:r>
          </w:p>
        </w:tc>
        <w:tc>
          <w:tcPr>
            <w:tcW w:type="dxa" w:w="4932"/>
            <w:tcMar>
              <w:top w:w="88" w:type="dxa"/>
              <w:start w:w="88" w:type="dxa"/>
              <w:bottom w:w="88" w:type="dxa"/>
              <w:end w:w="88" w:type="dxa"/>
            </w:tcMar>
            <w:vAlign w:val="center"/>
            <w:shd w:fill="F6F8F5"/>
          </w:tcPr>
          <w:p>
            <w:pPr>
              <w:spacing w:line="254" w:lineRule="auto" w:after="0"/>
            </w:pPr>
            <w:r>
              <w:rPr>
                <w:color w:val="193C35"/>
                <w:sz w:val="15"/>
              </w:rPr>
              <w:t>Partial local demo: one session and quota states; no verified backend transaction.</w:t>
            </w:r>
          </w:p>
        </w:tc>
      </w:tr>
      <w:tr>
        <w:trPr>
          <w:cantSplit/>
        </w:trPr>
        <w:tc>
          <w:tcPr>
            <w:tcW w:type="dxa" w:w="737"/>
            <w:tcMar>
              <w:top w:w="88" w:type="dxa"/>
              <w:start w:w="88" w:type="dxa"/>
              <w:bottom w:w="88" w:type="dxa"/>
              <w:end w:w="88" w:type="dxa"/>
            </w:tcMar>
            <w:vAlign w:val="center"/>
          </w:tcPr>
          <w:p>
            <w:pPr>
              <w:spacing w:line="254" w:lineRule="auto" w:after="0"/>
            </w:pPr>
            <w:r>
              <w:rPr>
                <w:color w:val="193C35"/>
                <w:sz w:val="16"/>
              </w:rPr>
              <w:t>US02</w:t>
            </w:r>
          </w:p>
        </w:tc>
        <w:tc>
          <w:tcPr>
            <w:tcW w:type="dxa" w:w="4082"/>
            <w:tcMar>
              <w:top w:w="88" w:type="dxa"/>
              <w:start w:w="88" w:type="dxa"/>
              <w:bottom w:w="88" w:type="dxa"/>
              <w:end w:w="88" w:type="dxa"/>
            </w:tcMar>
            <w:vAlign w:val="center"/>
          </w:tcPr>
          <w:p>
            <w:pPr>
              <w:spacing w:line="254" w:lineRule="auto" w:after="0"/>
            </w:pPr>
            <w:r>
              <w:rPr>
                <w:color w:val="193C35"/>
                <w:sz w:val="16"/>
              </w:rPr>
              <w:t>Coordinator gives each leader a unique referral URL and QR code.</w:t>
            </w:r>
          </w:p>
        </w:tc>
        <w:tc>
          <w:tcPr>
            <w:tcW w:type="dxa" w:w="4932"/>
            <w:tcMar>
              <w:top w:w="88" w:type="dxa"/>
              <w:start w:w="88" w:type="dxa"/>
              <w:bottom w:w="88" w:type="dxa"/>
              <w:end w:w="88" w:type="dxa"/>
            </w:tcMar>
            <w:vAlign w:val="center"/>
          </w:tcPr>
          <w:p>
            <w:pPr>
              <w:spacing w:line="254" w:lineRule="auto" w:after="0"/>
            </w:pPr>
            <w:r>
              <w:rPr>
                <w:color w:val="193C35"/>
                <w:sz w:val="15"/>
              </w:rPr>
              <w:t>Not implemented; the current link is an example / demo value.</w:t>
            </w:r>
          </w:p>
        </w:tc>
      </w:tr>
      <w:tr>
        <w:trPr>
          <w:cantSplit/>
        </w:trPr>
        <w:tc>
          <w:tcPr>
            <w:tcW w:type="dxa" w:w="737"/>
            <w:tcMar>
              <w:top w:w="88" w:type="dxa"/>
              <w:start w:w="88" w:type="dxa"/>
              <w:bottom w:w="88" w:type="dxa"/>
              <w:end w:w="88" w:type="dxa"/>
            </w:tcMar>
            <w:vAlign w:val="center"/>
            <w:shd w:fill="F6F8F5"/>
          </w:tcPr>
          <w:p>
            <w:pPr>
              <w:spacing w:line="254" w:lineRule="auto" w:after="0"/>
            </w:pPr>
            <w:r>
              <w:rPr>
                <w:color w:val="193C35"/>
                <w:sz w:val="16"/>
              </w:rPr>
              <w:t>US03</w:t>
            </w:r>
          </w:p>
        </w:tc>
        <w:tc>
          <w:tcPr>
            <w:tcW w:type="dxa" w:w="4082"/>
            <w:tcMar>
              <w:top w:w="88" w:type="dxa"/>
              <w:start w:w="88" w:type="dxa"/>
              <w:bottom w:w="88" w:type="dxa"/>
              <w:end w:w="88" w:type="dxa"/>
            </w:tcMar>
            <w:vAlign w:val="center"/>
            <w:shd w:fill="F6F8F5"/>
          </w:tcPr>
          <w:p>
            <w:pPr>
              <w:spacing w:line="254" w:lineRule="auto" w:after="0"/>
            </w:pPr>
            <w:r>
              <w:rPr>
                <w:color w:val="193C35"/>
                <w:sz w:val="16"/>
              </w:rPr>
              <w:t>Coordinator reviews registrations, outreach and attendance.</w:t>
            </w:r>
          </w:p>
        </w:tc>
        <w:tc>
          <w:tcPr>
            <w:tcW w:type="dxa" w:w="4932"/>
            <w:tcMar>
              <w:top w:w="88" w:type="dxa"/>
              <w:start w:w="88" w:type="dxa"/>
              <w:bottom w:w="88" w:type="dxa"/>
              <w:end w:w="88" w:type="dxa"/>
            </w:tcMar>
            <w:vAlign w:val="center"/>
            <w:shd w:fill="F6F8F5"/>
          </w:tcPr>
          <w:p>
            <w:pPr>
              <w:spacing w:line="254" w:lineRule="auto" w:after="0"/>
            </w:pPr>
            <w:r>
              <w:rPr>
                <w:color w:val="193C35"/>
                <w:sz w:val="15"/>
              </w:rPr>
              <w:t>Partial aggregate mock; conversion attribution and live reporting absent.</w:t>
            </w:r>
          </w:p>
        </w:tc>
      </w:tr>
      <w:tr>
        <w:trPr>
          <w:cantSplit/>
        </w:trPr>
        <w:tc>
          <w:tcPr>
            <w:tcW w:type="dxa" w:w="737"/>
            <w:tcMar>
              <w:top w:w="88" w:type="dxa"/>
              <w:start w:w="88" w:type="dxa"/>
              <w:bottom w:w="88" w:type="dxa"/>
              <w:end w:w="88" w:type="dxa"/>
            </w:tcMar>
            <w:vAlign w:val="center"/>
          </w:tcPr>
          <w:p>
            <w:pPr>
              <w:spacing w:line="254" w:lineRule="auto" w:after="0"/>
            </w:pPr>
            <w:r>
              <w:rPr>
                <w:color w:val="193C35"/>
                <w:sz w:val="16"/>
              </w:rPr>
              <w:t>US04</w:t>
            </w:r>
          </w:p>
        </w:tc>
        <w:tc>
          <w:tcPr>
            <w:tcW w:type="dxa" w:w="4082"/>
            <w:tcMar>
              <w:top w:w="88" w:type="dxa"/>
              <w:start w:w="88" w:type="dxa"/>
              <w:bottom w:w="88" w:type="dxa"/>
              <w:end w:w="88" w:type="dxa"/>
            </w:tcMar>
            <w:vAlign w:val="center"/>
          </w:tcPr>
          <w:p>
            <w:pPr>
              <w:spacing w:line="254" w:lineRule="auto" w:after="0"/>
            </w:pPr>
            <w:r>
              <w:rPr>
                <w:color w:val="193C35"/>
                <w:sz w:val="16"/>
              </w:rPr>
              <w:t>Leader shares accessible WhatsApp text and printable flyer.</w:t>
            </w:r>
          </w:p>
        </w:tc>
        <w:tc>
          <w:tcPr>
            <w:tcW w:type="dxa" w:w="4932"/>
            <w:tcMar>
              <w:top w:w="88" w:type="dxa"/>
              <w:start w:w="88" w:type="dxa"/>
              <w:bottom w:w="88" w:type="dxa"/>
              <w:end w:w="88" w:type="dxa"/>
            </w:tcMar>
            <w:vAlign w:val="center"/>
          </w:tcPr>
          <w:p>
            <w:pPr>
              <w:spacing w:line="254" w:lineRule="auto" w:after="0"/>
            </w:pPr>
            <w:r>
              <w:rPr>
                <w:color w:val="193C35"/>
                <w:sz w:val="15"/>
              </w:rPr>
              <w:t>Partial demo; usable message/print concept, no production referral QR.</w:t>
            </w:r>
          </w:p>
        </w:tc>
      </w:tr>
      <w:tr>
        <w:trPr>
          <w:cantSplit/>
        </w:trPr>
        <w:tc>
          <w:tcPr>
            <w:tcW w:type="dxa" w:w="737"/>
            <w:tcMar>
              <w:top w:w="88" w:type="dxa"/>
              <w:start w:w="88" w:type="dxa"/>
              <w:bottom w:w="88" w:type="dxa"/>
              <w:end w:w="88" w:type="dxa"/>
            </w:tcMar>
            <w:vAlign w:val="center"/>
            <w:shd w:fill="F6F8F5"/>
          </w:tcPr>
          <w:p>
            <w:pPr>
              <w:spacing w:line="254" w:lineRule="auto" w:after="0"/>
            </w:pPr>
            <w:r>
              <w:rPr>
                <w:color w:val="193C35"/>
                <w:sz w:val="16"/>
              </w:rPr>
              <w:t>US05</w:t>
            </w:r>
          </w:p>
        </w:tc>
        <w:tc>
          <w:tcPr>
            <w:tcW w:type="dxa" w:w="4082"/>
            <w:tcMar>
              <w:top w:w="88" w:type="dxa"/>
              <w:start w:w="88" w:type="dxa"/>
              <w:bottom w:w="88" w:type="dxa"/>
              <w:end w:w="88" w:type="dxa"/>
            </w:tcMar>
            <w:vAlign w:val="center"/>
            <w:shd w:fill="F6F8F5"/>
          </w:tcPr>
          <w:p>
            <w:pPr>
              <w:spacing w:line="254" w:lineRule="auto" w:after="0"/>
            </w:pPr>
            <w:r>
              <w:rPr>
                <w:color w:val="193C35"/>
                <w:sz w:val="16"/>
              </w:rPr>
              <w:t>Leader reports flyer distribution and offline promotional activity.</w:t>
            </w:r>
          </w:p>
        </w:tc>
        <w:tc>
          <w:tcPr>
            <w:tcW w:type="dxa" w:w="4932"/>
            <w:tcMar>
              <w:top w:w="88" w:type="dxa"/>
              <w:start w:w="88" w:type="dxa"/>
              <w:bottom w:w="88" w:type="dxa"/>
              <w:end w:w="88" w:type="dxa"/>
            </w:tcMar>
            <w:vAlign w:val="center"/>
            <w:shd w:fill="F6F8F5"/>
          </w:tcPr>
          <w:p>
            <w:pPr>
              <w:spacing w:line="254" w:lineRule="auto" w:after="0"/>
            </w:pPr>
            <w:r>
              <w:rPr>
                <w:color w:val="193C35"/>
                <w:sz w:val="15"/>
              </w:rPr>
              <w:t>Partial self-reported demo; server data model and role verification pending.</w:t>
            </w:r>
          </w:p>
        </w:tc>
      </w:tr>
      <w:tr>
        <w:trPr>
          <w:cantSplit/>
        </w:trPr>
        <w:tc>
          <w:tcPr>
            <w:tcW w:type="dxa" w:w="737"/>
            <w:tcMar>
              <w:top w:w="88" w:type="dxa"/>
              <w:start w:w="88" w:type="dxa"/>
              <w:bottom w:w="88" w:type="dxa"/>
              <w:end w:w="88" w:type="dxa"/>
            </w:tcMar>
            <w:vAlign w:val="center"/>
          </w:tcPr>
          <w:p>
            <w:pPr>
              <w:spacing w:line="254" w:lineRule="auto" w:after="0"/>
            </w:pPr>
            <w:r>
              <w:rPr>
                <w:color w:val="193C35"/>
                <w:sz w:val="16"/>
              </w:rPr>
              <w:t>US06</w:t>
            </w:r>
          </w:p>
        </w:tc>
        <w:tc>
          <w:tcPr>
            <w:tcW w:type="dxa" w:w="4082"/>
            <w:tcMar>
              <w:top w:w="88" w:type="dxa"/>
              <w:start w:w="88" w:type="dxa"/>
              <w:bottom w:w="88" w:type="dxa"/>
              <w:end w:w="88" w:type="dxa"/>
            </w:tcMar>
            <w:vAlign w:val="center"/>
          </w:tcPr>
          <w:p>
            <w:pPr>
              <w:spacing w:line="254" w:lineRule="auto" w:after="0"/>
            </w:pPr>
            <w:r>
              <w:rPr>
                <w:color w:val="193C35"/>
                <w:sz w:val="16"/>
              </w:rPr>
              <w:t>Leader registers participants from a reserved community quota.</w:t>
            </w:r>
          </w:p>
        </w:tc>
        <w:tc>
          <w:tcPr>
            <w:tcW w:type="dxa" w:w="4932"/>
            <w:tcMar>
              <w:top w:w="88" w:type="dxa"/>
              <w:start w:w="88" w:type="dxa"/>
              <w:bottom w:w="88" w:type="dxa"/>
              <w:end w:w="88" w:type="dxa"/>
            </w:tcMar>
            <w:vAlign w:val="center"/>
          </w:tcPr>
          <w:p>
            <w:pPr>
              <w:spacing w:line="254" w:lineRule="auto" w:after="0"/>
            </w:pPr>
            <w:r>
              <w:rPr>
                <w:color w:val="193C35"/>
                <w:sz w:val="15"/>
              </w:rPr>
              <w:t>Partial single-leader mock; authentication and multi-leader rules pending.</w:t>
            </w:r>
          </w:p>
        </w:tc>
      </w:tr>
      <w:tr>
        <w:trPr>
          <w:cantSplit/>
        </w:trPr>
        <w:tc>
          <w:tcPr>
            <w:tcW w:type="dxa" w:w="737"/>
            <w:tcMar>
              <w:top w:w="88" w:type="dxa"/>
              <w:start w:w="88" w:type="dxa"/>
              <w:bottom w:w="88" w:type="dxa"/>
              <w:end w:w="88" w:type="dxa"/>
            </w:tcMar>
            <w:vAlign w:val="center"/>
            <w:shd w:fill="F6F8F5"/>
          </w:tcPr>
          <w:p>
            <w:pPr>
              <w:spacing w:line="254" w:lineRule="auto" w:after="0"/>
            </w:pPr>
            <w:r>
              <w:rPr>
                <w:color w:val="193C35"/>
                <w:sz w:val="16"/>
              </w:rPr>
              <w:t>US07</w:t>
            </w:r>
          </w:p>
        </w:tc>
        <w:tc>
          <w:tcPr>
            <w:tcW w:type="dxa" w:w="4082"/>
            <w:tcMar>
              <w:top w:w="88" w:type="dxa"/>
              <w:start w:w="88" w:type="dxa"/>
              <w:bottom w:w="88" w:type="dxa"/>
              <w:end w:w="88" w:type="dxa"/>
            </w:tcMar>
            <w:vAlign w:val="center"/>
            <w:shd w:fill="F6F8F5"/>
          </w:tcPr>
          <w:p>
            <w:pPr>
              <w:spacing w:line="254" w:lineRule="auto" w:after="0"/>
            </w:pPr>
            <w:r>
              <w:rPr>
                <w:color w:val="193C35"/>
                <w:sz w:val="16"/>
              </w:rPr>
              <w:t>Participant requests a place without creating an account.</w:t>
            </w:r>
          </w:p>
        </w:tc>
        <w:tc>
          <w:tcPr>
            <w:tcW w:type="dxa" w:w="4932"/>
            <w:tcMar>
              <w:top w:w="88" w:type="dxa"/>
              <w:start w:w="88" w:type="dxa"/>
              <w:bottom w:w="88" w:type="dxa"/>
              <w:end w:w="88" w:type="dxa"/>
            </w:tcMar>
            <w:vAlign w:val="center"/>
            <w:shd w:fill="F6F8F5"/>
          </w:tcPr>
          <w:p>
            <w:pPr>
              <w:spacing w:line="254" w:lineRule="auto" w:after="0"/>
            </w:pPr>
            <w:r>
              <w:rPr>
                <w:color w:val="193C35"/>
                <w:sz w:val="15"/>
              </w:rPr>
              <w:t>Partial mobile demo with synthetic sample identities; real verification pending.</w:t>
            </w:r>
          </w:p>
        </w:tc>
      </w:tr>
      <w:tr>
        <w:trPr>
          <w:cantSplit/>
        </w:trPr>
        <w:tc>
          <w:tcPr>
            <w:tcW w:type="dxa" w:w="737"/>
            <w:tcMar>
              <w:top w:w="88" w:type="dxa"/>
              <w:start w:w="88" w:type="dxa"/>
              <w:bottom w:w="88" w:type="dxa"/>
              <w:end w:w="88" w:type="dxa"/>
            </w:tcMar>
            <w:vAlign w:val="center"/>
          </w:tcPr>
          <w:p>
            <w:pPr>
              <w:spacing w:line="254" w:lineRule="auto" w:after="0"/>
            </w:pPr>
            <w:r>
              <w:rPr>
                <w:color w:val="193C35"/>
                <w:sz w:val="16"/>
              </w:rPr>
              <w:t>US08</w:t>
            </w:r>
          </w:p>
        </w:tc>
        <w:tc>
          <w:tcPr>
            <w:tcW w:type="dxa" w:w="4082"/>
            <w:tcMar>
              <w:top w:w="88" w:type="dxa"/>
              <w:start w:w="88" w:type="dxa"/>
              <w:bottom w:w="88" w:type="dxa"/>
              <w:end w:w="88" w:type="dxa"/>
            </w:tcMar>
            <w:vAlign w:val="center"/>
          </w:tcPr>
          <w:p>
            <w:pPr>
              <w:spacing w:line="254" w:lineRule="auto" w:after="0"/>
            </w:pPr>
            <w:r>
              <w:rPr>
                <w:color w:val="193C35"/>
                <w:sz w:val="16"/>
              </w:rPr>
              <w:t>Participant receives SMS reminder and can cancel.</w:t>
            </w:r>
          </w:p>
        </w:tc>
        <w:tc>
          <w:tcPr>
            <w:tcW w:type="dxa" w:w="4932"/>
            <w:tcMar>
              <w:top w:w="88" w:type="dxa"/>
              <w:start w:w="88" w:type="dxa"/>
              <w:bottom w:w="88" w:type="dxa"/>
              <w:end w:w="88" w:type="dxa"/>
            </w:tcMar>
            <w:vAlign w:val="center"/>
          </w:tcPr>
          <w:p>
            <w:pPr>
              <w:spacing w:line="254" w:lineRule="auto" w:after="0"/>
            </w:pPr>
            <w:r>
              <w:rPr>
                <w:color w:val="193C35"/>
                <w:sz w:val="15"/>
              </w:rPr>
              <w:t>Cancellation demo; SMS provider, secure token and delivery audit absent.</w:t>
            </w:r>
          </w:p>
        </w:tc>
      </w:tr>
      <w:tr>
        <w:trPr>
          <w:cantSplit/>
        </w:trPr>
        <w:tc>
          <w:tcPr>
            <w:tcW w:type="dxa" w:w="737"/>
            <w:tcMar>
              <w:top w:w="88" w:type="dxa"/>
              <w:start w:w="88" w:type="dxa"/>
              <w:bottom w:w="88" w:type="dxa"/>
              <w:end w:w="88" w:type="dxa"/>
            </w:tcMar>
            <w:vAlign w:val="center"/>
            <w:shd w:fill="F6F8F5"/>
          </w:tcPr>
          <w:p>
            <w:pPr>
              <w:spacing w:line="254" w:lineRule="auto" w:after="0"/>
            </w:pPr>
            <w:r>
              <w:rPr>
                <w:color w:val="193C35"/>
                <w:sz w:val="16"/>
              </w:rPr>
              <w:t>US09</w:t>
            </w:r>
          </w:p>
        </w:tc>
        <w:tc>
          <w:tcPr>
            <w:tcW w:type="dxa" w:w="4082"/>
            <w:tcMar>
              <w:top w:w="88" w:type="dxa"/>
              <w:start w:w="88" w:type="dxa"/>
              <w:bottom w:w="88" w:type="dxa"/>
              <w:end w:w="88" w:type="dxa"/>
            </w:tcMar>
            <w:vAlign w:val="center"/>
            <w:shd w:fill="F6F8F5"/>
          </w:tcPr>
          <w:p>
            <w:pPr>
              <w:spacing w:line="254" w:lineRule="auto" w:after="0"/>
            </w:pPr>
            <w:r>
              <w:rPr>
                <w:color w:val="193C35"/>
                <w:sz w:val="16"/>
              </w:rPr>
              <w:t>Field Staff checks in participants under weak connectivity.</w:t>
            </w:r>
          </w:p>
        </w:tc>
        <w:tc>
          <w:tcPr>
            <w:tcW w:type="dxa" w:w="4932"/>
            <w:tcMar>
              <w:top w:w="88" w:type="dxa"/>
              <w:start w:w="88" w:type="dxa"/>
              <w:bottom w:w="88" w:type="dxa"/>
              <w:end w:w="88" w:type="dxa"/>
            </w:tcMar>
            <w:vAlign w:val="center"/>
            <w:shd w:fill="F6F8F5"/>
          </w:tcPr>
          <w:p>
            <w:pPr>
              <w:spacing w:line="254" w:lineRule="auto" w:after="0"/>
            </w:pPr>
            <w:r>
              <w:rPr>
                <w:color w:val="193C35"/>
                <w:sz w:val="15"/>
              </w:rPr>
              <w:t>Partial local queue and manual search; no QR, true offline PWA or server sync.</w:t>
            </w:r>
          </w:p>
        </w:tc>
      </w:tr>
      <w:tr>
        <w:trPr>
          <w:cantSplit/>
        </w:trPr>
        <w:tc>
          <w:tcPr>
            <w:tcW w:type="dxa" w:w="737"/>
            <w:tcMar>
              <w:top w:w="88" w:type="dxa"/>
              <w:start w:w="88" w:type="dxa"/>
              <w:bottom w:w="88" w:type="dxa"/>
              <w:end w:w="88" w:type="dxa"/>
            </w:tcMar>
            <w:vAlign w:val="center"/>
          </w:tcPr>
          <w:p>
            <w:pPr>
              <w:spacing w:line="254" w:lineRule="auto" w:after="0"/>
            </w:pPr>
            <w:r>
              <w:rPr>
                <w:color w:val="193C35"/>
                <w:sz w:val="16"/>
              </w:rPr>
              <w:t>US10</w:t>
            </w:r>
          </w:p>
        </w:tc>
        <w:tc>
          <w:tcPr>
            <w:tcW w:type="dxa" w:w="4082"/>
            <w:tcMar>
              <w:top w:w="88" w:type="dxa"/>
              <w:start w:w="88" w:type="dxa"/>
              <w:bottom w:w="88" w:type="dxa"/>
              <w:end w:w="88" w:type="dxa"/>
            </w:tcMar>
            <w:vAlign w:val="center"/>
          </w:tcPr>
          <w:p>
            <w:pPr>
              <w:spacing w:line="254" w:lineRule="auto" w:after="0"/>
            </w:pPr>
            <w:r>
              <w:rPr>
                <w:color w:val="193C35"/>
                <w:sz w:val="16"/>
              </w:rPr>
              <w:t>Field Staff manages no-shows and walk-ins safely.</w:t>
            </w:r>
          </w:p>
        </w:tc>
        <w:tc>
          <w:tcPr>
            <w:tcW w:type="dxa" w:w="4932"/>
            <w:tcMar>
              <w:top w:w="88" w:type="dxa"/>
              <w:start w:w="88" w:type="dxa"/>
              <w:bottom w:w="88" w:type="dxa"/>
              <w:end w:w="88" w:type="dxa"/>
            </w:tcMar>
            <w:vAlign w:val="center"/>
          </w:tcPr>
          <w:p>
            <w:pPr>
              <w:spacing w:line="254" w:lineRule="auto" w:after="0"/>
            </w:pPr>
            <w:r>
              <w:rPr>
                <w:color w:val="193C35"/>
                <w:sz w:val="15"/>
              </w:rPr>
              <w:t>Blocked pending approved expiry and release policy.</w:t>
            </w:r>
          </w:p>
        </w:tc>
      </w:tr>
    </w:tbl>
    <w:p>
      <w:pPr>
        <w:pStyle w:val="Heading1"/>
        <w:keepNext/>
        <w:pageBreakBefore/>
      </w:pPr>
      <w:r>
        <w:t>5. Story splitting: small development tasks</w:t>
      </w:r>
    </w:p>
    <w:p>
      <w:r>
        <w:t>Each user story is split into UI tasks, service/data tasks and observable acceptance tests. Proposed behaviors are not represented as completed production features.</w:t>
      </w:r>
    </w:p>
    <w:p>
      <w:pPr>
        <w:pStyle w:val="Heading2"/>
        <w:keepNext/>
      </w:pPr>
      <w:r>
        <w:t>5.1 Event control and outreach (US01 to US05)</w:t>
      </w:r>
    </w:p>
    <w:tbl>
      <w:tblPr>
        <w:tblW w:type="auto" w:w="0"/>
        <w:jc w:val="center"/>
        <w:tblLayout w:type="fixed"/>
        <w:tblLook w:firstColumn="1" w:firstRow="1" w:lastColumn="0" w:lastRow="0" w:noHBand="0" w:noVBand="1" w:val="04A0"/>
      </w:tblPr>
      <w:tblGrid>
        <w:gridCol w:w="709"/>
        <w:gridCol w:w="4620"/>
        <w:gridCol w:w="4422"/>
      </w:tblGrid>
      <w:tr>
        <w:trPr>
          <w:tblHeader w:val="true"/>
          <w:cantSplit/>
        </w:trPr>
        <w:tc>
          <w:tcPr>
            <w:tcW w:type="dxa" w:w="3307"/>
            <w:shd w:fill="1E5547"/>
            <w:tcMar>
              <w:top w:w="115" w:type="dxa"/>
              <w:start w:w="95" w:type="dxa"/>
              <w:bottom w:w="115" w:type="dxa"/>
              <w:end w:w="95" w:type="dxa"/>
            </w:tcMar>
            <w:vAlign w:val="center"/>
          </w:tcPr>
          <w:p>
            <w:pPr>
              <w:keepNext/>
              <w:spacing w:after="0" w:line="259" w:lineRule="auto"/>
            </w:pPr>
            <w:r>
              <w:rPr>
                <w:b/>
                <w:color w:val="FFFFFF"/>
                <w:sz w:val="16"/>
              </w:rPr>
              <w:t>Story</w:t>
            </w:r>
          </w:p>
        </w:tc>
        <w:tc>
          <w:tcPr>
            <w:tcW w:type="dxa" w:w="3307"/>
            <w:shd w:fill="1E5547"/>
            <w:tcMar>
              <w:top w:w="115" w:type="dxa"/>
              <w:start w:w="95" w:type="dxa"/>
              <w:bottom w:w="115" w:type="dxa"/>
              <w:end w:w="95" w:type="dxa"/>
            </w:tcMar>
            <w:vAlign w:val="center"/>
          </w:tcPr>
          <w:p>
            <w:pPr>
              <w:keepNext/>
              <w:spacing w:after="0" w:line="259" w:lineRule="auto"/>
            </w:pPr>
            <w:r>
              <w:rPr>
                <w:b/>
                <w:color w:val="FFFFFF"/>
                <w:sz w:val="16"/>
              </w:rPr>
              <w:t>Implementation slices</w:t>
            </w:r>
          </w:p>
        </w:tc>
        <w:tc>
          <w:tcPr>
            <w:tcW w:type="dxa" w:w="3307"/>
            <w:shd w:fill="1E5547"/>
            <w:tcMar>
              <w:top w:w="115" w:type="dxa"/>
              <w:start w:w="95" w:type="dxa"/>
              <w:bottom w:w="115" w:type="dxa"/>
              <w:end w:w="95" w:type="dxa"/>
            </w:tcMar>
            <w:vAlign w:val="center"/>
          </w:tcPr>
          <w:p>
            <w:pPr>
              <w:keepNext/>
              <w:spacing w:after="0" w:line="259" w:lineRule="auto"/>
            </w:pPr>
            <w:r>
              <w:rPr>
                <w:b/>
                <w:color w:val="FFFFFF"/>
                <w:sz w:val="16"/>
              </w:rPr>
              <w:t>Check before closure</w:t>
            </w:r>
          </w:p>
        </w:tc>
      </w:tr>
      <w:tr>
        <w:trPr>
          <w:cantSplit/>
        </w:trPr>
        <w:tc>
          <w:tcPr>
            <w:tcW w:type="dxa" w:w="709"/>
            <w:tcMar>
              <w:top w:w="88" w:type="dxa"/>
              <w:start w:w="88" w:type="dxa"/>
              <w:bottom w:w="88" w:type="dxa"/>
              <w:end w:w="88" w:type="dxa"/>
            </w:tcMar>
            <w:vAlign w:val="center"/>
            <w:shd w:fill="F6F8F5"/>
          </w:tcPr>
          <w:p>
            <w:pPr>
              <w:spacing w:line="254" w:lineRule="auto" w:after="0"/>
            </w:pPr>
            <w:r>
              <w:rPr>
                <w:color w:val="193C35"/>
                <w:sz w:val="16"/>
              </w:rPr>
              <w:t>US01</w:t>
            </w:r>
          </w:p>
        </w:tc>
        <w:tc>
          <w:tcPr>
            <w:tcW w:type="dxa" w:w="4620"/>
            <w:tcMar>
              <w:top w:w="88" w:type="dxa"/>
              <w:start w:w="88" w:type="dxa"/>
              <w:bottom w:w="88" w:type="dxa"/>
              <w:end w:w="88" w:type="dxa"/>
            </w:tcMar>
            <w:vAlign w:val="center"/>
            <w:shd w:fill="F6F8F5"/>
          </w:tcPr>
          <w:p>
            <w:pPr>
              <w:spacing w:line="254" w:lineRule="auto" w:after="0"/>
            </w:pPr>
            <w:r>
              <w:rPr>
                <w:color w:val="193C35"/>
                <w:sz w:val="16"/>
              </w:rPr>
              <w:t>1. Event create/edit view.</w:t>
              <w:br/>
              <w:t>2. Time-slot and quota data model.</w:t>
              <w:br/>
              <w:t>3. Waitlist transition rules.</w:t>
              <w:br/>
              <w:t>4. Transaction-safe capacity and cancellation tests.</w:t>
            </w:r>
          </w:p>
        </w:tc>
        <w:tc>
          <w:tcPr>
            <w:tcW w:type="dxa" w:w="4422"/>
            <w:tcMar>
              <w:top w:w="88" w:type="dxa"/>
              <w:start w:w="88" w:type="dxa"/>
              <w:bottom w:w="88" w:type="dxa"/>
              <w:end w:w="88" w:type="dxa"/>
            </w:tcMar>
            <w:vAlign w:val="center"/>
            <w:shd w:fill="F6F8F5"/>
          </w:tcPr>
          <w:p>
            <w:pPr>
              <w:spacing w:line="254" w:lineRule="auto" w:after="0"/>
            </w:pPr>
            <w:r>
              <w:rPr>
                <w:color w:val="193C35"/>
                <w:sz w:val="15"/>
              </w:rPr>
              <w:t>Server authority, approval of FIFO/pool policy, multi-user final-seat race.</w:t>
            </w:r>
          </w:p>
        </w:tc>
      </w:tr>
      <w:tr>
        <w:trPr>
          <w:cantSplit/>
        </w:trPr>
        <w:tc>
          <w:tcPr>
            <w:tcW w:type="dxa" w:w="709"/>
            <w:tcMar>
              <w:top w:w="88" w:type="dxa"/>
              <w:start w:w="88" w:type="dxa"/>
              <w:bottom w:w="88" w:type="dxa"/>
              <w:end w:w="88" w:type="dxa"/>
            </w:tcMar>
            <w:vAlign w:val="center"/>
          </w:tcPr>
          <w:p>
            <w:pPr>
              <w:spacing w:line="254" w:lineRule="auto" w:after="0"/>
            </w:pPr>
            <w:r>
              <w:rPr>
                <w:color w:val="193C35"/>
                <w:sz w:val="16"/>
              </w:rPr>
              <w:t>US02</w:t>
            </w:r>
          </w:p>
        </w:tc>
        <w:tc>
          <w:tcPr>
            <w:tcW w:type="dxa" w:w="4620"/>
            <w:tcMar>
              <w:top w:w="88" w:type="dxa"/>
              <w:start w:w="88" w:type="dxa"/>
              <w:bottom w:w="88" w:type="dxa"/>
              <w:end w:w="88" w:type="dxa"/>
            </w:tcMar>
            <w:vAlign w:val="center"/>
          </w:tcPr>
          <w:p>
            <w:pPr>
              <w:spacing w:line="254" w:lineRule="auto" w:after="0"/>
            </w:pPr>
            <w:r>
              <w:rPr>
                <w:color w:val="193C35"/>
                <w:sz w:val="16"/>
              </w:rPr>
              <w:t>1. Leader ID and referral schema.</w:t>
              <w:br/>
              <w:t>2. Signed/unguessable leader link and QR.</w:t>
              <w:br/>
              <w:t>3. Store attributed registrations.</w:t>
              <w:br/>
              <w:t>4. Prevent link spoofing in reports.</w:t>
            </w:r>
          </w:p>
        </w:tc>
        <w:tc>
          <w:tcPr>
            <w:tcW w:type="dxa" w:w="4422"/>
            <w:tcMar>
              <w:top w:w="88" w:type="dxa"/>
              <w:start w:w="88" w:type="dxa"/>
              <w:bottom w:w="88" w:type="dxa"/>
              <w:end w:w="88" w:type="dxa"/>
            </w:tcMar>
            <w:vAlign w:val="center"/>
          </w:tcPr>
          <w:p>
            <w:pPr>
              <w:spacing w:line="254" w:lineRule="auto" w:after="0"/>
            </w:pPr>
            <w:r>
              <w:rPr>
                <w:color w:val="193C35"/>
                <w:sz w:val="15"/>
              </w:rPr>
              <w:t>PM approval of metrics and referral attribution model.</w:t>
            </w:r>
          </w:p>
        </w:tc>
      </w:tr>
      <w:tr>
        <w:trPr>
          <w:cantSplit/>
        </w:trPr>
        <w:tc>
          <w:tcPr>
            <w:tcW w:type="dxa" w:w="709"/>
            <w:tcMar>
              <w:top w:w="88" w:type="dxa"/>
              <w:start w:w="88" w:type="dxa"/>
              <w:bottom w:w="88" w:type="dxa"/>
              <w:end w:w="88" w:type="dxa"/>
            </w:tcMar>
            <w:vAlign w:val="center"/>
            <w:shd w:fill="F6F8F5"/>
          </w:tcPr>
          <w:p>
            <w:pPr>
              <w:spacing w:line="254" w:lineRule="auto" w:after="0"/>
            </w:pPr>
            <w:r>
              <w:rPr>
                <w:color w:val="193C35"/>
                <w:sz w:val="16"/>
              </w:rPr>
              <w:t>US03</w:t>
            </w:r>
          </w:p>
        </w:tc>
        <w:tc>
          <w:tcPr>
            <w:tcW w:type="dxa" w:w="4620"/>
            <w:tcMar>
              <w:top w:w="88" w:type="dxa"/>
              <w:start w:w="88" w:type="dxa"/>
              <w:bottom w:w="88" w:type="dxa"/>
              <w:end w:w="88" w:type="dxa"/>
            </w:tcMar>
            <w:vAlign w:val="center"/>
            <w:shd w:fill="F6F8F5"/>
          </w:tcPr>
          <w:p>
            <w:pPr>
              <w:spacing w:line="254" w:lineRule="auto" w:after="0"/>
            </w:pPr>
            <w:r>
              <w:rPr>
                <w:color w:val="193C35"/>
                <w:sz w:val="16"/>
              </w:rPr>
              <w:t>1. Capacity/attendance counters.</w:t>
              <w:br/>
              <w:t>2. Register/cancel/check-in updates.</w:t>
              <w:br/>
              <w:t>3. Outreach activity and conversion definitions.</w:t>
              <w:br/>
              <w:t>4. Filter and permission checks.</w:t>
            </w:r>
          </w:p>
        </w:tc>
        <w:tc>
          <w:tcPr>
            <w:tcW w:type="dxa" w:w="4422"/>
            <w:tcMar>
              <w:top w:w="88" w:type="dxa"/>
              <w:start w:w="88" w:type="dxa"/>
              <w:bottom w:w="88" w:type="dxa"/>
              <w:end w:w="88" w:type="dxa"/>
            </w:tcMar>
            <w:vAlign w:val="center"/>
            <w:shd w:fill="F6F8F5"/>
          </w:tcPr>
          <w:p>
            <w:pPr>
              <w:spacing w:line="254" w:lineRule="auto" w:after="0"/>
            </w:pPr>
            <w:r>
              <w:rPr>
                <w:color w:val="193C35"/>
                <w:sz w:val="15"/>
              </w:rPr>
              <w:t>Numbers trace to server records; flyer counts must not be labelled confirmed reach.</w:t>
            </w:r>
          </w:p>
        </w:tc>
      </w:tr>
      <w:tr>
        <w:trPr>
          <w:cantSplit/>
        </w:trPr>
        <w:tc>
          <w:tcPr>
            <w:tcW w:type="dxa" w:w="709"/>
            <w:tcMar>
              <w:top w:w="88" w:type="dxa"/>
              <w:start w:w="88" w:type="dxa"/>
              <w:bottom w:w="88" w:type="dxa"/>
              <w:end w:w="88" w:type="dxa"/>
            </w:tcMar>
            <w:vAlign w:val="center"/>
          </w:tcPr>
          <w:p>
            <w:pPr>
              <w:spacing w:line="254" w:lineRule="auto" w:after="0"/>
            </w:pPr>
            <w:r>
              <w:rPr>
                <w:color w:val="193C35"/>
                <w:sz w:val="16"/>
              </w:rPr>
              <w:t>US04</w:t>
            </w:r>
          </w:p>
        </w:tc>
        <w:tc>
          <w:tcPr>
            <w:tcW w:type="dxa" w:w="4620"/>
            <w:tcMar>
              <w:top w:w="88" w:type="dxa"/>
              <w:start w:w="88" w:type="dxa"/>
              <w:bottom w:w="88" w:type="dxa"/>
              <w:end w:w="88" w:type="dxa"/>
            </w:tcMar>
            <w:vAlign w:val="center"/>
          </w:tcPr>
          <w:p>
            <w:pPr>
              <w:spacing w:line="254" w:lineRule="auto" w:after="0"/>
            </w:pPr>
            <w:r>
              <w:rPr>
                <w:color w:val="193C35"/>
                <w:sz w:val="16"/>
              </w:rPr>
              <w:t>1. Plain-language message template.</w:t>
              <w:br/>
              <w:t>2. Insert event/date/leader link.</w:t>
              <w:br/>
              <w:t>3. Copy and print/export.</w:t>
              <w:br/>
              <w:t>4. Test low-end mobile layout.</w:t>
            </w:r>
          </w:p>
        </w:tc>
        <w:tc>
          <w:tcPr>
            <w:tcW w:type="dxa" w:w="4422"/>
            <w:tcMar>
              <w:top w:w="88" w:type="dxa"/>
              <w:start w:w="88" w:type="dxa"/>
              <w:bottom w:w="88" w:type="dxa"/>
              <w:end w:w="88" w:type="dxa"/>
            </w:tcMar>
            <w:vAlign w:val="center"/>
          </w:tcPr>
          <w:p>
            <w:pPr>
              <w:spacing w:line="254" w:lineRule="auto" w:after="0"/>
            </w:pPr>
            <w:r>
              <w:rPr>
                <w:color w:val="193C35"/>
                <w:sz w:val="15"/>
              </w:rPr>
              <w:t>Accessible sharing and valid per-leader referral URL.</w:t>
            </w:r>
          </w:p>
        </w:tc>
      </w:tr>
      <w:tr>
        <w:trPr>
          <w:cantSplit/>
        </w:trPr>
        <w:tc>
          <w:tcPr>
            <w:tcW w:type="dxa" w:w="709"/>
            <w:tcMar>
              <w:top w:w="88" w:type="dxa"/>
              <w:start w:w="88" w:type="dxa"/>
              <w:bottom w:w="88" w:type="dxa"/>
              <w:end w:w="88" w:type="dxa"/>
            </w:tcMar>
            <w:vAlign w:val="center"/>
            <w:shd w:fill="F6F8F5"/>
          </w:tcPr>
          <w:p>
            <w:pPr>
              <w:spacing w:line="254" w:lineRule="auto" w:after="0"/>
            </w:pPr>
            <w:r>
              <w:rPr>
                <w:color w:val="193C35"/>
                <w:sz w:val="16"/>
              </w:rPr>
              <w:t>US05</w:t>
            </w:r>
          </w:p>
        </w:tc>
        <w:tc>
          <w:tcPr>
            <w:tcW w:type="dxa" w:w="4620"/>
            <w:tcMar>
              <w:top w:w="88" w:type="dxa"/>
              <w:start w:w="88" w:type="dxa"/>
              <w:bottom w:w="88" w:type="dxa"/>
              <w:end w:w="88" w:type="dxa"/>
            </w:tcMar>
            <w:vAlign w:val="center"/>
            <w:shd w:fill="F6F8F5"/>
          </w:tcPr>
          <w:p>
            <w:pPr>
              <w:spacing w:line="254" w:lineRule="auto" w:after="0"/>
            </w:pPr>
            <w:r>
              <w:rPr>
                <w:color w:val="193C35"/>
                <w:sz w:val="16"/>
              </w:rPr>
              <w:t>1. Short outreach form.</w:t>
              <w:br/>
              <w:t>2. Source/channel/date metadata.</w:t>
              <w:br/>
              <w:t>3. Save report with operation ID.</w:t>
              <w:br/>
              <w:t>4. Display self-reported figures.</w:t>
            </w:r>
          </w:p>
        </w:tc>
        <w:tc>
          <w:tcPr>
            <w:tcW w:type="dxa" w:w="4422"/>
            <w:tcMar>
              <w:top w:w="88" w:type="dxa"/>
              <w:start w:w="88" w:type="dxa"/>
              <w:bottom w:w="88" w:type="dxa"/>
              <w:end w:w="88" w:type="dxa"/>
            </w:tcMar>
            <w:vAlign w:val="center"/>
            <w:shd w:fill="F6F8F5"/>
          </w:tcPr>
          <w:p>
            <w:pPr>
              <w:spacing w:line="254" w:lineRule="auto" w:after="0"/>
            </w:pPr>
            <w:r>
              <w:rPr>
                <w:color w:val="193C35"/>
                <w:sz w:val="15"/>
              </w:rPr>
              <w:t>Approved schema, permissions and duplicate submit handling.</w:t>
            </w:r>
          </w:p>
        </w:tc>
      </w:tr>
    </w:tbl>
    <w:p>
      <w:pPr>
        <w:spacing w:after="0"/>
      </w:pPr>
    </w:p>
    <w:p>
      <w:pPr>
        <w:pStyle w:val="Heading2"/>
        <w:keepNext/>
      </w:pPr>
      <w:r>
        <w:t>5.2 Registration, attendance and messaging (US06 to US10)</w:t>
      </w:r>
    </w:p>
    <w:tbl>
      <w:tblPr>
        <w:tblW w:type="auto" w:w="0"/>
        <w:jc w:val="center"/>
        <w:tblLayout w:type="fixed"/>
        <w:tblLook w:firstColumn="1" w:firstRow="1" w:lastColumn="0" w:lastRow="0" w:noHBand="0" w:noVBand="1" w:val="04A0"/>
      </w:tblPr>
      <w:tblGrid>
        <w:gridCol w:w="709"/>
        <w:gridCol w:w="4620"/>
        <w:gridCol w:w="4422"/>
      </w:tblGrid>
      <w:tr>
        <w:trPr>
          <w:tblHeader w:val="true"/>
          <w:cantSplit/>
        </w:trPr>
        <w:tc>
          <w:tcPr>
            <w:tcW w:type="dxa" w:w="3307"/>
            <w:shd w:fill="1E5547"/>
            <w:tcMar>
              <w:top w:w="115" w:type="dxa"/>
              <w:start w:w="95" w:type="dxa"/>
              <w:bottom w:w="115" w:type="dxa"/>
              <w:end w:w="95" w:type="dxa"/>
            </w:tcMar>
            <w:vAlign w:val="center"/>
          </w:tcPr>
          <w:p>
            <w:pPr>
              <w:keepNext/>
              <w:spacing w:after="0" w:line="259" w:lineRule="auto"/>
            </w:pPr>
            <w:r>
              <w:rPr>
                <w:b/>
                <w:color w:val="FFFFFF"/>
                <w:sz w:val="16"/>
              </w:rPr>
              <w:t>Story</w:t>
            </w:r>
          </w:p>
        </w:tc>
        <w:tc>
          <w:tcPr>
            <w:tcW w:type="dxa" w:w="3307"/>
            <w:shd w:fill="1E5547"/>
            <w:tcMar>
              <w:top w:w="115" w:type="dxa"/>
              <w:start w:w="95" w:type="dxa"/>
              <w:bottom w:w="115" w:type="dxa"/>
              <w:end w:w="95" w:type="dxa"/>
            </w:tcMar>
            <w:vAlign w:val="center"/>
          </w:tcPr>
          <w:p>
            <w:pPr>
              <w:keepNext/>
              <w:spacing w:after="0" w:line="259" w:lineRule="auto"/>
            </w:pPr>
            <w:r>
              <w:rPr>
                <w:b/>
                <w:color w:val="FFFFFF"/>
                <w:sz w:val="16"/>
              </w:rPr>
              <w:t>Implementation slices</w:t>
            </w:r>
          </w:p>
        </w:tc>
        <w:tc>
          <w:tcPr>
            <w:tcW w:type="dxa" w:w="3307"/>
            <w:shd w:fill="1E5547"/>
            <w:tcMar>
              <w:top w:w="115" w:type="dxa"/>
              <w:start w:w="95" w:type="dxa"/>
              <w:bottom w:w="115" w:type="dxa"/>
              <w:end w:w="95" w:type="dxa"/>
            </w:tcMar>
            <w:vAlign w:val="center"/>
          </w:tcPr>
          <w:p>
            <w:pPr>
              <w:keepNext/>
              <w:spacing w:after="0" w:line="259" w:lineRule="auto"/>
            </w:pPr>
            <w:r>
              <w:rPr>
                <w:b/>
                <w:color w:val="FFFFFF"/>
                <w:sz w:val="16"/>
              </w:rPr>
              <w:t>Check before closure</w:t>
            </w:r>
          </w:p>
        </w:tc>
      </w:tr>
      <w:tr>
        <w:trPr>
          <w:cantSplit/>
        </w:trPr>
        <w:tc>
          <w:tcPr>
            <w:tcW w:type="dxa" w:w="709"/>
            <w:tcMar>
              <w:top w:w="88" w:type="dxa"/>
              <w:start w:w="88" w:type="dxa"/>
              <w:bottom w:w="88" w:type="dxa"/>
              <w:end w:w="88" w:type="dxa"/>
            </w:tcMar>
            <w:vAlign w:val="center"/>
            <w:shd w:fill="F6F8F5"/>
          </w:tcPr>
          <w:p>
            <w:pPr>
              <w:spacing w:line="254" w:lineRule="auto" w:after="0"/>
            </w:pPr>
            <w:r>
              <w:rPr>
                <w:color w:val="193C35"/>
                <w:sz w:val="16"/>
              </w:rPr>
              <w:t>US06</w:t>
            </w:r>
          </w:p>
        </w:tc>
        <w:tc>
          <w:tcPr>
            <w:tcW w:type="dxa" w:w="4620"/>
            <w:tcMar>
              <w:top w:w="88" w:type="dxa"/>
              <w:start w:w="88" w:type="dxa"/>
              <w:bottom w:w="88" w:type="dxa"/>
              <w:end w:w="88" w:type="dxa"/>
            </w:tcMar>
            <w:vAlign w:val="center"/>
            <w:shd w:fill="F6F8F5"/>
          </w:tcPr>
          <w:p>
            <w:pPr>
              <w:spacing w:line="254" w:lineRule="auto" w:after="0"/>
            </w:pPr>
            <w:r>
              <w:rPr>
                <w:color w:val="193C35"/>
                <w:sz w:val="16"/>
              </w:rPr>
              <w:t>1. Staff/leader sign-in boundary.</w:t>
              <w:br/>
              <w:t>2. Select reserved leader pool.</w:t>
              <w:br/>
              <w:t>3. Proxy registration form.</w:t>
              <w:br/>
              <w:t>4. Repeat form safely for next person.</w:t>
            </w:r>
          </w:p>
        </w:tc>
        <w:tc>
          <w:tcPr>
            <w:tcW w:type="dxa" w:w="4422"/>
            <w:tcMar>
              <w:top w:w="88" w:type="dxa"/>
              <w:start w:w="88" w:type="dxa"/>
              <w:bottom w:w="88" w:type="dxa"/>
              <w:end w:w="88" w:type="dxa"/>
            </w:tcMar>
            <w:vAlign w:val="center"/>
            <w:shd w:fill="F6F8F5"/>
          </w:tcPr>
          <w:p>
            <w:pPr>
              <w:spacing w:line="254" w:lineRule="auto" w:after="0"/>
            </w:pPr>
            <w:r>
              <w:rPr>
                <w:color w:val="193C35"/>
                <w:sz w:val="15"/>
              </w:rPr>
              <w:t>Leader cannot use another leader's quota; overbooking fails safely.</w:t>
            </w:r>
          </w:p>
        </w:tc>
      </w:tr>
      <w:tr>
        <w:trPr>
          <w:cantSplit/>
        </w:trPr>
        <w:tc>
          <w:tcPr>
            <w:tcW w:type="dxa" w:w="709"/>
            <w:tcMar>
              <w:top w:w="88" w:type="dxa"/>
              <w:start w:w="88" w:type="dxa"/>
              <w:bottom w:w="88" w:type="dxa"/>
              <w:end w:w="88" w:type="dxa"/>
            </w:tcMar>
            <w:vAlign w:val="center"/>
          </w:tcPr>
          <w:p>
            <w:pPr>
              <w:spacing w:line="254" w:lineRule="auto" w:after="0"/>
            </w:pPr>
            <w:r>
              <w:rPr>
                <w:color w:val="193C35"/>
                <w:sz w:val="16"/>
              </w:rPr>
              <w:t>US07</w:t>
            </w:r>
          </w:p>
        </w:tc>
        <w:tc>
          <w:tcPr>
            <w:tcW w:type="dxa" w:w="4620"/>
            <w:tcMar>
              <w:top w:w="88" w:type="dxa"/>
              <w:start w:w="88" w:type="dxa"/>
              <w:bottom w:w="88" w:type="dxa"/>
              <w:end w:w="88" w:type="dxa"/>
            </w:tcMar>
            <w:vAlign w:val="center"/>
          </w:tcPr>
          <w:p>
            <w:pPr>
              <w:spacing w:line="254" w:lineRule="auto" w:after="0"/>
            </w:pPr>
            <w:r>
              <w:rPr>
                <w:color w:val="193C35"/>
                <w:sz w:val="16"/>
              </w:rPr>
              <w:t>1. Minimal guest form.</w:t>
              <w:br/>
              <w:t>2. Validation + consent.</w:t>
              <w:br/>
              <w:t>3. Request with stable operation key.</w:t>
              <w:br/>
              <w:t>4. Display confirmed/waiting/unknown receipt.</w:t>
            </w:r>
          </w:p>
        </w:tc>
        <w:tc>
          <w:tcPr>
            <w:tcW w:type="dxa" w:w="4422"/>
            <w:tcMar>
              <w:top w:w="88" w:type="dxa"/>
              <w:start w:w="88" w:type="dxa"/>
              <w:bottom w:w="88" w:type="dxa"/>
              <w:end w:w="88" w:type="dxa"/>
            </w:tcMar>
            <w:vAlign w:val="center"/>
          </w:tcPr>
          <w:p>
            <w:pPr>
              <w:spacing w:line="254" w:lineRule="auto" w:after="0"/>
            </w:pPr>
            <w:r>
              <w:rPr>
                <w:color w:val="193C35"/>
                <w:sz w:val="15"/>
              </w:rPr>
              <w:t>No account requirement; privacy-safe lookup and server duplicate prevention.</w:t>
            </w:r>
          </w:p>
        </w:tc>
      </w:tr>
      <w:tr>
        <w:trPr>
          <w:cantSplit/>
        </w:trPr>
        <w:tc>
          <w:tcPr>
            <w:tcW w:type="dxa" w:w="709"/>
            <w:tcMar>
              <w:top w:w="88" w:type="dxa"/>
              <w:start w:w="88" w:type="dxa"/>
              <w:bottom w:w="88" w:type="dxa"/>
              <w:end w:w="88" w:type="dxa"/>
            </w:tcMar>
            <w:vAlign w:val="center"/>
            <w:shd w:fill="F6F8F5"/>
          </w:tcPr>
          <w:p>
            <w:pPr>
              <w:spacing w:line="254" w:lineRule="auto" w:after="0"/>
            </w:pPr>
            <w:r>
              <w:rPr>
                <w:color w:val="193C35"/>
                <w:sz w:val="16"/>
              </w:rPr>
              <w:t>US08</w:t>
            </w:r>
          </w:p>
        </w:tc>
        <w:tc>
          <w:tcPr>
            <w:tcW w:type="dxa" w:w="4620"/>
            <w:tcMar>
              <w:top w:w="88" w:type="dxa"/>
              <w:start w:w="88" w:type="dxa"/>
              <w:bottom w:w="88" w:type="dxa"/>
              <w:end w:w="88" w:type="dxa"/>
            </w:tcMar>
            <w:vAlign w:val="center"/>
            <w:shd w:fill="F6F8F5"/>
          </w:tcPr>
          <w:p>
            <w:pPr>
              <w:spacing w:line="254" w:lineRule="auto" w:after="0"/>
            </w:pPr>
            <w:r>
              <w:rPr>
                <w:color w:val="193C35"/>
                <w:sz w:val="16"/>
              </w:rPr>
              <w:t>1. Cancellation confirmation.</w:t>
              <w:br/>
              <w:t>2. Scoped secure cancellation token.</w:t>
              <w:br/>
              <w:t>3. Server status transition and waitlist promotion.</w:t>
              <w:br/>
              <w:t>4. SMS schedule and delivery states.</w:t>
            </w:r>
          </w:p>
        </w:tc>
        <w:tc>
          <w:tcPr>
            <w:tcW w:type="dxa" w:w="4422"/>
            <w:tcMar>
              <w:top w:w="88" w:type="dxa"/>
              <w:start w:w="88" w:type="dxa"/>
              <w:bottom w:w="88" w:type="dxa"/>
              <w:end w:w="88" w:type="dxa"/>
            </w:tcMar>
            <w:vAlign w:val="center"/>
            <w:shd w:fill="F6F8F5"/>
          </w:tcPr>
          <w:p>
            <w:pPr>
              <w:spacing w:line="254" w:lineRule="auto" w:after="0"/>
            </w:pPr>
            <w:r>
              <w:rPr>
                <w:color w:val="193C35"/>
                <w:sz w:val="15"/>
              </w:rPr>
              <w:t>Repeat cancellation releases exactly one slot; reminder is not claimed delivered without provider proof.</w:t>
            </w:r>
          </w:p>
        </w:tc>
      </w:tr>
      <w:tr>
        <w:trPr>
          <w:cantSplit/>
        </w:trPr>
        <w:tc>
          <w:tcPr>
            <w:tcW w:type="dxa" w:w="709"/>
            <w:tcMar>
              <w:top w:w="88" w:type="dxa"/>
              <w:start w:w="88" w:type="dxa"/>
              <w:bottom w:w="88" w:type="dxa"/>
              <w:end w:w="88" w:type="dxa"/>
            </w:tcMar>
            <w:vAlign w:val="center"/>
          </w:tcPr>
          <w:p>
            <w:pPr>
              <w:spacing w:line="254" w:lineRule="auto" w:after="0"/>
            </w:pPr>
            <w:r>
              <w:rPr>
                <w:color w:val="193C35"/>
                <w:sz w:val="16"/>
              </w:rPr>
              <w:t>US09</w:t>
            </w:r>
          </w:p>
        </w:tc>
        <w:tc>
          <w:tcPr>
            <w:tcW w:type="dxa" w:w="4620"/>
            <w:tcMar>
              <w:top w:w="88" w:type="dxa"/>
              <w:start w:w="88" w:type="dxa"/>
              <w:bottom w:w="88" w:type="dxa"/>
              <w:end w:w="88" w:type="dxa"/>
            </w:tcMar>
            <w:vAlign w:val="center"/>
          </w:tcPr>
          <w:p>
            <w:pPr>
              <w:spacing w:line="254" w:lineRule="auto" w:after="0"/>
            </w:pPr>
            <w:r>
              <w:rPr>
                <w:color w:val="193C35"/>
                <w:sz w:val="16"/>
              </w:rPr>
              <w:t>1. Secure read-only roster cache.</w:t>
              <w:br/>
              <w:t>2. Manual/QR lookup.</w:t>
              <w:br/>
              <w:t>3. Durable pending check-in queue.</w:t>
              <w:br/>
              <w:t>4. Online reconciliation and conflict UI.</w:t>
            </w:r>
          </w:p>
        </w:tc>
        <w:tc>
          <w:tcPr>
            <w:tcW w:type="dxa" w:w="4422"/>
            <w:tcMar>
              <w:top w:w="88" w:type="dxa"/>
              <w:start w:w="88" w:type="dxa"/>
              <w:bottom w:w="88" w:type="dxa"/>
              <w:end w:w="88" w:type="dxa"/>
            </w:tcMar>
            <w:vAlign w:val="center"/>
          </w:tcPr>
          <w:p>
            <w:pPr>
              <w:spacing w:line="254" w:lineRule="auto" w:after="0"/>
            </w:pPr>
            <w:r>
              <w:rPr>
                <w:color w:val="193C35"/>
                <w:sz w:val="15"/>
              </w:rPr>
              <w:t>Restart persistence, two devices, stale roster, permission and duplicate sync tests.</w:t>
            </w:r>
          </w:p>
        </w:tc>
      </w:tr>
      <w:tr>
        <w:trPr>
          <w:cantSplit/>
        </w:trPr>
        <w:tc>
          <w:tcPr>
            <w:tcW w:type="dxa" w:w="709"/>
            <w:tcMar>
              <w:top w:w="88" w:type="dxa"/>
              <w:start w:w="88" w:type="dxa"/>
              <w:bottom w:w="88" w:type="dxa"/>
              <w:end w:w="88" w:type="dxa"/>
            </w:tcMar>
            <w:vAlign w:val="center"/>
            <w:shd w:fill="F6F8F5"/>
          </w:tcPr>
          <w:p>
            <w:pPr>
              <w:spacing w:line="254" w:lineRule="auto" w:after="0"/>
            </w:pPr>
            <w:r>
              <w:rPr>
                <w:color w:val="193C35"/>
                <w:sz w:val="16"/>
              </w:rPr>
              <w:t>US10</w:t>
            </w:r>
          </w:p>
        </w:tc>
        <w:tc>
          <w:tcPr>
            <w:tcW w:type="dxa" w:w="4620"/>
            <w:tcMar>
              <w:top w:w="88" w:type="dxa"/>
              <w:start w:w="88" w:type="dxa"/>
              <w:bottom w:w="88" w:type="dxa"/>
              <w:end w:w="88" w:type="dxa"/>
            </w:tcMar>
            <w:vAlign w:val="center"/>
            <w:shd w:fill="F6F8F5"/>
          </w:tcPr>
          <w:p>
            <w:pPr>
              <w:spacing w:line="254" w:lineRule="auto" w:after="0"/>
            </w:pPr>
            <w:r>
              <w:rPr>
                <w:color w:val="193C35"/>
                <w:sz w:val="16"/>
              </w:rPr>
              <w:t>1. Agree no-show grace period.</w:t>
              <w:br/>
              <w:t>2. Compute release eligibility on server.</w:t>
              <w:br/>
              <w:t>3. Authorise walk-in record.</w:t>
              <w:br/>
              <w:t>4. Update remaining capacity atomically.</w:t>
            </w:r>
          </w:p>
        </w:tc>
        <w:tc>
          <w:tcPr>
            <w:tcW w:type="dxa" w:w="4422"/>
            <w:tcMar>
              <w:top w:w="88" w:type="dxa"/>
              <w:start w:w="88" w:type="dxa"/>
              <w:bottom w:w="88" w:type="dxa"/>
              <w:end w:w="88" w:type="dxa"/>
            </w:tcMar>
            <w:vAlign w:val="center"/>
            <w:shd w:fill="F6F8F5"/>
          </w:tcPr>
          <w:p>
            <w:pPr>
              <w:spacing w:line="254" w:lineRule="auto" w:after="0"/>
            </w:pPr>
            <w:r>
              <w:rPr>
                <w:color w:val="193C35"/>
                <w:sz w:val="15"/>
              </w:rPr>
              <w:t>Do not enable automatic release without PM-approved policy and real transaction tests.</w:t>
            </w:r>
          </w:p>
        </w:tc>
      </w:tr>
    </w:tbl>
    <w:p>
      <w:pPr>
        <w:pStyle w:val="Heading1"/>
        <w:keepNext/>
        <w:pageBreakBefore/>
      </w:pPr>
      <w:r>
        <w:t>6. Proposed delivery increments and dependencies</w:t>
      </w:r>
    </w:p>
    <w:p>
      <w:pPr>
        <w:keepNext/>
        <w:keepLines/>
        <w:jc w:val="center"/>
      </w:pPr>
      <w:r>
        <w:drawing>
          <wp:inline xmlns:a="http://schemas.openxmlformats.org/drawingml/2006/main" xmlns:pic="http://schemas.openxmlformats.org/drawingml/2006/picture">
            <wp:extent cx="6120000" cy="1092387"/>
            <wp:docPr id="2" name="Picture 2" descr="Proposed ROSE developer workflow diagram; not proof of implemented backend behavior."/>
            <wp:cNvGraphicFramePr>
              <a:graphicFrameLocks noChangeAspect="1"/>
            </wp:cNvGraphicFramePr>
            <a:graphic>
              <a:graphicData uri="http://schemas.openxmlformats.org/drawingml/2006/picture">
                <pic:pic>
                  <pic:nvPicPr>
                    <pic:cNvPr id="0" name="feature_delivery_sequence.png"/>
                    <pic:cNvPicPr/>
                  </pic:nvPicPr>
                  <pic:blipFill>
                    <a:blip r:embed="rId12"/>
                    <a:stretch>
                      <a:fillRect/>
                    </a:stretch>
                  </pic:blipFill>
                  <pic:spPr>
                    <a:xfrm>
                      <a:off x="0" y="0"/>
                      <a:ext cx="6120000" cy="1092387"/>
                    </a:xfrm>
                    <a:prstGeom prst="rect"/>
                  </pic:spPr>
                </pic:pic>
              </a:graphicData>
            </a:graphic>
          </wp:inline>
        </w:drawing>
      </w:r>
    </w:p>
    <w:p>
      <w:pPr>
        <w:pStyle w:val="FigureCaption"/>
        <w:keepLines/>
      </w:pPr>
      <w:r>
        <w:t>Figure 2. Increment-based development plan; actual order depends on backend contract availability and team decisions.</w:t>
      </w:r>
    </w:p>
    <w:tbl>
      <w:tblPr>
        <w:tblW w:type="auto" w:w="0"/>
        <w:jc w:val="center"/>
        <w:tblLayout w:type="fixed"/>
        <w:tblLook w:firstColumn="1" w:firstRow="1" w:lastColumn="0" w:lastRow="0" w:noHBand="0" w:noVBand="1" w:val="04A0"/>
      </w:tblPr>
      <w:tblGrid>
        <w:gridCol w:w="1361"/>
        <w:gridCol w:w="3969"/>
        <w:gridCol w:w="4422"/>
      </w:tblGrid>
      <w:tr>
        <w:trPr>
          <w:tblHeader w:val="true"/>
          <w:cantSplit/>
        </w:trPr>
        <w:tc>
          <w:tcPr>
            <w:tcW w:type="dxa" w:w="3307"/>
            <w:shd w:fill="1E5547"/>
            <w:tcMar>
              <w:top w:w="115" w:type="dxa"/>
              <w:start w:w="95" w:type="dxa"/>
              <w:bottom w:w="115" w:type="dxa"/>
              <w:end w:w="95" w:type="dxa"/>
            </w:tcMar>
            <w:vAlign w:val="center"/>
          </w:tcPr>
          <w:p>
            <w:pPr>
              <w:keepNext/>
              <w:spacing w:after="0" w:line="259" w:lineRule="auto"/>
            </w:pPr>
            <w:r>
              <w:rPr>
                <w:b/>
                <w:color w:val="FFFFFF"/>
                <w:sz w:val="16"/>
              </w:rPr>
              <w:t>Increment</w:t>
            </w:r>
          </w:p>
        </w:tc>
        <w:tc>
          <w:tcPr>
            <w:tcW w:type="dxa" w:w="3307"/>
            <w:shd w:fill="1E5547"/>
            <w:tcMar>
              <w:top w:w="115" w:type="dxa"/>
              <w:start w:w="95" w:type="dxa"/>
              <w:bottom w:w="115" w:type="dxa"/>
              <w:end w:w="95" w:type="dxa"/>
            </w:tcMar>
            <w:vAlign w:val="center"/>
          </w:tcPr>
          <w:p>
            <w:pPr>
              <w:keepNext/>
              <w:spacing w:after="0" w:line="259" w:lineRule="auto"/>
            </w:pPr>
            <w:r>
              <w:rPr>
                <w:b/>
                <w:color w:val="FFFFFF"/>
                <w:sz w:val="16"/>
              </w:rPr>
              <w:t>Deliverable / demo</w:t>
            </w:r>
          </w:p>
        </w:tc>
        <w:tc>
          <w:tcPr>
            <w:tcW w:type="dxa" w:w="3307"/>
            <w:shd w:fill="1E5547"/>
            <w:tcMar>
              <w:top w:w="115" w:type="dxa"/>
              <w:start w:w="95" w:type="dxa"/>
              <w:bottom w:w="115" w:type="dxa"/>
              <w:end w:w="95" w:type="dxa"/>
            </w:tcMar>
            <w:vAlign w:val="center"/>
          </w:tcPr>
          <w:p>
            <w:pPr>
              <w:keepNext/>
              <w:spacing w:after="0" w:line="259" w:lineRule="auto"/>
            </w:pPr>
            <w:r>
              <w:rPr>
                <w:b/>
                <w:color w:val="FFFFFF"/>
                <w:sz w:val="16"/>
              </w:rPr>
              <w:t>Dependencies</w:t>
            </w:r>
          </w:p>
        </w:tc>
      </w:tr>
      <w:tr>
        <w:trPr>
          <w:cantSplit/>
        </w:trPr>
        <w:tc>
          <w:tcPr>
            <w:tcW w:type="dxa" w:w="1361"/>
            <w:tcMar>
              <w:top w:w="88" w:type="dxa"/>
              <w:start w:w="88" w:type="dxa"/>
              <w:bottom w:w="88" w:type="dxa"/>
              <w:end w:w="88" w:type="dxa"/>
            </w:tcMar>
            <w:vAlign w:val="center"/>
            <w:shd w:fill="F6F8F5"/>
          </w:tcPr>
          <w:p>
            <w:pPr>
              <w:spacing w:line="254" w:lineRule="auto" w:after="0"/>
            </w:pPr>
            <w:r>
              <w:rPr>
                <w:color w:val="193C35"/>
                <w:sz w:val="16"/>
              </w:rPr>
              <w:t>0: Baseline</w:t>
            </w:r>
          </w:p>
        </w:tc>
        <w:tc>
          <w:tcPr>
            <w:tcW w:type="dxa" w:w="3969"/>
            <w:tcMar>
              <w:top w:w="88" w:type="dxa"/>
              <w:start w:w="88" w:type="dxa"/>
              <w:bottom w:w="88" w:type="dxa"/>
              <w:end w:w="88" w:type="dxa"/>
            </w:tcMar>
            <w:vAlign w:val="center"/>
            <w:shd w:fill="F6F8F5"/>
          </w:tcPr>
          <w:p>
            <w:pPr>
              <w:spacing w:line="254" w:lineRule="auto" w:after="0"/>
            </w:pPr>
            <w:r>
              <w:rPr>
                <w:color w:val="193C35"/>
                <w:sz w:val="16"/>
              </w:rPr>
              <w:t>Existing four-role synthetic frontend, local tests, controlled source documents.</w:t>
            </w:r>
          </w:p>
        </w:tc>
        <w:tc>
          <w:tcPr>
            <w:tcW w:type="dxa" w:w="4422"/>
            <w:tcMar>
              <w:top w:w="88" w:type="dxa"/>
              <w:start w:w="88" w:type="dxa"/>
              <w:bottom w:w="88" w:type="dxa"/>
              <w:end w:w="88" w:type="dxa"/>
            </w:tcMar>
            <w:vAlign w:val="center"/>
            <w:shd w:fill="F6F8F5"/>
          </w:tcPr>
          <w:p>
            <w:pPr>
              <w:spacing w:line="254" w:lineRule="auto" w:after="0"/>
            </w:pPr>
            <w:r>
              <w:rPr>
                <w:color w:val="193C35"/>
                <w:sz w:val="16"/>
              </w:rPr>
              <w:t>Prototype proof only; not a live system.</w:t>
            </w:r>
          </w:p>
        </w:tc>
      </w:tr>
      <w:tr>
        <w:trPr>
          <w:cantSplit/>
        </w:trPr>
        <w:tc>
          <w:tcPr>
            <w:tcW w:type="dxa" w:w="1361"/>
            <w:tcMar>
              <w:top w:w="88" w:type="dxa"/>
              <w:start w:w="88" w:type="dxa"/>
              <w:bottom w:w="88" w:type="dxa"/>
              <w:end w:w="88" w:type="dxa"/>
            </w:tcMar>
            <w:vAlign w:val="center"/>
          </w:tcPr>
          <w:p>
            <w:pPr>
              <w:spacing w:line="254" w:lineRule="auto" w:after="0"/>
            </w:pPr>
            <w:r>
              <w:rPr>
                <w:color w:val="193C35"/>
                <w:sz w:val="16"/>
              </w:rPr>
              <w:t>1: Essential bookings</w:t>
            </w:r>
          </w:p>
        </w:tc>
        <w:tc>
          <w:tcPr>
            <w:tcW w:type="dxa" w:w="3969"/>
            <w:tcMar>
              <w:top w:w="88" w:type="dxa"/>
              <w:start w:w="88" w:type="dxa"/>
              <w:bottom w:w="88" w:type="dxa"/>
              <w:end w:w="88" w:type="dxa"/>
            </w:tcMar>
            <w:vAlign w:val="center"/>
          </w:tcPr>
          <w:p>
            <w:pPr>
              <w:spacing w:line="254" w:lineRule="auto" w:after="0"/>
            </w:pPr>
            <w:r>
              <w:rPr>
                <w:color w:val="193C35"/>
                <w:sz w:val="16"/>
              </w:rPr>
              <w:t>Real event, guest request, quota decision, waitlist and cancellation in DB.</w:t>
            </w:r>
          </w:p>
        </w:tc>
        <w:tc>
          <w:tcPr>
            <w:tcW w:type="dxa" w:w="4422"/>
            <w:tcMar>
              <w:top w:w="88" w:type="dxa"/>
              <w:start w:w="88" w:type="dxa"/>
              <w:bottom w:w="88" w:type="dxa"/>
              <w:end w:w="88" w:type="dxa"/>
            </w:tcMar>
            <w:vAlign w:val="center"/>
          </w:tcPr>
          <w:p>
            <w:pPr>
              <w:spacing w:line="254" w:lineRule="auto" w:after="0"/>
            </w:pPr>
            <w:r>
              <w:rPr>
                <w:color w:val="193C35"/>
                <w:sz w:val="16"/>
              </w:rPr>
              <w:t>Backend build/run, request-response contract, transaction tests.</w:t>
            </w:r>
          </w:p>
        </w:tc>
      </w:tr>
      <w:tr>
        <w:trPr>
          <w:cantSplit/>
        </w:trPr>
        <w:tc>
          <w:tcPr>
            <w:tcW w:type="dxa" w:w="1361"/>
            <w:tcMar>
              <w:top w:w="88" w:type="dxa"/>
              <w:start w:w="88" w:type="dxa"/>
              <w:bottom w:w="88" w:type="dxa"/>
              <w:end w:w="88" w:type="dxa"/>
            </w:tcMar>
            <w:vAlign w:val="center"/>
            <w:shd w:fill="F6F8F5"/>
          </w:tcPr>
          <w:p>
            <w:pPr>
              <w:spacing w:line="254" w:lineRule="auto" w:after="0"/>
            </w:pPr>
            <w:r>
              <w:rPr>
                <w:color w:val="193C35"/>
                <w:sz w:val="16"/>
              </w:rPr>
              <w:t>2: Community coordination</w:t>
            </w:r>
          </w:p>
        </w:tc>
        <w:tc>
          <w:tcPr>
            <w:tcW w:type="dxa" w:w="3969"/>
            <w:tcMar>
              <w:top w:w="88" w:type="dxa"/>
              <w:start w:w="88" w:type="dxa"/>
              <w:bottom w:w="88" w:type="dxa"/>
              <w:end w:w="88" w:type="dxa"/>
            </w:tcMar>
            <w:vAlign w:val="center"/>
            <w:shd w:fill="F6F8F5"/>
          </w:tcPr>
          <w:p>
            <w:pPr>
              <w:spacing w:line="254" w:lineRule="auto" w:after="0"/>
            </w:pPr>
            <w:r>
              <w:rPr>
                <w:color w:val="193C35"/>
                <w:sz w:val="16"/>
              </w:rPr>
              <w:t>Leader proxy, printable messages, referral attribution, outreach report, coordinator summary.</w:t>
            </w:r>
          </w:p>
        </w:tc>
        <w:tc>
          <w:tcPr>
            <w:tcW w:type="dxa" w:w="4422"/>
            <w:tcMar>
              <w:top w:w="88" w:type="dxa"/>
              <w:start w:w="88" w:type="dxa"/>
              <w:bottom w:w="88" w:type="dxa"/>
              <w:end w:w="88" w:type="dxa"/>
            </w:tcMar>
            <w:vAlign w:val="center"/>
            <w:shd w:fill="F6F8F5"/>
          </w:tcPr>
          <w:p>
            <w:pPr>
              <w:spacing w:line="254" w:lineRule="auto" w:after="0"/>
            </w:pPr>
            <w:r>
              <w:rPr>
                <w:color w:val="193C35"/>
                <w:sz w:val="16"/>
              </w:rPr>
              <w:t>Staff identity, referral schema, data permissions.</w:t>
            </w:r>
          </w:p>
        </w:tc>
      </w:tr>
      <w:tr>
        <w:trPr>
          <w:cantSplit/>
        </w:trPr>
        <w:tc>
          <w:tcPr>
            <w:tcW w:type="dxa" w:w="1361"/>
            <w:tcMar>
              <w:top w:w="88" w:type="dxa"/>
              <w:start w:w="88" w:type="dxa"/>
              <w:bottom w:w="88" w:type="dxa"/>
              <w:end w:w="88" w:type="dxa"/>
            </w:tcMar>
            <w:vAlign w:val="center"/>
          </w:tcPr>
          <w:p>
            <w:pPr>
              <w:spacing w:line="254" w:lineRule="auto" w:after="0"/>
            </w:pPr>
            <w:r>
              <w:rPr>
                <w:color w:val="193C35"/>
                <w:sz w:val="16"/>
              </w:rPr>
              <w:t>3: Field operations</w:t>
            </w:r>
          </w:p>
        </w:tc>
        <w:tc>
          <w:tcPr>
            <w:tcW w:type="dxa" w:w="3969"/>
            <w:tcMar>
              <w:top w:w="88" w:type="dxa"/>
              <w:start w:w="88" w:type="dxa"/>
              <w:bottom w:w="88" w:type="dxa"/>
              <w:end w:w="88" w:type="dxa"/>
            </w:tcMar>
            <w:vAlign w:val="center"/>
          </w:tcPr>
          <w:p>
            <w:pPr>
              <w:spacing w:line="254" w:lineRule="auto" w:after="0"/>
            </w:pPr>
            <w:r>
              <w:rPr>
                <w:color w:val="193C35"/>
                <w:sz w:val="16"/>
              </w:rPr>
              <w:t>Scoped roster, check-in, offline queue, sync, conflict and restart persistence.</w:t>
            </w:r>
          </w:p>
        </w:tc>
        <w:tc>
          <w:tcPr>
            <w:tcW w:type="dxa" w:w="4422"/>
            <w:tcMar>
              <w:top w:w="88" w:type="dxa"/>
              <w:start w:w="88" w:type="dxa"/>
              <w:bottom w:w="88" w:type="dxa"/>
              <w:end w:w="88" w:type="dxa"/>
            </w:tcMar>
            <w:vAlign w:val="center"/>
          </w:tcPr>
          <w:p>
            <w:pPr>
              <w:spacing w:line="254" w:lineRule="auto" w:after="0"/>
            </w:pPr>
            <w:r>
              <w:rPr>
                <w:color w:val="193C35"/>
                <w:sz w:val="16"/>
              </w:rPr>
              <w:t>Roster revision, durable local store, authenticated sync and field QA.</w:t>
            </w:r>
          </w:p>
        </w:tc>
      </w:tr>
      <w:tr>
        <w:trPr>
          <w:cantSplit/>
        </w:trPr>
        <w:tc>
          <w:tcPr>
            <w:tcW w:type="dxa" w:w="1361"/>
            <w:tcMar>
              <w:top w:w="88" w:type="dxa"/>
              <w:start w:w="88" w:type="dxa"/>
              <w:bottom w:w="88" w:type="dxa"/>
              <w:end w:w="88" w:type="dxa"/>
            </w:tcMar>
            <w:vAlign w:val="center"/>
            <w:shd w:fill="F6F8F5"/>
          </w:tcPr>
          <w:p>
            <w:pPr>
              <w:spacing w:line="254" w:lineRule="auto" w:after="0"/>
            </w:pPr>
            <w:r>
              <w:rPr>
                <w:color w:val="193C35"/>
                <w:sz w:val="16"/>
              </w:rPr>
              <w:t>4: Policy-led features</w:t>
            </w:r>
          </w:p>
        </w:tc>
        <w:tc>
          <w:tcPr>
            <w:tcW w:type="dxa" w:w="3969"/>
            <w:tcMar>
              <w:top w:w="88" w:type="dxa"/>
              <w:start w:w="88" w:type="dxa"/>
              <w:bottom w:w="88" w:type="dxa"/>
              <w:end w:w="88" w:type="dxa"/>
            </w:tcMar>
            <w:vAlign w:val="center"/>
            <w:shd w:fill="F6F8F5"/>
          </w:tcPr>
          <w:p>
            <w:pPr>
              <w:spacing w:line="254" w:lineRule="auto" w:after="0"/>
            </w:pPr>
            <w:r>
              <w:rPr>
                <w:color w:val="193C35"/>
                <w:sz w:val="16"/>
              </w:rPr>
              <w:t>SMS reminders, no-show release, walk-ins, optional multilingual content.</w:t>
            </w:r>
          </w:p>
        </w:tc>
        <w:tc>
          <w:tcPr>
            <w:tcW w:type="dxa" w:w="4422"/>
            <w:tcMar>
              <w:top w:w="88" w:type="dxa"/>
              <w:start w:w="88" w:type="dxa"/>
              <w:bottom w:w="88" w:type="dxa"/>
              <w:end w:w="88" w:type="dxa"/>
            </w:tcMar>
            <w:vAlign w:val="center"/>
            <w:shd w:fill="F6F8F5"/>
          </w:tcPr>
          <w:p>
            <w:pPr>
              <w:spacing w:line="254" w:lineRule="auto" w:after="0"/>
            </w:pPr>
            <w:r>
              <w:rPr>
                <w:color w:val="193C35"/>
                <w:sz w:val="16"/>
              </w:rPr>
              <w:t>Budget, SMS provider, consent, PM policy and user testing.</w:t>
            </w:r>
          </w:p>
        </w:tc>
      </w:tr>
    </w:tbl>
    <w:p>
      <w:pPr>
        <w:pStyle w:val="Heading1"/>
        <w:keepNext/>
        <w:pageBreakBefore/>
      </w:pPr>
      <w:r>
        <w:t>7. Frontend visual evidence and planned improvements</w:t>
      </w:r>
    </w:p>
    <w:p>
      <w:r>
        <w:t>The unchanged NU ROSE_DEMO_English_v1.2.1.html source was executed in sandboxed Chromium using page.set_content. Twelve targeted UI checks passed: role switching, synthetic booking/waitlist, leader proxy/outreach, quota rejection, pending check-in, manual demo sync, cancellation and blocked walk-ins. Captures use in-memory demo state; no storage fixture, live backend or real offline synchronization was used. [S4]</w:t>
      </w:r>
    </w:p>
    <w:p>
      <w:pPr>
        <w:keepNext/>
        <w:keepLines/>
        <w:jc w:val="center"/>
      </w:pPr>
      <w:r>
        <w:drawing>
          <wp:inline xmlns:a="http://schemas.openxmlformats.org/drawingml/2006/main" xmlns:pic="http://schemas.openxmlformats.org/drawingml/2006/picture">
            <wp:extent cx="5616000" cy="5994382"/>
            <wp:docPr id="3" name="Picture 3" descr="Actual NU v1.2.1 source screenshot crops, sandboxed Chromium, synthetic data only: task1_participant.png" title="task1_participant.png"/>
            <wp:cNvGraphicFramePr>
              <a:graphicFrameLocks noChangeAspect="1"/>
            </wp:cNvGraphicFramePr>
            <a:graphic>
              <a:graphicData uri="http://schemas.openxmlformats.org/drawingml/2006/picture">
                <pic:pic>
                  <pic:nvPicPr>
                    <pic:cNvPr id="0" name="real_source_task1_participant_status.png"/>
                    <pic:cNvPicPr/>
                  </pic:nvPicPr>
                  <pic:blipFill>
                    <a:blip r:embed="rId13"/>
                    <a:stretch>
                      <a:fillRect/>
                    </a:stretch>
                  </pic:blipFill>
                  <pic:spPr>
                    <a:xfrm>
                      <a:off x="0" y="0"/>
                      <a:ext cx="5616000" cy="5994382"/>
                    </a:xfrm>
                    <a:prstGeom prst="rect"/>
                  </pic:spPr>
                </pic:pic>
              </a:graphicData>
            </a:graphic>
          </wp:inline>
        </w:drawing>
      </w:r>
    </w:p>
    <w:p>
      <w:pPr>
        <w:pStyle w:val="FigureCaption"/>
        <w:keepLines/>
      </w:pPr>
      <w:r>
        <w:t>Figure 3. Actual Participant screen captures: DEMO-B confirmed and DEMO-C waitlisted. Screenshots cropped from the unchanged standalone NU v1.2.1 frontend in Chromium, 390px viewport.</w:t>
      </w:r>
    </w:p>
    <w:p>
      <w:r>
        <w:t>These different receipt states show the intent of US07 and the local waitlist part of US01, but they do not represent live reservations.</w:t>
      </w:r>
    </w:p>
    <w:p>
      <w:pPr>
        <w:keepNext/>
        <w:keepLines/>
        <w:jc w:val="center"/>
      </w:pPr>
      <w:r>
        <w:drawing>
          <wp:inline xmlns:a="http://schemas.openxmlformats.org/drawingml/2006/main" xmlns:pic="http://schemas.openxmlformats.org/drawingml/2006/picture">
            <wp:extent cx="5868000" cy="7311714"/>
            <wp:docPr id="4" name="Picture 4" descr="Actual NU v1.2.1 source screenshot crops, sandboxed Chromium, synthetic data only: task1_coordinator.png" title="task1_coordinator.png"/>
            <wp:cNvGraphicFramePr>
              <a:graphicFrameLocks noChangeAspect="1"/>
            </wp:cNvGraphicFramePr>
            <a:graphic>
              <a:graphicData uri="http://schemas.openxmlformats.org/drawingml/2006/picture">
                <pic:pic>
                  <pic:nvPicPr>
                    <pic:cNvPr id="0" name="real_source_task1_coordinator_dashboard.png"/>
                    <pic:cNvPicPr/>
                  </pic:nvPicPr>
                  <pic:blipFill>
                    <a:blip r:embed="rId14"/>
                    <a:stretch>
                      <a:fillRect/>
                    </a:stretch>
                  </pic:blipFill>
                  <pic:spPr>
                    <a:xfrm>
                      <a:off x="0" y="0"/>
                      <a:ext cx="5868000" cy="7311714"/>
                    </a:xfrm>
                    <a:prstGeom prst="rect"/>
                  </pic:spPr>
                </pic:pic>
              </a:graphicData>
            </a:graphic>
          </wp:inline>
        </w:drawing>
      </w:r>
    </w:p>
    <w:p>
      <w:pPr>
        <w:pStyle w:val="FigureCaption"/>
        <w:keepLines/>
      </w:pPr>
      <w:r>
        <w:t>Figure 4. Actual Coordinator screen capture, showing mock capacity and self-reported outreach. Two regions of the same 1440px screenshot were cropped and stacked; no UI values were changed.</w:t>
      </w:r>
    </w:p>
    <w:p>
      <w:r>
        <w:t>Participant interaction emphasizes a short request/receipt sequence. The Coordinator view separates capacity, registration and self-reported outreach. Next development work is real guest verification, backend quota authority and live attribution.</w:t>
      </w:r>
    </w:p>
    <w:p>
      <w:pPr>
        <w:pStyle w:val="Heading1"/>
        <w:keepNext/>
        <w:pageBreakBefore/>
      </w:pPr>
      <w:r>
        <w:t>8. Acceptance criteria and handoff checklist</w:t>
      </w:r>
    </w:p>
    <w:tbl>
      <w:tblPr>
        <w:tblW w:type="auto" w:w="0"/>
        <w:jc w:val="center"/>
        <w:tblLayout w:type="fixed"/>
        <w:tblLook w:firstColumn="1" w:firstRow="1" w:lastColumn="0" w:lastRow="0" w:noHBand="0" w:noVBand="1" w:val="04A0"/>
      </w:tblPr>
      <w:tblGrid>
        <w:gridCol w:w="1814"/>
        <w:gridCol w:w="7937"/>
      </w:tblGrid>
      <w:tr>
        <w:trPr>
          <w:tblHeader w:val="true"/>
          <w:cantSplit/>
        </w:trPr>
        <w:tc>
          <w:tcPr>
            <w:tcW w:type="dxa" w:w="4961"/>
            <w:shd w:fill="1E5547"/>
            <w:tcMar>
              <w:top w:w="115" w:type="dxa"/>
              <w:start w:w="95" w:type="dxa"/>
              <w:bottom w:w="115" w:type="dxa"/>
              <w:end w:w="95" w:type="dxa"/>
            </w:tcMar>
            <w:vAlign w:val="center"/>
          </w:tcPr>
          <w:p>
            <w:pPr>
              <w:keepNext/>
              <w:spacing w:after="0" w:line="259" w:lineRule="auto"/>
            </w:pPr>
            <w:r>
              <w:rPr>
                <w:b/>
                <w:color w:val="FFFFFF"/>
                <w:sz w:val="16"/>
              </w:rPr>
              <w:t>Area</w:t>
            </w:r>
          </w:p>
        </w:tc>
        <w:tc>
          <w:tcPr>
            <w:tcW w:type="dxa" w:w="4961"/>
            <w:shd w:fill="1E5547"/>
            <w:tcMar>
              <w:top w:w="115" w:type="dxa"/>
              <w:start w:w="95" w:type="dxa"/>
              <w:bottom w:w="115" w:type="dxa"/>
              <w:end w:w="95" w:type="dxa"/>
            </w:tcMar>
            <w:vAlign w:val="center"/>
          </w:tcPr>
          <w:p>
            <w:pPr>
              <w:keepNext/>
              <w:spacing w:after="0" w:line="259" w:lineRule="auto"/>
            </w:pPr>
            <w:r>
              <w:rPr>
                <w:b/>
                <w:color w:val="FFFFFF"/>
                <w:sz w:val="16"/>
              </w:rPr>
              <w:t>Acceptance evidence before claiming completion</w:t>
            </w:r>
          </w:p>
        </w:tc>
      </w:tr>
      <w:tr>
        <w:trPr>
          <w:cantSplit/>
        </w:trPr>
        <w:tc>
          <w:tcPr>
            <w:tcW w:type="dxa" w:w="1814"/>
            <w:tcMar>
              <w:top w:w="88" w:type="dxa"/>
              <w:start w:w="88" w:type="dxa"/>
              <w:bottom w:w="88" w:type="dxa"/>
              <w:end w:w="88" w:type="dxa"/>
            </w:tcMar>
            <w:vAlign w:val="center"/>
            <w:shd w:fill="F6F8F5"/>
          </w:tcPr>
          <w:p>
            <w:pPr>
              <w:spacing w:line="254" w:lineRule="auto" w:after="0"/>
            </w:pPr>
            <w:r>
              <w:rPr>
                <w:color w:val="193C35"/>
                <w:sz w:val="16"/>
              </w:rPr>
              <w:t>Requirements</w:t>
            </w:r>
          </w:p>
        </w:tc>
        <w:tc>
          <w:tcPr>
            <w:tcW w:type="dxa" w:w="7937"/>
            <w:tcMar>
              <w:top w:w="88" w:type="dxa"/>
              <w:start w:w="88" w:type="dxa"/>
              <w:bottom w:w="88" w:type="dxa"/>
              <w:end w:w="88" w:type="dxa"/>
            </w:tcMar>
            <w:vAlign w:val="center"/>
            <w:shd w:fill="F6F8F5"/>
          </w:tcPr>
          <w:p>
            <w:pPr>
              <w:spacing w:line="254" w:lineRule="auto" w:after="0"/>
            </w:pPr>
            <w:r>
              <w:rPr>
                <w:color w:val="193C35"/>
                <w:sz w:val="16"/>
              </w:rPr>
              <w:t>Every feature maps to US01 to US10; PM confirms fields, data permissions, waitlist and walk-in policies.</w:t>
            </w:r>
          </w:p>
        </w:tc>
      </w:tr>
      <w:tr>
        <w:trPr>
          <w:cantSplit/>
        </w:trPr>
        <w:tc>
          <w:tcPr>
            <w:tcW w:type="dxa" w:w="1814"/>
            <w:tcMar>
              <w:top w:w="88" w:type="dxa"/>
              <w:start w:w="88" w:type="dxa"/>
              <w:bottom w:w="88" w:type="dxa"/>
              <w:end w:w="88" w:type="dxa"/>
            </w:tcMar>
            <w:vAlign w:val="center"/>
          </w:tcPr>
          <w:p>
            <w:pPr>
              <w:spacing w:line="254" w:lineRule="auto" w:after="0"/>
            </w:pPr>
            <w:r>
              <w:rPr>
                <w:color w:val="193C35"/>
                <w:sz w:val="16"/>
              </w:rPr>
              <w:t>UI and accessibility</w:t>
            </w:r>
          </w:p>
        </w:tc>
        <w:tc>
          <w:tcPr>
            <w:tcW w:type="dxa" w:w="7937"/>
            <w:tcMar>
              <w:top w:w="88" w:type="dxa"/>
              <w:start w:w="88" w:type="dxa"/>
              <w:bottom w:w="88" w:type="dxa"/>
              <w:end w:w="88" w:type="dxa"/>
            </w:tcMar>
            <w:vAlign w:val="center"/>
          </w:tcPr>
          <w:p>
            <w:pPr>
              <w:spacing w:line="254" w:lineRule="auto" w:after="0"/>
            </w:pPr>
            <w:r>
              <w:rPr>
                <w:color w:val="193C35"/>
                <w:sz w:val="16"/>
              </w:rPr>
              <w:t>Mobile 320/390px and desktop viewports, keyboard focus, clear empty/full/failed/pending states, human user review.</w:t>
            </w:r>
          </w:p>
        </w:tc>
      </w:tr>
      <w:tr>
        <w:trPr>
          <w:cantSplit/>
        </w:trPr>
        <w:tc>
          <w:tcPr>
            <w:tcW w:type="dxa" w:w="1814"/>
            <w:tcMar>
              <w:top w:w="88" w:type="dxa"/>
              <w:start w:w="88" w:type="dxa"/>
              <w:bottom w:w="88" w:type="dxa"/>
              <w:end w:w="88" w:type="dxa"/>
            </w:tcMar>
            <w:vAlign w:val="center"/>
            <w:shd w:fill="F6F8F5"/>
          </w:tcPr>
          <w:p>
            <w:pPr>
              <w:spacing w:line="254" w:lineRule="auto" w:after="0"/>
            </w:pPr>
            <w:r>
              <w:rPr>
                <w:color w:val="193C35"/>
                <w:sz w:val="16"/>
              </w:rPr>
              <w:t>Integration</w:t>
            </w:r>
          </w:p>
        </w:tc>
        <w:tc>
          <w:tcPr>
            <w:tcW w:type="dxa" w:w="7937"/>
            <w:tcMar>
              <w:top w:w="88" w:type="dxa"/>
              <w:start w:w="88" w:type="dxa"/>
              <w:bottom w:w="88" w:type="dxa"/>
              <w:end w:w="88" w:type="dxa"/>
            </w:tcMar>
            <w:vAlign w:val="center"/>
            <w:shd w:fill="F6F8F5"/>
          </w:tcPr>
          <w:p>
            <w:pPr>
              <w:spacing w:line="254" w:lineRule="auto" w:after="0"/>
            </w:pPr>
            <w:r>
              <w:rPr>
                <w:color w:val="193C35"/>
                <w:sz w:val="16"/>
              </w:rPr>
              <w:t>Actual API and DB response recorded; registration persists across refresh/restart; IDs and statuses follow agreed schemas.</w:t>
            </w:r>
          </w:p>
        </w:tc>
      </w:tr>
      <w:tr>
        <w:trPr>
          <w:cantSplit/>
        </w:trPr>
        <w:tc>
          <w:tcPr>
            <w:tcW w:type="dxa" w:w="1814"/>
            <w:tcMar>
              <w:top w:w="88" w:type="dxa"/>
              <w:start w:w="88" w:type="dxa"/>
              <w:bottom w:w="88" w:type="dxa"/>
              <w:end w:w="88" w:type="dxa"/>
            </w:tcMar>
            <w:vAlign w:val="center"/>
          </w:tcPr>
          <w:p>
            <w:pPr>
              <w:spacing w:line="254" w:lineRule="auto" w:after="0"/>
            </w:pPr>
            <w:r>
              <w:rPr>
                <w:color w:val="193C35"/>
                <w:sz w:val="16"/>
              </w:rPr>
              <w:t>Safety and offline</w:t>
            </w:r>
          </w:p>
        </w:tc>
        <w:tc>
          <w:tcPr>
            <w:tcW w:type="dxa" w:w="7937"/>
            <w:tcMar>
              <w:top w:w="88" w:type="dxa"/>
              <w:start w:w="88" w:type="dxa"/>
              <w:bottom w:w="88" w:type="dxa"/>
              <w:end w:w="88" w:type="dxa"/>
            </w:tcMar>
            <w:vAlign w:val="center"/>
          </w:tcPr>
          <w:p>
            <w:pPr>
              <w:spacing w:line="254" w:lineRule="auto" w:after="0"/>
            </w:pPr>
            <w:r>
              <w:rPr>
                <w:color w:val="193C35"/>
                <w:sz w:val="16"/>
              </w:rPr>
              <w:t>One final place cannot be confirmed twice; duplicate request is idempotent; offline sync conflicts remain visible.</w:t>
            </w:r>
          </w:p>
        </w:tc>
      </w:tr>
      <w:tr>
        <w:trPr>
          <w:cantSplit/>
        </w:trPr>
        <w:tc>
          <w:tcPr>
            <w:tcW w:type="dxa" w:w="1814"/>
            <w:tcMar>
              <w:top w:w="88" w:type="dxa"/>
              <w:start w:w="88" w:type="dxa"/>
              <w:bottom w:w="88" w:type="dxa"/>
              <w:end w:w="88" w:type="dxa"/>
            </w:tcMar>
            <w:vAlign w:val="center"/>
            <w:shd w:fill="F6F8F5"/>
          </w:tcPr>
          <w:p>
            <w:pPr>
              <w:spacing w:line="254" w:lineRule="auto" w:after="0"/>
            </w:pPr>
            <w:r>
              <w:rPr>
                <w:color w:val="193C35"/>
                <w:sz w:val="16"/>
              </w:rPr>
              <w:t>Collaboration</w:t>
            </w:r>
          </w:p>
        </w:tc>
        <w:tc>
          <w:tcPr>
            <w:tcW w:type="dxa" w:w="7937"/>
            <w:tcMar>
              <w:top w:w="88" w:type="dxa"/>
              <w:start w:w="88" w:type="dxa"/>
              <w:bottom w:w="88" w:type="dxa"/>
              <w:end w:w="88" w:type="dxa"/>
            </w:tcMar>
            <w:vAlign w:val="center"/>
            <w:shd w:fill="F6F8F5"/>
          </w:tcPr>
          <w:p>
            <w:pPr>
              <w:spacing w:line="254" w:lineRule="auto" w:after="0"/>
            </w:pPr>
            <w:r>
              <w:rPr>
                <w:color w:val="193C35"/>
                <w:sz w:val="16"/>
              </w:rPr>
              <w:t>Backend branch SHA, API schema and seeded examples shared with frontend; designer and security review the relevant changes.</w:t>
            </w:r>
          </w:p>
        </w:tc>
      </w:tr>
      <w:tr>
        <w:trPr>
          <w:cantSplit/>
        </w:trPr>
        <w:tc>
          <w:tcPr>
            <w:tcW w:type="dxa" w:w="1814"/>
            <w:tcMar>
              <w:top w:w="88" w:type="dxa"/>
              <w:start w:w="88" w:type="dxa"/>
              <w:bottom w:w="88" w:type="dxa"/>
              <w:end w:w="88" w:type="dxa"/>
            </w:tcMar>
            <w:vAlign w:val="center"/>
          </w:tcPr>
          <w:p>
            <w:pPr>
              <w:spacing w:line="254" w:lineRule="auto" w:after="0"/>
            </w:pPr>
            <w:r>
              <w:rPr>
                <w:color w:val="193C35"/>
                <w:sz w:val="16"/>
              </w:rPr>
              <w:t>Submission</w:t>
            </w:r>
          </w:p>
        </w:tc>
        <w:tc>
          <w:tcPr>
            <w:tcW w:type="dxa" w:w="7937"/>
            <w:tcMar>
              <w:top w:w="88" w:type="dxa"/>
              <w:start w:w="88" w:type="dxa"/>
              <w:bottom w:w="88" w:type="dxa"/>
              <w:end w:w="88" w:type="dxa"/>
            </w:tcMar>
            <w:vAlign w:val="center"/>
          </w:tcPr>
          <w:p>
            <w:pPr>
              <w:spacing w:line="254" w:lineRule="auto" w:after="0"/>
            </w:pPr>
            <w:r>
              <w:rPr>
                <w:color w:val="193C35"/>
                <w:sz w:val="16"/>
              </w:rPr>
              <w:t>Developer section replaces the obsolete AI recommendation feature block in Log Task 1; PM receives the updated document for team ZIP assembly.</w:t>
            </w:r>
          </w:p>
        </w:tc>
      </w:tr>
    </w:tbl>
    <w:p>
      <w:pPr>
        <w:spacing w:after="0"/>
      </w:pPr>
    </w:p>
    <w:tbl>
      <w:tblPr>
        <w:tblW w:type="auto" w:w="0"/>
        <w:tblLook w:firstColumn="1" w:firstRow="1" w:lastColumn="0" w:lastRow="0" w:noHBand="0" w:noVBand="1" w:val="04A0"/>
      </w:tblPr>
      <w:tblGrid>
        <w:gridCol w:w="9922"/>
      </w:tblGrid>
      <w:tr>
        <w:trPr>
          <w:tblHeader w:val="true"/>
          <w:cantSplit/>
        </w:trPr>
        <w:tc>
          <w:tcPr>
            <w:tcW w:type="dxa" w:w="9922"/>
            <w:shd w:fill="F0F5F1"/>
            <w:tcMar>
              <w:top w:w="110" w:type="dxa"/>
              <w:start w:w="130" w:type="dxa"/>
              <w:bottom w:w="95" w:type="dxa"/>
              <w:end w:w="130" w:type="dxa"/>
            </w:tcMar>
          </w:tcPr>
          <w:p>
            <w:pPr>
              <w:keepNext/>
            </w:pPr>
            <w:r>
              <w:rPr>
                <w:b/>
                <w:color w:val="1E5547"/>
                <w:sz w:val="16"/>
              </w:rPr>
              <w:t xml:space="preserve">SCOPE AND EVIDENCE  </w:t>
            </w:r>
            <w:r>
              <w:rPr>
                <w:sz w:val="18"/>
              </w:rPr>
              <w:t>As at 12 October 2026, the NU v1.2.1 candidate reports 56/56 Node, 65/65 Python and 78/78 injected DOM checks. These are local mock/isolated tests, not live API, real offline persistence, actual SMS or production acceptance. [S4]</w:t>
            </w:r>
          </w:p>
        </w:tc>
      </w:tr>
    </w:tbl>
    <w:p>
      <w:pPr>
        <w:spacing w:after="0"/>
      </w:pPr>
    </w:p>
    <w:p>
      <w:pPr>
        <w:pStyle w:val="Heading1"/>
        <w:keepNext/>
      </w:pPr>
      <w:r>
        <w:t>9. Internal evidence used</w:t>
      </w:r>
    </w:p>
    <w:p>
      <w:pPr>
        <w:pStyle w:val="ListBullet"/>
      </w:pPr>
      <w:r>
        <w:t>[S1] NU imported SharePoint: Client_Requirement_Notes / Overview on the Challenge 5.docx (problem statement).</w:t>
      </w:r>
    </w:p>
    <w:p>
      <w:pPr>
        <w:pStyle w:val="ListBullet"/>
      </w:pPr>
      <w:r>
        <w:t>[S2] NU imported SharePoint: Role_Deliverables / PM / User Stories / User Stories &amp; Mapping.docx (US01 to US10).</w:t>
      </w:r>
    </w:p>
    <w:p>
      <w:pPr>
        <w:pStyle w:val="ListBullet"/>
      </w:pPr>
      <w:r>
        <w:t>[S3] NU imported SharePoint: Role_Deliverables / DEVELOPER / Features Review.docx (proposed feature breakdown and unresolved choices).</w:t>
      </w:r>
    </w:p>
    <w:p>
      <w:pPr>
        <w:pStyle w:val="ListBullet"/>
      </w:pPr>
      <w:r>
        <w:t>[S4] NU_Feature_Coverage_v1.2.1.md and NU_Verification_v1.2.1.json (TASK-005, historical test summary). New visual proof: NU_v1.2.1_Browser_Capture_Evidence.json, six source screenshots and crop_provenance.json, under docs/dev/evidence/LOG_DOCX_20261012. Source SHA256: 3949160d0317c2b32ceadb00adca263db507f55c5577cb7ed4aa05e48cd8292e.</w:t>
      </w:r>
    </w:p>
    <w:p>
      <w:pPr>
        <w:pStyle w:val="ListBullet"/>
      </w:pPr>
      <w:r>
        <w:t>[S5] NU/grp_c5/00_Dev_Workspace/docs/api/INTEGRATION.md and docs/dev/DEV_FLOW.md. CURRENT.md is the older v1.2.0 workspace record; the supplementary v1.2.1 candidate evidence is listed separately in S4.</w:t>
      </w:r>
    </w:p>
    <w:p>
      <w:pPr>
        <w:pStyle w:val="ListBullet"/>
      </w:pPr>
      <w:r>
        <w:t>[S6] NU imported SharePoint: Admin_and_Log_Tasks / Log Task 1 26_27_GP 6.docx (coursework deliverable requirement).</w:t>
      </w:r>
    </w:p>
    <w:sectPr w:rsidR="00FC693F" w:rsidRPr="0006063C" w:rsidSect="00034616">
      <w:headerReference w:type="default" r:id="rId9"/>
      <w:footerReference w:type="default" r:id="rId10"/>
      <w:pgSz w:w="11906" w:h="16838"/>
      <w:pgMar w:top="975" w:right="992" w:bottom="907" w:left="992" w:header="340"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ROSE-Pulse / Developer draft  ·  Page </w:t>
    </w: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color="ACC4B6"/>
      </w:pBdr>
    </w:pPr>
    <w:r>
      <w:rPr>
        <w:color w:val="61716B"/>
        <w:sz w:val="16"/>
      </w:rPr>
      <w:t>ROSE-PULSE  /  LOG TASK 1 | FEATURE PLAN AND STORY SPLITTING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Aptos" w:hAnsi="Aptos"/>
      <w:color w:val="193C3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E5547"/>
      <w:sz w:val="27"/>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w:hAnsi="Aptos"/>
      <w:b/>
      <w:bCs/>
      <w:color w:val="1E5547"/>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E554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E5547"/>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60" w:after="180"/>
    </w:pPr>
    <w:rPr>
      <w:rFonts w:ascii="Aptos" w:hAnsi="Aptos"/>
      <w:i/>
      <w:color w:val="61716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 Task 1 | Feature plan and story splitting</dc:title>
  <dc:subject>KV6014 Challenge 5 - Group 6</dc:subject>
  <dc:creator>Benjamin</dc:creator>
  <cp:keywords>ROSE, NGO, Event Management, coursework, Dev, NU</cp:keywords>
  <dc:description>Developer contribution with source-executed frontend screenshots. No production readiness claimed.</dc:description>
  <cp:lastModifiedBy>Benjamin</cp:lastModifiedBy>
  <cp:revision>1</cp:revision>
  <dcterms:created xsi:type="dcterms:W3CDTF">2013-12-23T23:15:00Z</dcterms:created>
  <dcterms:modified xsi:type="dcterms:W3CDTF">2013-12-23T23:15:00Z</dcterms:modified>
  <cp:category/>
</cp:coreProperties>
</file>