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Times New Roman" w:hAnsi="Times New Roman" w:eastAsia="Times New Roman"/>
          <w:b/>
          <w:i/>
          <w:sz w:val="40"/>
          <w:szCs w:val="24"/>
          <w:lang w:val="en"/>
        </w:rPr>
      </w:pPr>
      <w:r>
        <w:rPr>
          <w:rFonts w:hint="default" w:ascii="Times New Roman" w:hAnsi="Times New Roman" w:eastAsia="Times New Roman"/>
          <w:b/>
          <w:i/>
          <w:sz w:val="40"/>
          <w:szCs w:val="24"/>
          <w:lang w:val="en"/>
        </w:rPr>
        <w:t>Abstract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sz w:val="32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32"/>
          <w:szCs w:val="24"/>
          <w:lang w:val="en"/>
        </w:rPr>
        <w:t>AIM</w:t>
      </w:r>
      <w:r>
        <w:rPr>
          <w:rFonts w:hint="default" w:ascii="Times New Roman" w:hAnsi="Times New Roman" w:eastAsia="Times New Roman"/>
          <w:sz w:val="32"/>
          <w:szCs w:val="24"/>
          <w:lang w:val="en"/>
        </w:rPr>
        <w:t xml:space="preserve">: 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sz w:val="32"/>
          <w:szCs w:val="24"/>
          <w:lang w:val="en-US"/>
        </w:rPr>
      </w:pPr>
      <w:r>
        <w:rPr>
          <w:rFonts w:hint="default" w:ascii="Times New Roman" w:hAnsi="Times New Roman" w:eastAsia="Times New Roman"/>
          <w:sz w:val="32"/>
          <w:szCs w:val="24"/>
          <w:lang w:val="en"/>
        </w:rPr>
        <w:t xml:space="preserve">The aim of the present project is </w:t>
      </w:r>
      <w:r>
        <w:rPr>
          <w:rFonts w:hint="default" w:eastAsia="Times New Roman"/>
          <w:sz w:val="32"/>
          <w:szCs w:val="24"/>
          <w:lang w:val="en-US"/>
        </w:rPr>
        <w:t xml:space="preserve">to </w:t>
      </w:r>
      <w:r>
        <w:rPr>
          <w:rFonts w:hint="default" w:eastAsia="Times New Roman"/>
          <w:b/>
          <w:bCs/>
          <w:sz w:val="32"/>
          <w:szCs w:val="24"/>
          <w:lang w:val="en-US"/>
        </w:rPr>
        <w:t>for assessing health-related quality of life and symptoms in brain cancer patients</w:t>
      </w:r>
      <w:r>
        <w:rPr>
          <w:rFonts w:hint="default" w:eastAsia="Times New Roman"/>
          <w:sz w:val="32"/>
          <w:szCs w:val="24"/>
          <w:lang w:val="en-US"/>
        </w:rPr>
        <w:t xml:space="preserve"> using R.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32"/>
          <w:lang w:val="en"/>
        </w:rPr>
      </w:pPr>
      <w:r>
        <w:rPr>
          <w:rFonts w:hint="default" w:ascii="Calibri" w:hAnsi="Calibri" w:eastAsia="Calibri"/>
          <w:b/>
          <w:sz w:val="32"/>
          <w:szCs w:val="32"/>
          <w:lang w:val="en"/>
        </w:rPr>
        <w:t xml:space="preserve">In-Details </w:t>
      </w:r>
      <w:r>
        <w:rPr>
          <w:rFonts w:hint="default" w:ascii="Calibri" w:hAnsi="Calibri" w:eastAsia="Calibri"/>
          <w:sz w:val="32"/>
          <w:szCs w:val="32"/>
          <w:lang w:val="en"/>
        </w:rPr>
        <w:t>:</w:t>
      </w:r>
    </w:p>
    <w:p>
      <w:pPr>
        <w:spacing w:beforeLines="0" w:after="200" w:afterLines="0" w:line="276" w:lineRule="auto"/>
        <w:jc w:val="left"/>
        <w:rPr>
          <w:rFonts w:hint="default" w:ascii="Georgia" w:hAnsi="Georgia" w:eastAsia="Georgia" w:cs="Georgia"/>
          <w:i w:val="0"/>
          <w:caps w:val="0"/>
          <w:color w:val="2E2E2E"/>
          <w:spacing w:val="0"/>
          <w:sz w:val="21"/>
          <w:szCs w:val="21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E2E2E"/>
          <w:spacing w:val="0"/>
          <w:sz w:val="21"/>
          <w:szCs w:val="21"/>
          <w:lang w:val="en-US"/>
        </w:rPr>
        <w:t>B</w:t>
      </w:r>
      <w:r>
        <w:rPr>
          <w:rFonts w:hint="default" w:ascii="Georgia" w:hAnsi="Georgia" w:eastAsia="Georgia" w:cs="Georgia"/>
          <w:i w:val="0"/>
          <w:caps w:val="0"/>
          <w:color w:val="2E2E2E"/>
          <w:spacing w:val="0"/>
          <w:sz w:val="21"/>
          <w:szCs w:val="21"/>
        </w:rPr>
        <w:t>rain tumours is low compared to other common cancer sites such as lung</w:t>
      </w:r>
      <w:r>
        <w:rPr>
          <w:rFonts w:hint="default" w:ascii="Georgia" w:hAnsi="Georgia" w:eastAsia="Georgia" w:cs="Georgia"/>
          <w:i w:val="0"/>
          <w:caps w:val="0"/>
          <w:color w:val="2E2E2E"/>
          <w:spacing w:val="0"/>
          <w:sz w:val="21"/>
          <w:szCs w:val="21"/>
          <w:lang w:val="en-US"/>
        </w:rPr>
        <w:t xml:space="preserve"> and liver cancer.</w:t>
      </w:r>
    </w:p>
    <w:p>
      <w:pPr>
        <w:spacing w:beforeLines="0" w:after="200" w:afterLines="0" w:line="276" w:lineRule="auto"/>
        <w:jc w:val="left"/>
        <w:rPr>
          <w:rFonts w:hint="default" w:ascii="Georgia" w:hAnsi="Georgia" w:eastAsia="Georgia" w:cs="Georgia"/>
          <w:i w:val="0"/>
          <w:caps w:val="0"/>
          <w:color w:val="2E2E2E"/>
          <w:spacing w:val="0"/>
          <w:sz w:val="21"/>
          <w:szCs w:val="21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E2E2E"/>
          <w:spacing w:val="0"/>
          <w:sz w:val="21"/>
          <w:szCs w:val="21"/>
        </w:rPr>
        <w:t>Treatment of brain cancer remains a challenge despite recent improvements in surgery and multimodal adjuvant therapy. Drug therapies of brain cancer have been particularly inefficient, due to the blood–brain barrier and the non-specificity of the potentially toxic drugs.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bCs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bCs/>
          <w:sz w:val="28"/>
          <w:szCs w:val="24"/>
          <w:lang w:val="en-US"/>
        </w:rPr>
        <w:t xml:space="preserve">References: </w:t>
      </w:r>
      <w:r>
        <w:rPr>
          <w:rFonts w:hint="default" w:ascii="Calibri" w:hAnsi="Calibri" w:eastAsia="Calibri"/>
          <w:b/>
          <w:bCs/>
          <w:sz w:val="28"/>
          <w:szCs w:val="24"/>
          <w:lang w:val="en-US"/>
        </w:rPr>
        <w:fldChar w:fldCharType="begin"/>
      </w:r>
      <w:r>
        <w:rPr>
          <w:rFonts w:hint="default" w:ascii="Calibri" w:hAnsi="Calibri" w:eastAsia="Calibri"/>
          <w:b/>
          <w:bCs/>
          <w:sz w:val="28"/>
          <w:szCs w:val="24"/>
          <w:lang w:val="en-US"/>
        </w:rPr>
        <w:instrText xml:space="preserve"> HYPERLINK "https://www.sciencedirect.com/science/article/pii/S0959804910000316" </w:instrText>
      </w:r>
      <w:r>
        <w:rPr>
          <w:rFonts w:hint="default" w:ascii="Calibri" w:hAnsi="Calibri" w:eastAsia="Calibri"/>
          <w:b/>
          <w:bCs/>
          <w:sz w:val="28"/>
          <w:szCs w:val="24"/>
          <w:lang w:val="en-US"/>
        </w:rPr>
        <w:fldChar w:fldCharType="separate"/>
      </w:r>
      <w:r>
        <w:rPr>
          <w:rStyle w:val="5"/>
          <w:rFonts w:hint="default" w:ascii="Calibri" w:hAnsi="Calibri" w:eastAsia="Calibri"/>
          <w:b/>
          <w:bCs/>
          <w:sz w:val="28"/>
          <w:szCs w:val="24"/>
          <w:lang w:val="en-US"/>
        </w:rPr>
        <w:t>https://www.sciencedirect.com/science/article/pii/S0959804910000316</w:t>
      </w:r>
      <w:r>
        <w:rPr>
          <w:rFonts w:hint="default" w:ascii="Calibri" w:hAnsi="Calibri" w:eastAsia="Calibri"/>
          <w:b/>
          <w:bCs/>
          <w:sz w:val="28"/>
          <w:szCs w:val="24"/>
          <w:lang w:val="en-US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fldChar w:fldCharType="begin"/>
      </w:r>
      <w:r>
        <w:rPr>
          <w:rFonts w:hint="default" w:ascii="Calibri" w:hAnsi="Calibri" w:eastAsia="Calibri"/>
          <w:b/>
          <w:sz w:val="28"/>
          <w:szCs w:val="24"/>
          <w:lang w:val="en"/>
        </w:rPr>
        <w:instrText xml:space="preserve"> HYPERLINK "https://www.cancer.gov/news-events/cancer-currents-blog/2020/microsatellite-instability-cancer-wrn" </w:instrText>
      </w:r>
      <w:r>
        <w:rPr>
          <w:rFonts w:hint="default" w:ascii="Calibri" w:hAnsi="Calibri" w:eastAsia="Calibri"/>
          <w:b/>
          <w:sz w:val="28"/>
          <w:szCs w:val="24"/>
          <w:lang w:val="en"/>
        </w:rPr>
        <w:fldChar w:fldCharType="separate"/>
      </w:r>
      <w:r>
        <w:rPr>
          <w:rStyle w:val="5"/>
          <w:rFonts w:hint="default" w:ascii="Calibri" w:hAnsi="Calibri" w:eastAsia="Calibri"/>
          <w:b/>
          <w:sz w:val="28"/>
          <w:szCs w:val="24"/>
          <w:lang w:val="en"/>
        </w:rPr>
        <w:t>https://www.cancer.gov/news-events/cancer-currents-blog/2020/microsatellite-instability-cancer-wrn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DataSets: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 Kaggle-data sets </w:t>
      </w:r>
      <w:r>
        <w:rPr>
          <w:rFonts w:hint="default" w:ascii="Calibri" w:hAnsi="Calibri" w:eastAsia="Calibri"/>
          <w:sz w:val="28"/>
          <w:szCs w:val="24"/>
          <w:lang w:val="en-US"/>
        </w:rPr>
        <w:t>(here are the samples)</w:t>
      </w:r>
      <w:r>
        <w:rPr>
          <w:rFonts w:hint="default" w:ascii="Calibri" w:hAnsi="Calibri" w:eastAsia="Calibri"/>
          <w:sz w:val="28"/>
          <w:szCs w:val="24"/>
          <w:lang w:val="en-US"/>
        </w:rPr>
        <w:drawing>
          <wp:inline distT="0" distB="0" distL="114300" distR="114300">
            <wp:extent cx="8990330" cy="3152775"/>
            <wp:effectExtent l="0" t="0" r="1270" b="1905"/>
            <wp:docPr id="2" name="Picture 2" descr="Screenshot (9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03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sz w:val="32"/>
          <w:szCs w:val="32"/>
          <w:lang w:val="en"/>
        </w:rPr>
        <w:t xml:space="preserve">Conclusion: </w:t>
      </w:r>
      <w:r>
        <w:rPr>
          <w:rFonts w:hint="default" w:ascii="Calibri" w:hAnsi="Calibri" w:eastAsia="Calibri"/>
          <w:b/>
          <w:sz w:val="32"/>
          <w:szCs w:val="32"/>
          <w:lang w:val="en-US"/>
        </w:rPr>
        <w:t xml:space="preserve">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 xml:space="preserve">Finally project suggest the </w:t>
      </w:r>
      <w:r>
        <w:rPr>
          <w:rFonts w:hint="default" w:ascii="Calibri" w:hAnsi="Calibri" w:eastAsia="Calibri"/>
          <w:sz w:val="28"/>
          <w:szCs w:val="24"/>
          <w:lang w:val="en-US"/>
        </w:rPr>
        <w:t>patient with predictive results from the past and would help the People in immediate treatment at an early stage.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-US"/>
        </w:rPr>
      </w:pPr>
      <w:r>
        <w:rPr>
          <w:rFonts w:hint="default" w:ascii="Calibri" w:hAnsi="Calibri" w:eastAsia="Calibri"/>
          <w:i/>
          <w:iCs/>
          <w:sz w:val="28"/>
          <w:szCs w:val="24"/>
          <w:lang w:val="en-US"/>
        </w:rPr>
        <w:t>Prevention is better than cure</w:t>
      </w:r>
      <w:r>
        <w:rPr>
          <w:rFonts w:hint="default" w:ascii="Calibri" w:hAnsi="Calibri" w:eastAsia="Calibri"/>
          <w:sz w:val="28"/>
          <w:szCs w:val="24"/>
          <w:lang w:val="en-US"/>
        </w:rPr>
        <w:t xml:space="preserve">  </w:t>
      </w:r>
      <w:r>
        <w:rPr>
          <w:rFonts w:hint="default" w:ascii="Calibri" w:hAnsi="Calibri" w:eastAsia="Calibri"/>
          <w:sz w:val="24"/>
          <w:szCs w:val="24"/>
          <w:lang w:val="en-US"/>
        </w:rPr>
        <w:t>(not just for medicine it works in an attack too)</w:t>
      </w:r>
    </w:p>
    <w:p/>
    <w:p/>
    <w:p/>
    <w:p/>
    <w:p/>
    <w:p>
      <w:pPr>
        <w:jc w:val="left"/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By:</w:t>
      </w:r>
    </w:p>
    <w:p>
      <w:pPr>
        <w:wordWrap/>
        <w:jc w:val="left"/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180060010  Kvssk.Pradeep</w:t>
      </w:r>
    </w:p>
    <w:p>
      <w:pPr>
        <w:wordWrap/>
        <w:jc w:val="left"/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180050001 K.Gnanedra</w:t>
      </w:r>
      <w:bookmarkStart w:id="0" w:name="_GoBack"/>
      <w:bookmarkEnd w:id="0"/>
    </w:p>
    <w:p>
      <w:pPr>
        <w:wordWrap/>
        <w:jc w:val="left"/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180050050  D.Uday Kiran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45BF7"/>
    <w:rsid w:val="7324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2020-10-06T03:39:00Z</dcterms:created>
  <dc:creator>DELL</dc:creator>
  <cp:lastModifiedBy>DELL</cp:lastModifiedBy>
  <dcterms:modified xsi:type="dcterms:W3CDTF">2020-10-06T03:48:42Z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