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shd w:val="clear" w:color="auto" w:fill="1A3A5C"/>
      </w:pPr>
      <w:r>
        <w:rPr>
          <w:sz w:val="12"/>
        </w:rPr>
        <w:t xml:space="preserve"> </w:t>
      </w:r>
    </w:p>
    <w:p/>
    <w:p>
      <w:pPr>
        <w:jc w:val="center"/>
      </w:pPr>
      <w:r>
        <w:rPr>
          <w:b/>
          <w:color w:val="1A3A5C"/>
          <w:sz w:val="56"/>
        </w:rPr>
        <w:t>Customer Churn Prediction</w:t>
      </w:r>
    </w:p>
    <w:p>
      <w:pPr>
        <w:jc w:val="center"/>
      </w:pPr>
      <w:r>
        <w:rPr>
          <w:color w:val="7F8C8D"/>
          <w:sz w:val="32"/>
        </w:rPr>
        <w:t>Minor Project Report</w:t>
      </w:r>
    </w:p>
    <w:p/>
    <w:p>
      <w:pPr>
        <w:jc w:val="center"/>
      </w:pPr>
      <w:r>
        <w:drawing>
          <wp:inline xmlns:a="http://schemas.openxmlformats.org/drawingml/2006/main" xmlns:pic="http://schemas.openxmlformats.org/drawingml/2006/picture">
            <wp:extent cx="5029200" cy="4520578"/>
            <wp:docPr id="1" name="Picture 1"/>
            <wp:cNvGraphicFramePr>
              <a:graphicFrameLocks noChangeAspect="1"/>
            </wp:cNvGraphicFramePr>
            <a:graphic>
              <a:graphicData uri="http://schemas.openxmlformats.org/drawingml/2006/picture">
                <pic:pic>
                  <pic:nvPicPr>
                    <pic:cNvPr id="0" name="churn_dashboard.png"/>
                    <pic:cNvPicPr/>
                  </pic:nvPicPr>
                  <pic:blipFill>
                    <a:blip r:embed="rId9"/>
                    <a:stretch>
                      <a:fillRect/>
                    </a:stretch>
                  </pic:blipFill>
                  <pic:spPr>
                    <a:xfrm>
                      <a:off x="0" y="0"/>
                      <a:ext cx="5029200" cy="4520578"/>
                    </a:xfrm>
                    <a:prstGeom prst="rect"/>
                  </pic:spPr>
                </pic:pic>
              </a:graphicData>
            </a:graphic>
          </wp:inline>
        </w:drawing>
      </w:r>
    </w:p>
    <w:p/>
    <w:tbl>
      <w:tblPr>
        <w:tblStyle w:val="TableGrid"/>
        <w:tblW w:type="auto" w:w="0"/>
        <w:jc w:val="center"/>
        <w:tblLook w:firstColumn="1" w:firstRow="1" w:lastColumn="0" w:lastRow="0" w:noHBand="0" w:noVBand="1" w:val="04A0"/>
      </w:tblPr>
      <w:tblGrid>
        <w:gridCol w:w="4392"/>
        <w:gridCol w:w="4392"/>
      </w:tblGrid>
      <w:tr>
        <w:tc>
          <w:tcPr>
            <w:tcW w:type="dxa" w:w="4392"/>
            <w:tcBorders>
              <w:top w:val="single" w:sz="4" w:space="0" w:color="CCCCCC"/>
              <w:left w:val="single" w:sz="4" w:space="0" w:color="CCCCCC"/>
              <w:bottom w:val="single" w:sz="4" w:space="0" w:color="CCCCCC"/>
              <w:right w:val="single" w:sz="4" w:space="0" w:color="CCCCCC"/>
            </w:tcBorders>
            <w:shd w:val="clear" w:color="auto" w:fill="D6E4F0"/>
          </w:tcPr>
          <w:p>
            <w:r>
              <w:rPr>
                <w:b/>
                <w:color w:val="1A3A5C"/>
              </w:rPr>
              <w:t>Project Type</w:t>
            </w:r>
          </w:p>
        </w:tc>
        <w:tc>
          <w:tcPr>
            <w:tcW w:type="dxa" w:w="4392"/>
            <w:tcBorders>
              <w:top w:val="single" w:sz="4" w:space="0" w:color="CCCCCC"/>
              <w:left w:val="single" w:sz="4" w:space="0" w:color="CCCCCC"/>
              <w:bottom w:val="single" w:sz="4" w:space="0" w:color="CCCCCC"/>
              <w:right w:val="single" w:sz="4" w:space="0" w:color="CCCCCC"/>
            </w:tcBorders>
          </w:tcPr>
          <w:p>
            <w:r>
              <w:t>Minor Project — Data Analytics Course</w:t>
            </w:r>
          </w:p>
        </w:tc>
      </w:tr>
      <w:tr>
        <w:tc>
          <w:tcPr>
            <w:tcW w:type="dxa" w:w="4392"/>
            <w:tcBorders>
              <w:top w:val="single" w:sz="4" w:space="0" w:color="CCCCCC"/>
              <w:left w:val="single" w:sz="4" w:space="0" w:color="CCCCCC"/>
              <w:bottom w:val="single" w:sz="4" w:space="0" w:color="CCCCCC"/>
              <w:right w:val="single" w:sz="4" w:space="0" w:color="CCCCCC"/>
            </w:tcBorders>
            <w:shd w:val="clear" w:color="auto" w:fill="D6E4F0"/>
          </w:tcPr>
          <w:p>
            <w:r>
              <w:rPr>
                <w:b/>
                <w:color w:val="1A3A5C"/>
              </w:rPr>
              <w:t>Tech Stack</w:t>
            </w:r>
          </w:p>
        </w:tc>
        <w:tc>
          <w:tcPr>
            <w:tcW w:type="dxa" w:w="4392"/>
            <w:tcBorders>
              <w:top w:val="single" w:sz="4" w:space="0" w:color="CCCCCC"/>
              <w:left w:val="single" w:sz="4" w:space="0" w:color="CCCCCC"/>
              <w:bottom w:val="single" w:sz="4" w:space="0" w:color="CCCCCC"/>
              <w:right w:val="single" w:sz="4" w:space="0" w:color="CCCCCC"/>
            </w:tcBorders>
          </w:tcPr>
          <w:p>
            <w:r>
              <w:t>Python · Pandas · Scikit-learn · Logistic Regression</w:t>
            </w:r>
          </w:p>
        </w:tc>
      </w:tr>
      <w:tr>
        <w:tc>
          <w:tcPr>
            <w:tcW w:type="dxa" w:w="4392"/>
            <w:tcBorders>
              <w:top w:val="single" w:sz="4" w:space="0" w:color="CCCCCC"/>
              <w:left w:val="single" w:sz="4" w:space="0" w:color="CCCCCC"/>
              <w:bottom w:val="single" w:sz="4" w:space="0" w:color="CCCCCC"/>
              <w:right w:val="single" w:sz="4" w:space="0" w:color="CCCCCC"/>
            </w:tcBorders>
            <w:shd w:val="clear" w:color="auto" w:fill="D6E4F0"/>
          </w:tcPr>
          <w:p>
            <w:r>
              <w:rPr>
                <w:b/>
                <w:color w:val="1A3A5C"/>
              </w:rPr>
              <w:t>Dataset</w:t>
            </w:r>
          </w:p>
        </w:tc>
        <w:tc>
          <w:tcPr>
            <w:tcW w:type="dxa" w:w="4392"/>
            <w:tcBorders>
              <w:top w:val="single" w:sz="4" w:space="0" w:color="CCCCCC"/>
              <w:left w:val="single" w:sz="4" w:space="0" w:color="CCCCCC"/>
              <w:bottom w:val="single" w:sz="4" w:space="0" w:color="CCCCCC"/>
              <w:right w:val="single" w:sz="4" w:space="0" w:color="CCCCCC"/>
            </w:tcBorders>
          </w:tcPr>
          <w:p>
            <w:r>
              <w:t>1,000 synthetic customer records · 11 features</w:t>
            </w:r>
          </w:p>
        </w:tc>
      </w:tr>
      <w:tr>
        <w:tc>
          <w:tcPr>
            <w:tcW w:type="dxa" w:w="4392"/>
            <w:tcBorders>
              <w:top w:val="single" w:sz="4" w:space="0" w:color="CCCCCC"/>
              <w:left w:val="single" w:sz="4" w:space="0" w:color="CCCCCC"/>
              <w:bottom w:val="single" w:sz="4" w:space="0" w:color="CCCCCC"/>
              <w:right w:val="single" w:sz="4" w:space="0" w:color="CCCCCC"/>
            </w:tcBorders>
            <w:shd w:val="clear" w:color="auto" w:fill="D6E4F0"/>
          </w:tcPr>
          <w:p>
            <w:r>
              <w:rPr>
                <w:b/>
                <w:color w:val="1A3A5C"/>
              </w:rPr>
              <w:t>Model Result</w:t>
            </w:r>
          </w:p>
        </w:tc>
        <w:tc>
          <w:tcPr>
            <w:tcW w:type="dxa" w:w="4392"/>
            <w:tcBorders>
              <w:top w:val="single" w:sz="4" w:space="0" w:color="CCCCCC"/>
              <w:left w:val="single" w:sz="4" w:space="0" w:color="CCCCCC"/>
              <w:bottom w:val="single" w:sz="4" w:space="0" w:color="CCCCCC"/>
              <w:right w:val="single" w:sz="4" w:space="0" w:color="CCCCCC"/>
            </w:tcBorders>
          </w:tcPr>
          <w:p>
            <w:r>
              <w:t>Accuracy: 66.0% · ROC-AUC: 0.716</w:t>
            </w:r>
          </w:p>
        </w:tc>
      </w:tr>
    </w:tbl>
    <w:p>
      <w:r>
        <w:br w:type="page"/>
      </w:r>
    </w:p>
    <w:p>
      <w:pPr>
        <w:pStyle w:val="Heading1"/>
      </w:pPr>
      <w:r>
        <w:rPr>
          <w:color w:val="1A3A5C"/>
        </w:rPr>
        <w:t>1. Introduction</w:t>
      </w:r>
    </w:p>
    <w:p>
      <w:r>
        <w:t>Customer churn — the decision by a customer to stop using a company's product or service — is one of the most costly problems facing subscription-based businesses. Acquiring a new customer can cost five to seven times more than retaining an existing one. Therefore, being able to predict which customers are at risk of churning, and acting proactively to retain them, can have a significant impact on profitability.</w:t>
      </w:r>
    </w:p>
    <w:p>
      <w:r>
        <w:t>This project builds a binary classification model using Logistic Regression to predict whether a customer will churn based on features such as tenure, contract type, monthly charges, internet service type, and number of support calls.</w:t>
      </w:r>
    </w:p>
    <w:p>
      <w:pPr>
        <w:pStyle w:val="Heading1"/>
      </w:pPr>
      <w:r>
        <w:rPr>
          <w:color w:val="1A3A5C"/>
        </w:rPr>
        <w:t>2. Project Objectives</w:t>
      </w:r>
    </w:p>
    <w:p>
      <w:pPr>
        <w:pStyle w:val="ListBullet"/>
      </w:pPr>
      <w:r>
        <w:t>Generate and explore a realistic synthetic customer dataset.</w:t>
      </w:r>
    </w:p>
    <w:p>
      <w:pPr>
        <w:pStyle w:val="ListBullet"/>
      </w:pPr>
      <w:r>
        <w:t>Perform data preprocessing and feature engineering.</w:t>
      </w:r>
    </w:p>
    <w:p>
      <w:pPr>
        <w:pStyle w:val="ListBullet"/>
      </w:pPr>
      <w:r>
        <w:t>Build and evaluate a Logistic Regression model for churn prediction.</w:t>
      </w:r>
    </w:p>
    <w:p>
      <w:pPr>
        <w:pStyle w:val="ListBullet"/>
      </w:pPr>
      <w:r>
        <w:t>Identify the most influential features driving customer churn.</w:t>
      </w:r>
    </w:p>
    <w:p>
      <w:pPr>
        <w:pStyle w:val="ListBullet"/>
      </w:pPr>
      <w:r>
        <w:t>Visualise key findings in an analytical dashboard.</w:t>
      </w:r>
    </w:p>
    <w:p>
      <w:pPr>
        <w:pStyle w:val="ListBullet"/>
      </w:pPr>
      <w:r>
        <w:t>Provide actionable business recommendations based on model insights.</w:t>
      </w:r>
    </w:p>
    <w:p>
      <w:pPr>
        <w:pStyle w:val="Heading1"/>
      </w:pPr>
      <w:r>
        <w:rPr>
          <w:color w:val="1A3A5C"/>
        </w:rPr>
        <w:t>3. Technology Stack</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rPr>
              <w:t>Technology</w:t>
            </w:r>
          </w:p>
        </w:tc>
        <w:tc>
          <w:tcPr>
            <w:tcW w:type="dxa" w:w="2928"/>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rPr>
              <w:t>Version / Tool</w:t>
            </w:r>
          </w:p>
        </w:tc>
        <w:tc>
          <w:tcPr>
            <w:tcW w:type="dxa" w:w="2928"/>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rPr>
              <w:t>Purpose</w:t>
            </w:r>
          </w:p>
        </w:tc>
      </w:tr>
      <w:tr>
        <w:tc>
          <w:tcPr>
            <w:tcW w:type="dxa" w:w="2928"/>
            <w:tcBorders>
              <w:top w:val="single" w:sz="4" w:space="0" w:color="CCCCCC"/>
              <w:left w:val="single" w:sz="4" w:space="0" w:color="CCCCCC"/>
              <w:bottom w:val="single" w:sz="4" w:space="0" w:color="CCCCCC"/>
              <w:right w:val="single" w:sz="4" w:space="0" w:color="CCCCCC"/>
            </w:tcBorders>
          </w:tcPr>
          <w:p>
            <w:r>
              <w:rPr>
                <w:b/>
              </w:rPr>
              <w:t>Python</w:t>
            </w:r>
          </w:p>
        </w:tc>
        <w:tc>
          <w:tcPr>
            <w:tcW w:type="dxa" w:w="2928"/>
            <w:tcBorders>
              <w:top w:val="single" w:sz="4" w:space="0" w:color="CCCCCC"/>
              <w:left w:val="single" w:sz="4" w:space="0" w:color="CCCCCC"/>
              <w:bottom w:val="single" w:sz="4" w:space="0" w:color="CCCCCC"/>
              <w:right w:val="single" w:sz="4" w:space="0" w:color="CCCCCC"/>
            </w:tcBorders>
          </w:tcPr>
          <w:p>
            <w:r>
              <w:t>3.x</w:t>
            </w:r>
          </w:p>
        </w:tc>
        <w:tc>
          <w:tcPr>
            <w:tcW w:type="dxa" w:w="2928"/>
            <w:tcBorders>
              <w:top w:val="single" w:sz="4" w:space="0" w:color="CCCCCC"/>
              <w:left w:val="single" w:sz="4" w:space="0" w:color="CCCCCC"/>
              <w:bottom w:val="single" w:sz="4" w:space="0" w:color="CCCCCC"/>
              <w:right w:val="single" w:sz="4" w:space="0" w:color="CCCCCC"/>
            </w:tcBorders>
          </w:tcPr>
          <w:p>
            <w:r>
              <w:t>Core programming language</w:t>
            </w:r>
          </w:p>
        </w:tc>
      </w:tr>
      <w:tr>
        <w:tc>
          <w:tcPr>
            <w:tcW w:type="dxa" w:w="2928"/>
            <w:tcBorders>
              <w:top w:val="single" w:sz="4" w:space="0" w:color="CCCCCC"/>
              <w:left w:val="single" w:sz="4" w:space="0" w:color="CCCCCC"/>
              <w:bottom w:val="single" w:sz="4" w:space="0" w:color="CCCCCC"/>
              <w:right w:val="single" w:sz="4" w:space="0" w:color="CCCCCC"/>
            </w:tcBorders>
          </w:tcPr>
          <w:p>
            <w:r>
              <w:rPr>
                <w:b/>
              </w:rPr>
              <w:t>Pandas</w:t>
            </w:r>
          </w:p>
        </w:tc>
        <w:tc>
          <w:tcPr>
            <w:tcW w:type="dxa" w:w="2928"/>
            <w:tcBorders>
              <w:top w:val="single" w:sz="4" w:space="0" w:color="CCCCCC"/>
              <w:left w:val="single" w:sz="4" w:space="0" w:color="CCCCCC"/>
              <w:bottom w:val="single" w:sz="4" w:space="0" w:color="CCCCCC"/>
              <w:right w:val="single" w:sz="4" w:space="0" w:color="CCCCCC"/>
            </w:tcBorders>
          </w:tcPr>
          <w:p>
            <w:r>
              <w:t>2.x</w:t>
            </w:r>
          </w:p>
        </w:tc>
        <w:tc>
          <w:tcPr>
            <w:tcW w:type="dxa" w:w="2928"/>
            <w:tcBorders>
              <w:top w:val="single" w:sz="4" w:space="0" w:color="CCCCCC"/>
              <w:left w:val="single" w:sz="4" w:space="0" w:color="CCCCCC"/>
              <w:bottom w:val="single" w:sz="4" w:space="0" w:color="CCCCCC"/>
              <w:right w:val="single" w:sz="4" w:space="0" w:color="CCCCCC"/>
            </w:tcBorders>
          </w:tcPr>
          <w:p>
            <w:r>
              <w:t>Data loading, cleaning, EDA</w:t>
            </w:r>
          </w:p>
        </w:tc>
      </w:tr>
      <w:tr>
        <w:tc>
          <w:tcPr>
            <w:tcW w:type="dxa" w:w="2928"/>
            <w:tcBorders>
              <w:top w:val="single" w:sz="4" w:space="0" w:color="CCCCCC"/>
              <w:left w:val="single" w:sz="4" w:space="0" w:color="CCCCCC"/>
              <w:bottom w:val="single" w:sz="4" w:space="0" w:color="CCCCCC"/>
              <w:right w:val="single" w:sz="4" w:space="0" w:color="CCCCCC"/>
            </w:tcBorders>
          </w:tcPr>
          <w:p>
            <w:r>
              <w:rPr>
                <w:b/>
              </w:rPr>
              <w:t>NumPy</w:t>
            </w:r>
          </w:p>
        </w:tc>
        <w:tc>
          <w:tcPr>
            <w:tcW w:type="dxa" w:w="2928"/>
            <w:tcBorders>
              <w:top w:val="single" w:sz="4" w:space="0" w:color="CCCCCC"/>
              <w:left w:val="single" w:sz="4" w:space="0" w:color="CCCCCC"/>
              <w:bottom w:val="single" w:sz="4" w:space="0" w:color="CCCCCC"/>
              <w:right w:val="single" w:sz="4" w:space="0" w:color="CCCCCC"/>
            </w:tcBorders>
          </w:tcPr>
          <w:p>
            <w:r>
              <w:t>1.x</w:t>
            </w:r>
          </w:p>
        </w:tc>
        <w:tc>
          <w:tcPr>
            <w:tcW w:type="dxa" w:w="2928"/>
            <w:tcBorders>
              <w:top w:val="single" w:sz="4" w:space="0" w:color="CCCCCC"/>
              <w:left w:val="single" w:sz="4" w:space="0" w:color="CCCCCC"/>
              <w:bottom w:val="single" w:sz="4" w:space="0" w:color="CCCCCC"/>
              <w:right w:val="single" w:sz="4" w:space="0" w:color="CCCCCC"/>
            </w:tcBorders>
          </w:tcPr>
          <w:p>
            <w:r>
              <w:t>Numerical operations</w:t>
            </w:r>
          </w:p>
        </w:tc>
      </w:tr>
      <w:tr>
        <w:tc>
          <w:tcPr>
            <w:tcW w:type="dxa" w:w="2928"/>
            <w:tcBorders>
              <w:top w:val="single" w:sz="4" w:space="0" w:color="CCCCCC"/>
              <w:left w:val="single" w:sz="4" w:space="0" w:color="CCCCCC"/>
              <w:bottom w:val="single" w:sz="4" w:space="0" w:color="CCCCCC"/>
              <w:right w:val="single" w:sz="4" w:space="0" w:color="CCCCCC"/>
            </w:tcBorders>
          </w:tcPr>
          <w:p>
            <w:r>
              <w:rPr>
                <w:b/>
              </w:rPr>
              <w:t>Scikit-learn</w:t>
            </w:r>
          </w:p>
        </w:tc>
        <w:tc>
          <w:tcPr>
            <w:tcW w:type="dxa" w:w="2928"/>
            <w:tcBorders>
              <w:top w:val="single" w:sz="4" w:space="0" w:color="CCCCCC"/>
              <w:left w:val="single" w:sz="4" w:space="0" w:color="CCCCCC"/>
              <w:bottom w:val="single" w:sz="4" w:space="0" w:color="CCCCCC"/>
              <w:right w:val="single" w:sz="4" w:space="0" w:color="CCCCCC"/>
            </w:tcBorders>
          </w:tcPr>
          <w:p>
            <w:r>
              <w:t>1.x</w:t>
            </w:r>
          </w:p>
        </w:tc>
        <w:tc>
          <w:tcPr>
            <w:tcW w:type="dxa" w:w="2928"/>
            <w:tcBorders>
              <w:top w:val="single" w:sz="4" w:space="0" w:color="CCCCCC"/>
              <w:left w:val="single" w:sz="4" w:space="0" w:color="CCCCCC"/>
              <w:bottom w:val="single" w:sz="4" w:space="0" w:color="CCCCCC"/>
              <w:right w:val="single" w:sz="4" w:space="0" w:color="CCCCCC"/>
            </w:tcBorders>
          </w:tcPr>
          <w:p>
            <w:r>
              <w:t>ML model &amp; evaluation metrics</w:t>
            </w:r>
          </w:p>
        </w:tc>
      </w:tr>
      <w:tr>
        <w:tc>
          <w:tcPr>
            <w:tcW w:type="dxa" w:w="2928"/>
            <w:tcBorders>
              <w:top w:val="single" w:sz="4" w:space="0" w:color="CCCCCC"/>
              <w:left w:val="single" w:sz="4" w:space="0" w:color="CCCCCC"/>
              <w:bottom w:val="single" w:sz="4" w:space="0" w:color="CCCCCC"/>
              <w:right w:val="single" w:sz="4" w:space="0" w:color="CCCCCC"/>
            </w:tcBorders>
          </w:tcPr>
          <w:p>
            <w:r>
              <w:rPr>
                <w:b/>
              </w:rPr>
              <w:t>Matplotlib</w:t>
            </w:r>
          </w:p>
        </w:tc>
        <w:tc>
          <w:tcPr>
            <w:tcW w:type="dxa" w:w="2928"/>
            <w:tcBorders>
              <w:top w:val="single" w:sz="4" w:space="0" w:color="CCCCCC"/>
              <w:left w:val="single" w:sz="4" w:space="0" w:color="CCCCCC"/>
              <w:bottom w:val="single" w:sz="4" w:space="0" w:color="CCCCCC"/>
              <w:right w:val="single" w:sz="4" w:space="0" w:color="CCCCCC"/>
            </w:tcBorders>
          </w:tcPr>
          <w:p>
            <w:r>
              <w:t>3.x</w:t>
            </w:r>
          </w:p>
        </w:tc>
        <w:tc>
          <w:tcPr>
            <w:tcW w:type="dxa" w:w="2928"/>
            <w:tcBorders>
              <w:top w:val="single" w:sz="4" w:space="0" w:color="CCCCCC"/>
              <w:left w:val="single" w:sz="4" w:space="0" w:color="CCCCCC"/>
              <w:bottom w:val="single" w:sz="4" w:space="0" w:color="CCCCCC"/>
              <w:right w:val="single" w:sz="4" w:space="0" w:color="CCCCCC"/>
            </w:tcBorders>
          </w:tcPr>
          <w:p>
            <w:r>
              <w:t>Data visualisation &amp; dashboard</w:t>
            </w:r>
          </w:p>
        </w:tc>
      </w:tr>
      <w:tr>
        <w:tc>
          <w:tcPr>
            <w:tcW w:type="dxa" w:w="2928"/>
            <w:tcBorders>
              <w:top w:val="single" w:sz="4" w:space="0" w:color="CCCCCC"/>
              <w:left w:val="single" w:sz="4" w:space="0" w:color="CCCCCC"/>
              <w:bottom w:val="single" w:sz="4" w:space="0" w:color="CCCCCC"/>
              <w:right w:val="single" w:sz="4" w:space="0" w:color="CCCCCC"/>
            </w:tcBorders>
          </w:tcPr>
          <w:p>
            <w:r>
              <w:rPr>
                <w:b/>
              </w:rPr>
              <w:t>Logistic Reg.</w:t>
            </w:r>
          </w:p>
        </w:tc>
        <w:tc>
          <w:tcPr>
            <w:tcW w:type="dxa" w:w="2928"/>
            <w:tcBorders>
              <w:top w:val="single" w:sz="4" w:space="0" w:color="CCCCCC"/>
              <w:left w:val="single" w:sz="4" w:space="0" w:color="CCCCCC"/>
              <w:bottom w:val="single" w:sz="4" w:space="0" w:color="CCCCCC"/>
              <w:right w:val="single" w:sz="4" w:space="0" w:color="CCCCCC"/>
            </w:tcBorders>
          </w:tcPr>
          <w:p>
            <w:r>
              <w:t>sklearn.linear_model</w:t>
            </w:r>
          </w:p>
        </w:tc>
        <w:tc>
          <w:tcPr>
            <w:tcW w:type="dxa" w:w="2928"/>
            <w:tcBorders>
              <w:top w:val="single" w:sz="4" w:space="0" w:color="CCCCCC"/>
              <w:left w:val="single" w:sz="4" w:space="0" w:color="CCCCCC"/>
              <w:bottom w:val="single" w:sz="4" w:space="0" w:color="CCCCCC"/>
              <w:right w:val="single" w:sz="4" w:space="0" w:color="CCCCCC"/>
            </w:tcBorders>
          </w:tcPr>
          <w:p>
            <w:r>
              <w:t>Binary classification model</w:t>
            </w:r>
          </w:p>
        </w:tc>
      </w:tr>
    </w:tbl>
    <w:p>
      <w:pPr>
        <w:pStyle w:val="Heading1"/>
      </w:pPr>
      <w:r>
        <w:rPr>
          <w:color w:val="1A3A5C"/>
        </w:rPr>
        <w:t>4. Dataset Description</w:t>
      </w:r>
    </w:p>
    <w:p>
      <w:r>
        <w:t>A synthetic dataset of 1,000 customers was generated with realistic churn probabilities derived from real-world business logic (e.g., longer tenure → lower churn; Month-to-Month contracts → higher churn). The dataset contains the following features: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2980B9"/>
            <w:tcBorders>
              <w:top w:val="single" w:sz="4" w:space="0" w:color="2980B9"/>
              <w:left w:val="single" w:sz="4" w:space="0" w:color="2980B9"/>
              <w:bottom w:val="single" w:sz="4" w:space="0" w:color="2980B9"/>
              <w:right w:val="single" w:sz="4" w:space="0" w:color="2980B9"/>
            </w:tcBorders>
          </w:tcPr>
          <w:p>
            <w:r>
              <w:rPr>
                <w:b/>
                <w:color w:val="FFFFFF"/>
              </w:rPr>
              <w:t>Feature</w:t>
            </w:r>
          </w:p>
        </w:tc>
        <w:tc>
          <w:tcPr>
            <w:tcW w:type="dxa" w:w="2928"/>
            <w:shd w:val="clear" w:color="auto" w:fill="2980B9"/>
            <w:tcBorders>
              <w:top w:val="single" w:sz="4" w:space="0" w:color="2980B9"/>
              <w:left w:val="single" w:sz="4" w:space="0" w:color="2980B9"/>
              <w:bottom w:val="single" w:sz="4" w:space="0" w:color="2980B9"/>
              <w:right w:val="single" w:sz="4" w:space="0" w:color="2980B9"/>
            </w:tcBorders>
          </w:tcPr>
          <w:p>
            <w:r>
              <w:rPr>
                <w:b/>
                <w:color w:val="FFFFFF"/>
              </w:rPr>
              <w:t>Type</w:t>
            </w:r>
          </w:p>
        </w:tc>
        <w:tc>
          <w:tcPr>
            <w:tcW w:type="dxa" w:w="2928"/>
            <w:shd w:val="clear" w:color="auto" w:fill="2980B9"/>
            <w:tcBorders>
              <w:top w:val="single" w:sz="4" w:space="0" w:color="2980B9"/>
              <w:left w:val="single" w:sz="4" w:space="0" w:color="2980B9"/>
              <w:bottom w:val="single" w:sz="4" w:space="0" w:color="2980B9"/>
              <w:right w:val="single" w:sz="4" w:space="0" w:color="2980B9"/>
            </w:tcBorders>
          </w:tcPr>
          <w:p>
            <w:r>
              <w:rPr>
                <w:b/>
                <w:color w:val="FFFFFF"/>
              </w:rPr>
              <w:t>Description</w:t>
            </w:r>
          </w:p>
        </w:tc>
      </w:tr>
      <w:tr>
        <w:tc>
          <w:tcPr>
            <w:tcW w:type="dxa" w:w="2928"/>
            <w:tcBorders>
              <w:top w:val="single" w:sz="4" w:space="0" w:color="CCCCCC"/>
              <w:left w:val="single" w:sz="4" w:space="0" w:color="CCCCCC"/>
              <w:bottom w:val="single" w:sz="4" w:space="0" w:color="CCCCCC"/>
              <w:right w:val="single" w:sz="4" w:space="0" w:color="CCCCCC"/>
            </w:tcBorders>
          </w:tcPr>
          <w:p>
            <w:r>
              <w:rPr>
                <w:b/>
              </w:rPr>
              <w:t>Tenure</w:t>
            </w:r>
          </w:p>
        </w:tc>
        <w:tc>
          <w:tcPr>
            <w:tcW w:type="dxa" w:w="2928"/>
            <w:tcBorders>
              <w:top w:val="single" w:sz="4" w:space="0" w:color="CCCCCC"/>
              <w:left w:val="single" w:sz="4" w:space="0" w:color="CCCCCC"/>
              <w:bottom w:val="single" w:sz="4" w:space="0" w:color="CCCCCC"/>
              <w:right w:val="single" w:sz="4" w:space="0" w:color="CCCCCC"/>
            </w:tcBorders>
          </w:tcPr>
          <w:p>
            <w:r>
              <w:t>Numerical</w:t>
            </w:r>
          </w:p>
        </w:tc>
        <w:tc>
          <w:tcPr>
            <w:tcW w:type="dxa" w:w="2928"/>
            <w:tcBorders>
              <w:top w:val="single" w:sz="4" w:space="0" w:color="CCCCCC"/>
              <w:left w:val="single" w:sz="4" w:space="0" w:color="CCCCCC"/>
              <w:bottom w:val="single" w:sz="4" w:space="0" w:color="CCCCCC"/>
              <w:right w:val="single" w:sz="4" w:space="0" w:color="CCCCCC"/>
            </w:tcBorders>
          </w:tcPr>
          <w:p>
            <w:r>
              <w:t>Months customer has been with the company</w:t>
            </w:r>
          </w:p>
        </w:tc>
      </w:tr>
      <w:tr>
        <w:tc>
          <w:tcPr>
            <w:tcW w:type="dxa" w:w="2928"/>
            <w:tcBorders>
              <w:top w:val="single" w:sz="4" w:space="0" w:color="CCCCCC"/>
              <w:left w:val="single" w:sz="4" w:space="0" w:color="CCCCCC"/>
              <w:bottom w:val="single" w:sz="4" w:space="0" w:color="CCCCCC"/>
              <w:right w:val="single" w:sz="4" w:space="0" w:color="CCCCCC"/>
            </w:tcBorders>
          </w:tcPr>
          <w:p>
            <w:r>
              <w:rPr>
                <w:b/>
              </w:rPr>
              <w:t>MonthlyCharges</w:t>
            </w:r>
          </w:p>
        </w:tc>
        <w:tc>
          <w:tcPr>
            <w:tcW w:type="dxa" w:w="2928"/>
            <w:tcBorders>
              <w:top w:val="single" w:sz="4" w:space="0" w:color="CCCCCC"/>
              <w:left w:val="single" w:sz="4" w:space="0" w:color="CCCCCC"/>
              <w:bottom w:val="single" w:sz="4" w:space="0" w:color="CCCCCC"/>
              <w:right w:val="single" w:sz="4" w:space="0" w:color="CCCCCC"/>
            </w:tcBorders>
          </w:tcPr>
          <w:p>
            <w:r>
              <w:t>Numerical</w:t>
            </w:r>
          </w:p>
        </w:tc>
        <w:tc>
          <w:tcPr>
            <w:tcW w:type="dxa" w:w="2928"/>
            <w:tcBorders>
              <w:top w:val="single" w:sz="4" w:space="0" w:color="CCCCCC"/>
              <w:left w:val="single" w:sz="4" w:space="0" w:color="CCCCCC"/>
              <w:bottom w:val="single" w:sz="4" w:space="0" w:color="CCCCCC"/>
              <w:right w:val="single" w:sz="4" w:space="0" w:color="CCCCCC"/>
            </w:tcBorders>
          </w:tcPr>
          <w:p>
            <w:r>
              <w:t>Monthly billing amount in USD</w:t>
            </w:r>
          </w:p>
        </w:tc>
      </w:tr>
      <w:tr>
        <w:tc>
          <w:tcPr>
            <w:tcW w:type="dxa" w:w="2928"/>
            <w:tcBorders>
              <w:top w:val="single" w:sz="4" w:space="0" w:color="CCCCCC"/>
              <w:left w:val="single" w:sz="4" w:space="0" w:color="CCCCCC"/>
              <w:bottom w:val="single" w:sz="4" w:space="0" w:color="CCCCCC"/>
              <w:right w:val="single" w:sz="4" w:space="0" w:color="CCCCCC"/>
            </w:tcBorders>
          </w:tcPr>
          <w:p>
            <w:r>
              <w:rPr>
                <w:b/>
              </w:rPr>
              <w:t>TotalCharges</w:t>
            </w:r>
          </w:p>
        </w:tc>
        <w:tc>
          <w:tcPr>
            <w:tcW w:type="dxa" w:w="2928"/>
            <w:tcBorders>
              <w:top w:val="single" w:sz="4" w:space="0" w:color="CCCCCC"/>
              <w:left w:val="single" w:sz="4" w:space="0" w:color="CCCCCC"/>
              <w:bottom w:val="single" w:sz="4" w:space="0" w:color="CCCCCC"/>
              <w:right w:val="single" w:sz="4" w:space="0" w:color="CCCCCC"/>
            </w:tcBorders>
          </w:tcPr>
          <w:p>
            <w:r>
              <w:t>Numerical</w:t>
            </w:r>
          </w:p>
        </w:tc>
        <w:tc>
          <w:tcPr>
            <w:tcW w:type="dxa" w:w="2928"/>
            <w:tcBorders>
              <w:top w:val="single" w:sz="4" w:space="0" w:color="CCCCCC"/>
              <w:left w:val="single" w:sz="4" w:space="0" w:color="CCCCCC"/>
              <w:bottom w:val="single" w:sz="4" w:space="0" w:color="CCCCCC"/>
              <w:right w:val="single" w:sz="4" w:space="0" w:color="CCCCCC"/>
            </w:tcBorders>
          </w:tcPr>
          <w:p>
            <w:r>
              <w:t>Cumulative charges paid</w:t>
            </w:r>
          </w:p>
        </w:tc>
      </w:tr>
      <w:tr>
        <w:tc>
          <w:tcPr>
            <w:tcW w:type="dxa" w:w="2928"/>
            <w:tcBorders>
              <w:top w:val="single" w:sz="4" w:space="0" w:color="CCCCCC"/>
              <w:left w:val="single" w:sz="4" w:space="0" w:color="CCCCCC"/>
              <w:bottom w:val="single" w:sz="4" w:space="0" w:color="CCCCCC"/>
              <w:right w:val="single" w:sz="4" w:space="0" w:color="CCCCCC"/>
            </w:tcBorders>
          </w:tcPr>
          <w:p>
            <w:r>
              <w:rPr>
                <w:b/>
              </w:rPr>
              <w:t>NumProducts</w:t>
            </w:r>
          </w:p>
        </w:tc>
        <w:tc>
          <w:tcPr>
            <w:tcW w:type="dxa" w:w="2928"/>
            <w:tcBorders>
              <w:top w:val="single" w:sz="4" w:space="0" w:color="CCCCCC"/>
              <w:left w:val="single" w:sz="4" w:space="0" w:color="CCCCCC"/>
              <w:bottom w:val="single" w:sz="4" w:space="0" w:color="CCCCCC"/>
              <w:right w:val="single" w:sz="4" w:space="0" w:color="CCCCCC"/>
            </w:tcBorders>
          </w:tcPr>
          <w:p>
            <w:r>
              <w:t>Numerical</w:t>
            </w:r>
          </w:p>
        </w:tc>
        <w:tc>
          <w:tcPr>
            <w:tcW w:type="dxa" w:w="2928"/>
            <w:tcBorders>
              <w:top w:val="single" w:sz="4" w:space="0" w:color="CCCCCC"/>
              <w:left w:val="single" w:sz="4" w:space="0" w:color="CCCCCC"/>
              <w:bottom w:val="single" w:sz="4" w:space="0" w:color="CCCCCC"/>
              <w:right w:val="single" w:sz="4" w:space="0" w:color="CCCCCC"/>
            </w:tcBorders>
          </w:tcPr>
          <w:p>
            <w:r>
              <w:t>Number of products/services subscribed</w:t>
            </w:r>
          </w:p>
        </w:tc>
      </w:tr>
      <w:tr>
        <w:tc>
          <w:tcPr>
            <w:tcW w:type="dxa" w:w="2928"/>
            <w:tcBorders>
              <w:top w:val="single" w:sz="4" w:space="0" w:color="CCCCCC"/>
              <w:left w:val="single" w:sz="4" w:space="0" w:color="CCCCCC"/>
              <w:bottom w:val="single" w:sz="4" w:space="0" w:color="CCCCCC"/>
              <w:right w:val="single" w:sz="4" w:space="0" w:color="CCCCCC"/>
            </w:tcBorders>
          </w:tcPr>
          <w:p>
            <w:r>
              <w:rPr>
                <w:b/>
              </w:rPr>
              <w:t>SupportCalls</w:t>
            </w:r>
          </w:p>
        </w:tc>
        <w:tc>
          <w:tcPr>
            <w:tcW w:type="dxa" w:w="2928"/>
            <w:tcBorders>
              <w:top w:val="single" w:sz="4" w:space="0" w:color="CCCCCC"/>
              <w:left w:val="single" w:sz="4" w:space="0" w:color="CCCCCC"/>
              <w:bottom w:val="single" w:sz="4" w:space="0" w:color="CCCCCC"/>
              <w:right w:val="single" w:sz="4" w:space="0" w:color="CCCCCC"/>
            </w:tcBorders>
          </w:tcPr>
          <w:p>
            <w:r>
              <w:t>Numerical</w:t>
            </w:r>
          </w:p>
        </w:tc>
        <w:tc>
          <w:tcPr>
            <w:tcW w:type="dxa" w:w="2928"/>
            <w:tcBorders>
              <w:top w:val="single" w:sz="4" w:space="0" w:color="CCCCCC"/>
              <w:left w:val="single" w:sz="4" w:space="0" w:color="CCCCCC"/>
              <w:bottom w:val="single" w:sz="4" w:space="0" w:color="CCCCCC"/>
              <w:right w:val="single" w:sz="4" w:space="0" w:color="CCCCCC"/>
            </w:tcBorders>
          </w:tcPr>
          <w:p>
            <w:r>
              <w:t>Number of customer support interactions</w:t>
            </w:r>
          </w:p>
        </w:tc>
      </w:tr>
      <w:tr>
        <w:tc>
          <w:tcPr>
            <w:tcW w:type="dxa" w:w="2928"/>
            <w:tcBorders>
              <w:top w:val="single" w:sz="4" w:space="0" w:color="CCCCCC"/>
              <w:left w:val="single" w:sz="4" w:space="0" w:color="CCCCCC"/>
              <w:bottom w:val="single" w:sz="4" w:space="0" w:color="CCCCCC"/>
              <w:right w:val="single" w:sz="4" w:space="0" w:color="CCCCCC"/>
            </w:tcBorders>
          </w:tcPr>
          <w:p>
            <w:r>
              <w:rPr>
                <w:b/>
              </w:rPr>
              <w:t>ContractType</w:t>
            </w:r>
          </w:p>
        </w:tc>
        <w:tc>
          <w:tcPr>
            <w:tcW w:type="dxa" w:w="2928"/>
            <w:tcBorders>
              <w:top w:val="single" w:sz="4" w:space="0" w:color="CCCCCC"/>
              <w:left w:val="single" w:sz="4" w:space="0" w:color="CCCCCC"/>
              <w:bottom w:val="single" w:sz="4" w:space="0" w:color="CCCCCC"/>
              <w:right w:val="single" w:sz="4" w:space="0" w:color="CCCCCC"/>
            </w:tcBorders>
          </w:tcPr>
          <w:p>
            <w:r>
              <w:t>Categorical</w:t>
            </w:r>
          </w:p>
        </w:tc>
        <w:tc>
          <w:tcPr>
            <w:tcW w:type="dxa" w:w="2928"/>
            <w:tcBorders>
              <w:top w:val="single" w:sz="4" w:space="0" w:color="CCCCCC"/>
              <w:left w:val="single" w:sz="4" w:space="0" w:color="CCCCCC"/>
              <w:bottom w:val="single" w:sz="4" w:space="0" w:color="CCCCCC"/>
              <w:right w:val="single" w:sz="4" w:space="0" w:color="CCCCCC"/>
            </w:tcBorders>
          </w:tcPr>
          <w:p>
            <w:r>
              <w:t>Month-to-Month / One Year / Two Year</w:t>
            </w:r>
          </w:p>
        </w:tc>
      </w:tr>
      <w:tr>
        <w:tc>
          <w:tcPr>
            <w:tcW w:type="dxa" w:w="2928"/>
            <w:tcBorders>
              <w:top w:val="single" w:sz="4" w:space="0" w:color="CCCCCC"/>
              <w:left w:val="single" w:sz="4" w:space="0" w:color="CCCCCC"/>
              <w:bottom w:val="single" w:sz="4" w:space="0" w:color="CCCCCC"/>
              <w:right w:val="single" w:sz="4" w:space="0" w:color="CCCCCC"/>
            </w:tcBorders>
          </w:tcPr>
          <w:p>
            <w:r>
              <w:rPr>
                <w:b/>
              </w:rPr>
              <w:t>InternetService</w:t>
            </w:r>
          </w:p>
        </w:tc>
        <w:tc>
          <w:tcPr>
            <w:tcW w:type="dxa" w:w="2928"/>
            <w:tcBorders>
              <w:top w:val="single" w:sz="4" w:space="0" w:color="CCCCCC"/>
              <w:left w:val="single" w:sz="4" w:space="0" w:color="CCCCCC"/>
              <w:bottom w:val="single" w:sz="4" w:space="0" w:color="CCCCCC"/>
              <w:right w:val="single" w:sz="4" w:space="0" w:color="CCCCCC"/>
            </w:tcBorders>
          </w:tcPr>
          <w:p>
            <w:r>
              <w:t>Categorical</w:t>
            </w:r>
          </w:p>
        </w:tc>
        <w:tc>
          <w:tcPr>
            <w:tcW w:type="dxa" w:w="2928"/>
            <w:tcBorders>
              <w:top w:val="single" w:sz="4" w:space="0" w:color="CCCCCC"/>
              <w:left w:val="single" w:sz="4" w:space="0" w:color="CCCCCC"/>
              <w:bottom w:val="single" w:sz="4" w:space="0" w:color="CCCCCC"/>
              <w:right w:val="single" w:sz="4" w:space="0" w:color="CCCCCC"/>
            </w:tcBorders>
          </w:tcPr>
          <w:p>
            <w:r>
              <w:t>DSL / Fiber Optic / No internet</w:t>
            </w:r>
          </w:p>
        </w:tc>
      </w:tr>
      <w:tr>
        <w:tc>
          <w:tcPr>
            <w:tcW w:type="dxa" w:w="2928"/>
            <w:tcBorders>
              <w:top w:val="single" w:sz="4" w:space="0" w:color="CCCCCC"/>
              <w:left w:val="single" w:sz="4" w:space="0" w:color="CCCCCC"/>
              <w:bottom w:val="single" w:sz="4" w:space="0" w:color="CCCCCC"/>
              <w:right w:val="single" w:sz="4" w:space="0" w:color="CCCCCC"/>
            </w:tcBorders>
          </w:tcPr>
          <w:p>
            <w:r>
              <w:rPr>
                <w:b/>
              </w:rPr>
              <w:t>PaymentMethod</w:t>
            </w:r>
          </w:p>
        </w:tc>
        <w:tc>
          <w:tcPr>
            <w:tcW w:type="dxa" w:w="2928"/>
            <w:tcBorders>
              <w:top w:val="single" w:sz="4" w:space="0" w:color="CCCCCC"/>
              <w:left w:val="single" w:sz="4" w:space="0" w:color="CCCCCC"/>
              <w:bottom w:val="single" w:sz="4" w:space="0" w:color="CCCCCC"/>
              <w:right w:val="single" w:sz="4" w:space="0" w:color="CCCCCC"/>
            </w:tcBorders>
          </w:tcPr>
          <w:p>
            <w:r>
              <w:t>Categorical</w:t>
            </w:r>
          </w:p>
        </w:tc>
        <w:tc>
          <w:tcPr>
            <w:tcW w:type="dxa" w:w="2928"/>
            <w:tcBorders>
              <w:top w:val="single" w:sz="4" w:space="0" w:color="CCCCCC"/>
              <w:left w:val="single" w:sz="4" w:space="0" w:color="CCCCCC"/>
              <w:bottom w:val="single" w:sz="4" w:space="0" w:color="CCCCCC"/>
              <w:right w:val="single" w:sz="4" w:space="0" w:color="CCCCCC"/>
            </w:tcBorders>
          </w:tcPr>
          <w:p>
            <w:r>
              <w:t>Electronic Check / Mailed Check / etc.</w:t>
            </w:r>
          </w:p>
        </w:tc>
      </w:tr>
      <w:tr>
        <w:tc>
          <w:tcPr>
            <w:tcW w:type="dxa" w:w="2928"/>
            <w:tcBorders>
              <w:top w:val="single" w:sz="4" w:space="0" w:color="CCCCCC"/>
              <w:left w:val="single" w:sz="4" w:space="0" w:color="CCCCCC"/>
              <w:bottom w:val="single" w:sz="4" w:space="0" w:color="CCCCCC"/>
              <w:right w:val="single" w:sz="4" w:space="0" w:color="CCCCCC"/>
            </w:tcBorders>
          </w:tcPr>
          <w:p>
            <w:r>
              <w:rPr>
                <w:b/>
              </w:rPr>
              <w:t>Gender</w:t>
            </w:r>
          </w:p>
        </w:tc>
        <w:tc>
          <w:tcPr>
            <w:tcW w:type="dxa" w:w="2928"/>
            <w:tcBorders>
              <w:top w:val="single" w:sz="4" w:space="0" w:color="CCCCCC"/>
              <w:left w:val="single" w:sz="4" w:space="0" w:color="CCCCCC"/>
              <w:bottom w:val="single" w:sz="4" w:space="0" w:color="CCCCCC"/>
              <w:right w:val="single" w:sz="4" w:space="0" w:color="CCCCCC"/>
            </w:tcBorders>
          </w:tcPr>
          <w:p>
            <w:r>
              <w:t>Categorical</w:t>
            </w:r>
          </w:p>
        </w:tc>
        <w:tc>
          <w:tcPr>
            <w:tcW w:type="dxa" w:w="2928"/>
            <w:tcBorders>
              <w:top w:val="single" w:sz="4" w:space="0" w:color="CCCCCC"/>
              <w:left w:val="single" w:sz="4" w:space="0" w:color="CCCCCC"/>
              <w:bottom w:val="single" w:sz="4" w:space="0" w:color="CCCCCC"/>
              <w:right w:val="single" w:sz="4" w:space="0" w:color="CCCCCC"/>
            </w:tcBorders>
          </w:tcPr>
          <w:p>
            <w:r>
              <w:t>Male / Female</w:t>
            </w:r>
          </w:p>
        </w:tc>
      </w:tr>
      <w:tr>
        <w:tc>
          <w:tcPr>
            <w:tcW w:type="dxa" w:w="2928"/>
            <w:tcBorders>
              <w:top w:val="single" w:sz="4" w:space="0" w:color="CCCCCC"/>
              <w:left w:val="single" w:sz="4" w:space="0" w:color="CCCCCC"/>
              <w:bottom w:val="single" w:sz="4" w:space="0" w:color="CCCCCC"/>
              <w:right w:val="single" w:sz="4" w:space="0" w:color="CCCCCC"/>
            </w:tcBorders>
          </w:tcPr>
          <w:p>
            <w:r>
              <w:rPr>
                <w:b/>
              </w:rPr>
              <w:t>SeniorCitizen</w:t>
            </w:r>
          </w:p>
        </w:tc>
        <w:tc>
          <w:tcPr>
            <w:tcW w:type="dxa" w:w="2928"/>
            <w:tcBorders>
              <w:top w:val="single" w:sz="4" w:space="0" w:color="CCCCCC"/>
              <w:left w:val="single" w:sz="4" w:space="0" w:color="CCCCCC"/>
              <w:bottom w:val="single" w:sz="4" w:space="0" w:color="CCCCCC"/>
              <w:right w:val="single" w:sz="4" w:space="0" w:color="CCCCCC"/>
            </w:tcBorders>
          </w:tcPr>
          <w:p>
            <w:r>
              <w:t>Binary</w:t>
            </w:r>
          </w:p>
        </w:tc>
        <w:tc>
          <w:tcPr>
            <w:tcW w:type="dxa" w:w="2928"/>
            <w:tcBorders>
              <w:top w:val="single" w:sz="4" w:space="0" w:color="CCCCCC"/>
              <w:left w:val="single" w:sz="4" w:space="0" w:color="CCCCCC"/>
              <w:bottom w:val="single" w:sz="4" w:space="0" w:color="CCCCCC"/>
              <w:right w:val="single" w:sz="4" w:space="0" w:color="CCCCCC"/>
            </w:tcBorders>
          </w:tcPr>
          <w:p>
            <w:r>
              <w:t>1 if senior citizen, 0 otherwise</w:t>
            </w:r>
          </w:p>
        </w:tc>
      </w:tr>
      <w:tr>
        <w:tc>
          <w:tcPr>
            <w:tcW w:type="dxa" w:w="2928"/>
            <w:tcBorders>
              <w:top w:val="single" w:sz="4" w:space="0" w:color="CCCCCC"/>
              <w:left w:val="single" w:sz="4" w:space="0" w:color="CCCCCC"/>
              <w:bottom w:val="single" w:sz="4" w:space="0" w:color="CCCCCC"/>
              <w:right w:val="single" w:sz="4" w:space="0" w:color="CCCCCC"/>
            </w:tcBorders>
          </w:tcPr>
          <w:p>
            <w:r>
              <w:rPr>
                <w:b/>
              </w:rPr>
              <w:t>Churn</w:t>
            </w:r>
          </w:p>
        </w:tc>
        <w:tc>
          <w:tcPr>
            <w:tcW w:type="dxa" w:w="2928"/>
            <w:tcBorders>
              <w:top w:val="single" w:sz="4" w:space="0" w:color="CCCCCC"/>
              <w:left w:val="single" w:sz="4" w:space="0" w:color="CCCCCC"/>
              <w:bottom w:val="single" w:sz="4" w:space="0" w:color="CCCCCC"/>
              <w:right w:val="single" w:sz="4" w:space="0" w:color="CCCCCC"/>
            </w:tcBorders>
          </w:tcPr>
          <w:p>
            <w:r>
              <w:t>Target (0/1)</w:t>
            </w:r>
          </w:p>
        </w:tc>
        <w:tc>
          <w:tcPr>
            <w:tcW w:type="dxa" w:w="2928"/>
            <w:tcBorders>
              <w:top w:val="single" w:sz="4" w:space="0" w:color="CCCCCC"/>
              <w:left w:val="single" w:sz="4" w:space="0" w:color="CCCCCC"/>
              <w:bottom w:val="single" w:sz="4" w:space="0" w:color="CCCCCC"/>
              <w:right w:val="single" w:sz="4" w:space="0" w:color="CCCCCC"/>
            </w:tcBorders>
          </w:tcPr>
          <w:p>
            <w:r>
              <w:t>1 = churned, 0 = retained</w:t>
            </w:r>
          </w:p>
        </w:tc>
      </w:tr>
    </w:tbl>
    <w:p>
      <w:pPr>
        <w:pStyle w:val="Heading1"/>
      </w:pPr>
      <w:r>
        <w:rPr>
          <w:color w:val="1A3A5C"/>
        </w:rPr>
        <w:t>5. Methodology</w:t>
      </w:r>
    </w:p>
    <w:p>
      <w:pPr>
        <w:pStyle w:val="Heading2"/>
      </w:pPr>
      <w:r>
        <w:rPr>
          <w:color w:val="1A3A5C"/>
        </w:rPr>
        <w:t>5.1 Data Preprocessing</w:t>
      </w:r>
    </w:p>
    <w:p>
      <w:r>
        <w:rPr>
          <w:b/>
        </w:rPr>
        <w:t xml:space="preserve">One-Hot Encoding: </w:t>
      </w:r>
      <w:r>
        <w:t>Categorical variables (Gender, ContractType, InternetService, PaymentMethod) were converted to binary dummy columns using pd.get_dummies().</w:t>
      </w:r>
    </w:p>
    <w:p>
      <w:r>
        <w:rPr>
          <w:b/>
        </w:rPr>
        <w:t xml:space="preserve">Feature Scaling: </w:t>
      </w:r>
      <w:r>
        <w:t>All numeric features were standardised using StandardScaler (mean=0, std=1) within a Scikit-learn Pipeline to prevent dominance by high-magnitude features.</w:t>
      </w:r>
    </w:p>
    <w:p>
      <w:r>
        <w:rPr>
          <w:b/>
        </w:rPr>
        <w:t xml:space="preserve">Train/Test Split: </w:t>
      </w:r>
      <w:r>
        <w:t>80% of data used for training (800 samples), 20% for testing (200 samples). Stratified splitting preserved the class ratio.</w:t>
      </w:r>
    </w:p>
    <w:p>
      <w:pPr>
        <w:pStyle w:val="Heading2"/>
      </w:pPr>
      <w:r>
        <w:rPr>
          <w:color w:val="1A3A5C"/>
        </w:rPr>
        <w:t>5.2 Model — Logistic Regression</w:t>
      </w:r>
    </w:p>
    <w:p>
      <w:r>
        <w:t>Logistic Regression is a linear model for binary classification. It models the probability that a given input belongs to the positive class (churn = 1) using the sigmoid function:</w:t>
      </w:r>
    </w:p>
    <w:p>
      <w:pPr>
        <w:jc w:val="center"/>
      </w:pPr>
      <w:r>
        <w:rPr>
          <w:rFonts w:ascii="Courier New" w:hAnsi="Courier New"/>
          <w:color w:val="1A3A5C"/>
          <w:sz w:val="22"/>
        </w:rPr>
        <w:t>P(churn=1) = 1 / (1 + e^(-(β₀ + β₁x₁ + β₂x₂ + ... + βₙxₙ)))</w:t>
      </w:r>
    </w:p>
    <w:p>
      <w:r>
        <w:t>The model was implemented using sklearn.linear_model.LogisticRegression with C=1.0 (L2 regularisation) and max_iter=500. A Scikit-learn Pipeline chained StandardScaler → LogisticRegression for clean, reproducible training.</w:t>
      </w:r>
    </w:p>
    <w:p>
      <w:pPr>
        <w:pStyle w:val="Heading1"/>
      </w:pPr>
      <w:r>
        <w:rPr>
          <w:color w:val="1A3A5C"/>
        </w:rPr>
        <w:t>6. Results &amp; Evaluation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rPr>
              <w:t>Metric</w:t>
            </w:r>
          </w:p>
        </w:tc>
        <w:tc>
          <w:tcPr>
            <w:tcW w:type="dxa" w:w="2196"/>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rPr>
              <w:t>Class: Stayed (0)</w:t>
            </w:r>
          </w:p>
        </w:tc>
        <w:tc>
          <w:tcPr>
            <w:tcW w:type="dxa" w:w="2196"/>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rPr>
              <w:t>Class: Churned (1)</w:t>
            </w:r>
          </w:p>
        </w:tc>
        <w:tc>
          <w:tcPr>
            <w:tcW w:type="dxa" w:w="2196"/>
            <w:shd w:val="clear" w:color="auto" w:fill="1A3A5C"/>
            <w:tcBorders>
              <w:top w:val="single" w:sz="4" w:space="0" w:color="1A3A5C"/>
              <w:left w:val="single" w:sz="4" w:space="0" w:color="1A3A5C"/>
              <w:bottom w:val="single" w:sz="4" w:space="0" w:color="1A3A5C"/>
              <w:right w:val="single" w:sz="4" w:space="0" w:color="1A3A5C"/>
            </w:tcBorders>
          </w:tcPr>
          <w:p>
            <w:pPr>
              <w:jc w:val="center"/>
            </w:pPr>
            <w:r>
              <w:rPr>
                <w:b/>
                <w:color w:val="FFFFFF"/>
              </w:rPr>
              <w:t>Overall</w:t>
            </w:r>
          </w:p>
        </w:tc>
      </w:tr>
      <w:tr>
        <w:tc>
          <w:tcPr>
            <w:tcW w:type="dxa" w:w="2196"/>
            <w:tcBorders>
              <w:top w:val="single" w:sz="4" w:space="0" w:color="CCCCCC"/>
              <w:left w:val="single" w:sz="4" w:space="0" w:color="CCCCCC"/>
              <w:bottom w:val="single" w:sz="4" w:space="0" w:color="CCCCCC"/>
              <w:right w:val="single" w:sz="4" w:space="0" w:color="CCCCCC"/>
            </w:tcBorders>
          </w:tcPr>
          <w:p>
            <w:pPr>
              <w:jc w:val="center"/>
            </w:pPr>
            <w:r>
              <w:rPr>
                <w:b/>
              </w:rPr>
              <w:t>Precision</w:t>
            </w:r>
          </w:p>
        </w:tc>
        <w:tc>
          <w:tcPr>
            <w:tcW w:type="dxa" w:w="2196"/>
            <w:tcBorders>
              <w:top w:val="single" w:sz="4" w:space="0" w:color="CCCCCC"/>
              <w:left w:val="single" w:sz="4" w:space="0" w:color="CCCCCC"/>
              <w:bottom w:val="single" w:sz="4" w:space="0" w:color="CCCCCC"/>
              <w:right w:val="single" w:sz="4" w:space="0" w:color="CCCCCC"/>
            </w:tcBorders>
          </w:tcPr>
          <w:p>
            <w:pPr>
              <w:jc w:val="center"/>
            </w:pPr>
            <w:r>
              <w:t>68%</w:t>
            </w:r>
          </w:p>
        </w:tc>
        <w:tc>
          <w:tcPr>
            <w:tcW w:type="dxa" w:w="2196"/>
            <w:tcBorders>
              <w:top w:val="single" w:sz="4" w:space="0" w:color="CCCCCC"/>
              <w:left w:val="single" w:sz="4" w:space="0" w:color="CCCCCC"/>
              <w:bottom w:val="single" w:sz="4" w:space="0" w:color="CCCCCC"/>
              <w:right w:val="single" w:sz="4" w:space="0" w:color="CCCCCC"/>
            </w:tcBorders>
          </w:tcPr>
          <w:p>
            <w:pPr>
              <w:jc w:val="center"/>
            </w:pPr>
            <w:r>
              <w:t>63%</w:t>
            </w:r>
          </w:p>
        </w:tc>
        <w:tc>
          <w:tcPr>
            <w:tcW w:type="dxa" w:w="2196"/>
            <w:tcBorders>
              <w:top w:val="single" w:sz="4" w:space="0" w:color="CCCCCC"/>
              <w:left w:val="single" w:sz="4" w:space="0" w:color="CCCCCC"/>
              <w:bottom w:val="single" w:sz="4" w:space="0" w:color="CCCCCC"/>
              <w:right w:val="single" w:sz="4" w:space="0" w:color="CCCCCC"/>
            </w:tcBorders>
          </w:tcPr>
          <w:p>
            <w:pPr>
              <w:jc w:val="center"/>
            </w:pPr>
            <w:r>
              <w:t>—</w:t>
            </w:r>
          </w:p>
        </w:tc>
      </w:tr>
      <w:tr>
        <w:tc>
          <w:tcPr>
            <w:tcW w:type="dxa" w:w="2196"/>
            <w:tcBorders>
              <w:top w:val="single" w:sz="4" w:space="0" w:color="CCCCCC"/>
              <w:left w:val="single" w:sz="4" w:space="0" w:color="CCCCCC"/>
              <w:bottom w:val="single" w:sz="4" w:space="0" w:color="CCCCCC"/>
              <w:right w:val="single" w:sz="4" w:space="0" w:color="CCCCCC"/>
            </w:tcBorders>
          </w:tcPr>
          <w:p>
            <w:pPr>
              <w:jc w:val="center"/>
            </w:pPr>
            <w:r>
              <w:rPr>
                <w:b/>
              </w:rPr>
              <w:t>Recall</w:t>
            </w:r>
          </w:p>
        </w:tc>
        <w:tc>
          <w:tcPr>
            <w:tcW w:type="dxa" w:w="2196"/>
            <w:tcBorders>
              <w:top w:val="single" w:sz="4" w:space="0" w:color="CCCCCC"/>
              <w:left w:val="single" w:sz="4" w:space="0" w:color="CCCCCC"/>
              <w:bottom w:val="single" w:sz="4" w:space="0" w:color="CCCCCC"/>
              <w:right w:val="single" w:sz="4" w:space="0" w:color="CCCCCC"/>
            </w:tcBorders>
          </w:tcPr>
          <w:p>
            <w:pPr>
              <w:jc w:val="center"/>
            </w:pPr>
            <w:r>
              <w:t>72%</w:t>
            </w:r>
          </w:p>
        </w:tc>
        <w:tc>
          <w:tcPr>
            <w:tcW w:type="dxa" w:w="2196"/>
            <w:tcBorders>
              <w:top w:val="single" w:sz="4" w:space="0" w:color="CCCCCC"/>
              <w:left w:val="single" w:sz="4" w:space="0" w:color="CCCCCC"/>
              <w:bottom w:val="single" w:sz="4" w:space="0" w:color="CCCCCC"/>
              <w:right w:val="single" w:sz="4" w:space="0" w:color="CCCCCC"/>
            </w:tcBorders>
          </w:tcPr>
          <w:p>
            <w:pPr>
              <w:jc w:val="center"/>
            </w:pPr>
            <w:r>
              <w:t>58%</w:t>
            </w:r>
          </w:p>
        </w:tc>
        <w:tc>
          <w:tcPr>
            <w:tcW w:type="dxa" w:w="2196"/>
            <w:tcBorders>
              <w:top w:val="single" w:sz="4" w:space="0" w:color="CCCCCC"/>
              <w:left w:val="single" w:sz="4" w:space="0" w:color="CCCCCC"/>
              <w:bottom w:val="single" w:sz="4" w:space="0" w:color="CCCCCC"/>
              <w:right w:val="single" w:sz="4" w:space="0" w:color="CCCCCC"/>
            </w:tcBorders>
          </w:tcPr>
          <w:p>
            <w:pPr>
              <w:jc w:val="center"/>
            </w:pPr>
            <w:r>
              <w:t>—</w:t>
            </w:r>
          </w:p>
        </w:tc>
      </w:tr>
      <w:tr>
        <w:tc>
          <w:tcPr>
            <w:tcW w:type="dxa" w:w="2196"/>
            <w:tcBorders>
              <w:top w:val="single" w:sz="4" w:space="0" w:color="CCCCCC"/>
              <w:left w:val="single" w:sz="4" w:space="0" w:color="CCCCCC"/>
              <w:bottom w:val="single" w:sz="4" w:space="0" w:color="CCCCCC"/>
              <w:right w:val="single" w:sz="4" w:space="0" w:color="CCCCCC"/>
            </w:tcBorders>
          </w:tcPr>
          <w:p>
            <w:pPr>
              <w:jc w:val="center"/>
            </w:pPr>
            <w:r>
              <w:rPr>
                <w:b/>
              </w:rPr>
              <w:t>F1-Score</w:t>
            </w:r>
          </w:p>
        </w:tc>
        <w:tc>
          <w:tcPr>
            <w:tcW w:type="dxa" w:w="2196"/>
            <w:tcBorders>
              <w:top w:val="single" w:sz="4" w:space="0" w:color="CCCCCC"/>
              <w:left w:val="single" w:sz="4" w:space="0" w:color="CCCCCC"/>
              <w:bottom w:val="single" w:sz="4" w:space="0" w:color="CCCCCC"/>
              <w:right w:val="single" w:sz="4" w:space="0" w:color="CCCCCC"/>
            </w:tcBorders>
          </w:tcPr>
          <w:p>
            <w:pPr>
              <w:jc w:val="center"/>
            </w:pPr>
            <w:r>
              <w:t>70%</w:t>
            </w:r>
          </w:p>
        </w:tc>
        <w:tc>
          <w:tcPr>
            <w:tcW w:type="dxa" w:w="2196"/>
            <w:tcBorders>
              <w:top w:val="single" w:sz="4" w:space="0" w:color="CCCCCC"/>
              <w:left w:val="single" w:sz="4" w:space="0" w:color="CCCCCC"/>
              <w:bottom w:val="single" w:sz="4" w:space="0" w:color="CCCCCC"/>
              <w:right w:val="single" w:sz="4" w:space="0" w:color="CCCCCC"/>
            </w:tcBorders>
          </w:tcPr>
          <w:p>
            <w:pPr>
              <w:jc w:val="center"/>
            </w:pPr>
            <w:r>
              <w:t>60%</w:t>
            </w:r>
          </w:p>
        </w:tc>
        <w:tc>
          <w:tcPr>
            <w:tcW w:type="dxa" w:w="2196"/>
            <w:tcBorders>
              <w:top w:val="single" w:sz="4" w:space="0" w:color="CCCCCC"/>
              <w:left w:val="single" w:sz="4" w:space="0" w:color="CCCCCC"/>
              <w:bottom w:val="single" w:sz="4" w:space="0" w:color="CCCCCC"/>
              <w:right w:val="single" w:sz="4" w:space="0" w:color="CCCCCC"/>
            </w:tcBorders>
          </w:tcPr>
          <w:p>
            <w:pPr>
              <w:jc w:val="center"/>
            </w:pPr>
            <w:r>
              <w:t>65%</w:t>
            </w:r>
          </w:p>
        </w:tc>
      </w:tr>
      <w:tr>
        <w:tc>
          <w:tcPr>
            <w:tcW w:type="dxa" w:w="2196"/>
            <w:tcBorders>
              <w:top w:val="single" w:sz="4" w:space="0" w:color="CCCCCC"/>
              <w:left w:val="single" w:sz="4" w:space="0" w:color="CCCCCC"/>
              <w:bottom w:val="single" w:sz="4" w:space="0" w:color="CCCCCC"/>
              <w:right w:val="single" w:sz="4" w:space="0" w:color="CCCCCC"/>
            </w:tcBorders>
          </w:tcPr>
          <w:p>
            <w:pPr>
              <w:jc w:val="center"/>
            </w:pPr>
            <w:r>
              <w:rPr>
                <w:b/>
              </w:rPr>
              <w:t>Accuracy</w:t>
            </w:r>
          </w:p>
        </w:tc>
        <w:tc>
          <w:tcPr>
            <w:tcW w:type="dxa" w:w="2196"/>
            <w:tcBorders>
              <w:top w:val="single" w:sz="4" w:space="0" w:color="CCCCCC"/>
              <w:left w:val="single" w:sz="4" w:space="0" w:color="CCCCCC"/>
              <w:bottom w:val="single" w:sz="4" w:space="0" w:color="CCCCCC"/>
              <w:right w:val="single" w:sz="4" w:space="0" w:color="CCCCCC"/>
            </w:tcBorders>
          </w:tcPr>
          <w:p>
            <w:pPr>
              <w:jc w:val="center"/>
            </w:pPr>
            <w:r>
              <w:t>—</w:t>
            </w:r>
          </w:p>
        </w:tc>
        <w:tc>
          <w:tcPr>
            <w:tcW w:type="dxa" w:w="2196"/>
            <w:tcBorders>
              <w:top w:val="single" w:sz="4" w:space="0" w:color="CCCCCC"/>
              <w:left w:val="single" w:sz="4" w:space="0" w:color="CCCCCC"/>
              <w:bottom w:val="single" w:sz="4" w:space="0" w:color="CCCCCC"/>
              <w:right w:val="single" w:sz="4" w:space="0" w:color="CCCCCC"/>
            </w:tcBorders>
          </w:tcPr>
          <w:p>
            <w:pPr>
              <w:jc w:val="center"/>
            </w:pPr>
            <w:r>
              <w:t>—</w:t>
            </w:r>
          </w:p>
        </w:tc>
        <w:tc>
          <w:tcPr>
            <w:tcW w:type="dxa" w:w="2196"/>
            <w:tcBorders>
              <w:top w:val="single" w:sz="4" w:space="0" w:color="CCCCCC"/>
              <w:left w:val="single" w:sz="4" w:space="0" w:color="CCCCCC"/>
              <w:bottom w:val="single" w:sz="4" w:space="0" w:color="CCCCCC"/>
              <w:right w:val="single" w:sz="4" w:space="0" w:color="CCCCCC"/>
            </w:tcBorders>
          </w:tcPr>
          <w:p>
            <w:pPr>
              <w:jc w:val="center"/>
            </w:pPr>
            <w:r>
              <w:t>66%</w:t>
            </w:r>
          </w:p>
        </w:tc>
      </w:tr>
      <w:tr>
        <w:tc>
          <w:tcPr>
            <w:tcW w:type="dxa" w:w="2196"/>
            <w:tcBorders>
              <w:top w:val="single" w:sz="4" w:space="0" w:color="CCCCCC"/>
              <w:left w:val="single" w:sz="4" w:space="0" w:color="CCCCCC"/>
              <w:bottom w:val="single" w:sz="4" w:space="0" w:color="CCCCCC"/>
              <w:right w:val="single" w:sz="4" w:space="0" w:color="CCCCCC"/>
            </w:tcBorders>
          </w:tcPr>
          <w:p>
            <w:pPr>
              <w:jc w:val="center"/>
            </w:pPr>
            <w:r>
              <w:rPr>
                <w:b/>
              </w:rPr>
              <w:t>ROC-AUC</w:t>
            </w:r>
          </w:p>
        </w:tc>
        <w:tc>
          <w:tcPr>
            <w:tcW w:type="dxa" w:w="2196"/>
            <w:tcBorders>
              <w:top w:val="single" w:sz="4" w:space="0" w:color="CCCCCC"/>
              <w:left w:val="single" w:sz="4" w:space="0" w:color="CCCCCC"/>
              <w:bottom w:val="single" w:sz="4" w:space="0" w:color="CCCCCC"/>
              <w:right w:val="single" w:sz="4" w:space="0" w:color="CCCCCC"/>
            </w:tcBorders>
          </w:tcPr>
          <w:p>
            <w:pPr>
              <w:jc w:val="center"/>
            </w:pPr>
            <w:r>
              <w:t>—</w:t>
            </w:r>
          </w:p>
        </w:tc>
        <w:tc>
          <w:tcPr>
            <w:tcW w:type="dxa" w:w="2196"/>
            <w:tcBorders>
              <w:top w:val="single" w:sz="4" w:space="0" w:color="CCCCCC"/>
              <w:left w:val="single" w:sz="4" w:space="0" w:color="CCCCCC"/>
              <w:bottom w:val="single" w:sz="4" w:space="0" w:color="CCCCCC"/>
              <w:right w:val="single" w:sz="4" w:space="0" w:color="CCCCCC"/>
            </w:tcBorders>
          </w:tcPr>
          <w:p>
            <w:pPr>
              <w:jc w:val="center"/>
            </w:pPr>
            <w:r>
              <w:t>—</w:t>
            </w:r>
          </w:p>
        </w:tc>
        <w:tc>
          <w:tcPr>
            <w:tcW w:type="dxa" w:w="2196"/>
            <w:tcBorders>
              <w:top w:val="single" w:sz="4" w:space="0" w:color="CCCCCC"/>
              <w:left w:val="single" w:sz="4" w:space="0" w:color="CCCCCC"/>
              <w:bottom w:val="single" w:sz="4" w:space="0" w:color="CCCCCC"/>
              <w:right w:val="single" w:sz="4" w:space="0" w:color="CCCCCC"/>
            </w:tcBorders>
          </w:tcPr>
          <w:p>
            <w:pPr>
              <w:jc w:val="center"/>
            </w:pPr>
            <w:r>
              <w:t>0.716</w:t>
            </w:r>
          </w:p>
        </w:tc>
      </w:tr>
    </w:tbl>
    <w:p/>
    <w:p>
      <w:r>
        <w:rPr>
          <w:b/>
        </w:rPr>
        <w:t xml:space="preserve">Interpretation: </w:t>
      </w:r>
      <w:r>
        <w:t>The model achieves 66% accuracy and a ROC-AUC of 0.716, indicating reasonable discriminative power for a baseline logistic regression model. The higher recall for "Stayed" customers (72%) means the model correctly identifies most retained customers, while the model correctly identifies 58% of actual churners (recall for class 1). In a real business scenario, recall for churners is the most critical metric since missing a churner is more costly than a false alarm.</w:t>
      </w:r>
    </w:p>
    <w:p>
      <w:pPr>
        <w:pStyle w:val="Heading1"/>
      </w:pPr>
      <w:r>
        <w:rPr>
          <w:color w:val="1A3A5C"/>
        </w:rPr>
        <w:t>7. Key Insights from Feature Coefficients</w:t>
      </w:r>
    </w:p>
    <w:p>
      <w:pPr>
        <w:pStyle w:val="ListBullet"/>
      </w:pPr>
      <w:r>
        <w:rPr>
          <w:b/>
          <w:color w:val="1A3A5C"/>
        </w:rPr>
        <w:t xml:space="preserve">Contract Type (Month-to-Month): </w:t>
      </w:r>
      <w:r>
        <w:t>Strongest positive predictor of churn. Customers on month-to-month contracts are significantly more likely to leave — they have no long-term commitment.</w:t>
      </w:r>
    </w:p>
    <w:p>
      <w:pPr>
        <w:pStyle w:val="ListBullet"/>
      </w:pPr>
      <w:r>
        <w:rPr>
          <w:b/>
          <w:color w:val="1A3A5C"/>
        </w:rPr>
        <w:t xml:space="preserve">Tenure: </w:t>
      </w:r>
      <w:r>
        <w:t>Strong negative predictor. The longer a customer stays, the less likely they are to churn — loyalty builds over time.</w:t>
      </w:r>
    </w:p>
    <w:p>
      <w:pPr>
        <w:pStyle w:val="ListBullet"/>
      </w:pPr>
      <w:r>
        <w:rPr>
          <w:b/>
          <w:color w:val="1A3A5C"/>
        </w:rPr>
        <w:t xml:space="preserve">Support Calls: </w:t>
      </w:r>
      <w:r>
        <w:t>More support interactions correlate with higher churn. Frustrated customers who contact support often may be close to leaving.</w:t>
      </w:r>
    </w:p>
    <w:p>
      <w:pPr>
        <w:pStyle w:val="ListBullet"/>
      </w:pPr>
      <w:r>
        <w:rPr>
          <w:b/>
          <w:color w:val="1A3A5C"/>
        </w:rPr>
        <w:t xml:space="preserve">Monthly Charges: </w:t>
      </w:r>
      <w:r>
        <w:t>Higher monthly bills slightly increase churn probability — price sensitivity is a real factor in retention.</w:t>
      </w:r>
    </w:p>
    <w:p>
      <w:pPr>
        <w:pStyle w:val="ListBullet"/>
      </w:pPr>
      <w:r>
        <w:rPr>
          <w:b/>
          <w:color w:val="1A3A5C"/>
        </w:rPr>
        <w:t xml:space="preserve">Number of Products: </w:t>
      </w:r>
      <w:r>
        <w:t>Customers with more products are less likely to churn due to higher switching costs and deeper engagement with the service.</w:t>
      </w:r>
    </w:p>
    <w:p>
      <w:pPr>
        <w:pStyle w:val="Heading1"/>
      </w:pPr>
      <w:r>
        <w:rPr>
          <w:color w:val="1A3A5C"/>
        </w:rPr>
        <w:t>8. Business Recommendations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27AE60"/>
            <w:tcBorders>
              <w:top w:val="single" w:sz="4" w:space="0" w:color="27AE60"/>
              <w:left w:val="single" w:sz="4" w:space="0" w:color="27AE60"/>
              <w:bottom w:val="single" w:sz="4" w:space="0" w:color="27AE60"/>
              <w:right w:val="single" w:sz="4" w:space="0" w:color="27AE60"/>
            </w:tcBorders>
          </w:tcPr>
          <w:p>
            <w:r>
              <w:rPr>
                <w:b/>
                <w:color w:val="FFFFFF"/>
              </w:rPr>
              <w:t>Recommendation</w:t>
            </w:r>
          </w:p>
        </w:tc>
        <w:tc>
          <w:tcPr>
            <w:tcW w:type="dxa" w:w="4392"/>
            <w:shd w:val="clear" w:color="auto" w:fill="27AE60"/>
            <w:tcBorders>
              <w:top w:val="single" w:sz="4" w:space="0" w:color="27AE60"/>
              <w:left w:val="single" w:sz="4" w:space="0" w:color="27AE60"/>
              <w:bottom w:val="single" w:sz="4" w:space="0" w:color="27AE60"/>
              <w:right w:val="single" w:sz="4" w:space="0" w:color="27AE60"/>
            </w:tcBorders>
          </w:tcPr>
          <w:p>
            <w:r>
              <w:rPr>
                <w:b/>
                <w:color w:val="FFFFFF"/>
              </w:rPr>
              <w:t>Action</w:t>
            </w:r>
          </w:p>
        </w:tc>
      </w:tr>
      <w:tr>
        <w:tc>
          <w:tcPr>
            <w:tcW w:type="dxa" w:w="4392"/>
            <w:tcBorders>
              <w:top w:val="single" w:sz="4" w:space="0" w:color="CCCCCC"/>
              <w:left w:val="single" w:sz="4" w:space="0" w:color="CCCCCC"/>
              <w:bottom w:val="single" w:sz="4" w:space="0" w:color="CCCCCC"/>
              <w:right w:val="single" w:sz="4" w:space="0" w:color="CCCCCC"/>
            </w:tcBorders>
          </w:tcPr>
          <w:p>
            <w:r>
              <w:rPr>
                <w:b/>
              </w:rPr>
              <w:t>Incentivise Long-Term Contracts</w:t>
            </w:r>
          </w:p>
        </w:tc>
        <w:tc>
          <w:tcPr>
            <w:tcW w:type="dxa" w:w="4392"/>
            <w:tcBorders>
              <w:top w:val="single" w:sz="4" w:space="0" w:color="CCCCCC"/>
              <w:left w:val="single" w:sz="4" w:space="0" w:color="CCCCCC"/>
              <w:bottom w:val="single" w:sz="4" w:space="0" w:color="CCCCCC"/>
              <w:right w:val="single" w:sz="4" w:space="0" w:color="CCCCCC"/>
            </w:tcBorders>
          </w:tcPr>
          <w:p>
            <w:r>
              <w:t>Offer discounts or loyalty rewards to convert Month-to-Month customers to annual or bi-annual plans. This single factor has the highest impact on reducing churn.</w:t>
            </w:r>
          </w:p>
        </w:tc>
      </w:tr>
      <w:tr>
        <w:tc>
          <w:tcPr>
            <w:tcW w:type="dxa" w:w="4392"/>
            <w:tcBorders>
              <w:top w:val="single" w:sz="4" w:space="0" w:color="CCCCCC"/>
              <w:left w:val="single" w:sz="4" w:space="0" w:color="CCCCCC"/>
              <w:bottom w:val="single" w:sz="4" w:space="0" w:color="CCCCCC"/>
              <w:right w:val="single" w:sz="4" w:space="0" w:color="CCCCCC"/>
            </w:tcBorders>
          </w:tcPr>
          <w:p>
            <w:r>
              <w:rPr>
                <w:b/>
              </w:rPr>
              <w:t>Proactive Retention for High-Probability Churners</w:t>
            </w:r>
          </w:p>
        </w:tc>
        <w:tc>
          <w:tcPr>
            <w:tcW w:type="dxa" w:w="4392"/>
            <w:tcBorders>
              <w:top w:val="single" w:sz="4" w:space="0" w:color="CCCCCC"/>
              <w:left w:val="single" w:sz="4" w:space="0" w:color="CCCCCC"/>
              <w:bottom w:val="single" w:sz="4" w:space="0" w:color="CCCCCC"/>
              <w:right w:val="single" w:sz="4" w:space="0" w:color="CCCCCC"/>
            </w:tcBorders>
          </w:tcPr>
          <w:p>
            <w:r>
              <w:t>Use the model's churn probability score to flag at-risk customers and trigger personalised outreach — discount offers, account reviews, or dedicated support.</w:t>
            </w:r>
          </w:p>
        </w:tc>
      </w:tr>
      <w:tr>
        <w:tc>
          <w:tcPr>
            <w:tcW w:type="dxa" w:w="4392"/>
            <w:tcBorders>
              <w:top w:val="single" w:sz="4" w:space="0" w:color="CCCCCC"/>
              <w:left w:val="single" w:sz="4" w:space="0" w:color="CCCCCC"/>
              <w:bottom w:val="single" w:sz="4" w:space="0" w:color="CCCCCC"/>
              <w:right w:val="single" w:sz="4" w:space="0" w:color="CCCCCC"/>
            </w:tcBorders>
          </w:tcPr>
          <w:p>
            <w:r>
              <w:rPr>
                <w:b/>
              </w:rPr>
              <w:t>Improve Customer Support Experience</w:t>
            </w:r>
          </w:p>
        </w:tc>
        <w:tc>
          <w:tcPr>
            <w:tcW w:type="dxa" w:w="4392"/>
            <w:tcBorders>
              <w:top w:val="single" w:sz="4" w:space="0" w:color="CCCCCC"/>
              <w:left w:val="single" w:sz="4" w:space="0" w:color="CCCCCC"/>
              <w:bottom w:val="single" w:sz="4" w:space="0" w:color="CCCCCC"/>
              <w:right w:val="single" w:sz="4" w:space="0" w:color="CCCCCC"/>
            </w:tcBorders>
          </w:tcPr>
          <w:p>
            <w:r>
              <w:t>High support call frequency signals dissatisfaction. Investigate root causes and resolve recurring issues to reduce escalations and churn.</w:t>
            </w:r>
          </w:p>
        </w:tc>
      </w:tr>
      <w:tr>
        <w:tc>
          <w:tcPr>
            <w:tcW w:type="dxa" w:w="4392"/>
            <w:tcBorders>
              <w:top w:val="single" w:sz="4" w:space="0" w:color="CCCCCC"/>
              <w:left w:val="single" w:sz="4" w:space="0" w:color="CCCCCC"/>
              <w:bottom w:val="single" w:sz="4" w:space="0" w:color="CCCCCC"/>
              <w:right w:val="single" w:sz="4" w:space="0" w:color="CCCCCC"/>
            </w:tcBorders>
          </w:tcPr>
          <w:p>
            <w:r>
              <w:rPr>
                <w:b/>
              </w:rPr>
              <w:t>Bundle Products &amp; Upsell</w:t>
            </w:r>
          </w:p>
        </w:tc>
        <w:tc>
          <w:tcPr>
            <w:tcW w:type="dxa" w:w="4392"/>
            <w:tcBorders>
              <w:top w:val="single" w:sz="4" w:space="0" w:color="CCCCCC"/>
              <w:left w:val="single" w:sz="4" w:space="0" w:color="CCCCCC"/>
              <w:bottom w:val="single" w:sz="4" w:space="0" w:color="CCCCCC"/>
              <w:right w:val="single" w:sz="4" w:space="0" w:color="CCCCCC"/>
            </w:tcBorders>
          </w:tcPr>
          <w:p>
            <w:r>
              <w:t>Encourage customers to subscribe to multiple services. Bundled customers have higher switching costs and tend to stay longer.</w:t>
            </w:r>
          </w:p>
        </w:tc>
      </w:tr>
      <w:tr>
        <w:tc>
          <w:tcPr>
            <w:tcW w:type="dxa" w:w="4392"/>
            <w:tcBorders>
              <w:top w:val="single" w:sz="4" w:space="0" w:color="CCCCCC"/>
              <w:left w:val="single" w:sz="4" w:space="0" w:color="CCCCCC"/>
              <w:bottom w:val="single" w:sz="4" w:space="0" w:color="CCCCCC"/>
              <w:right w:val="single" w:sz="4" w:space="0" w:color="CCCCCC"/>
            </w:tcBorders>
          </w:tcPr>
          <w:p>
            <w:r>
              <w:rPr>
                <w:b/>
              </w:rPr>
              <w:t>Monitor New Customers Closely</w:t>
            </w:r>
          </w:p>
        </w:tc>
        <w:tc>
          <w:tcPr>
            <w:tcW w:type="dxa" w:w="4392"/>
            <w:tcBorders>
              <w:top w:val="single" w:sz="4" w:space="0" w:color="CCCCCC"/>
              <w:left w:val="single" w:sz="4" w:space="0" w:color="CCCCCC"/>
              <w:bottom w:val="single" w:sz="4" w:space="0" w:color="CCCCCC"/>
              <w:right w:val="single" w:sz="4" w:space="0" w:color="CCCCCC"/>
            </w:tcBorders>
          </w:tcPr>
          <w:p>
            <w:r>
              <w:t>Short-tenure customers are at the highest risk. Onboarding programs and early check-ins can significantly improve early retention rates.</w:t>
            </w:r>
          </w:p>
        </w:tc>
      </w:tr>
    </w:tbl>
    <w:p>
      <w:pPr>
        <w:pStyle w:val="Heading1"/>
      </w:pPr>
      <w:r>
        <w:rPr>
          <w:color w:val="1A3A5C"/>
        </w:rPr>
        <w:t>9. Conclusion</w:t>
      </w:r>
    </w:p>
    <w:p>
      <w:r>
        <w:t>This project successfully demonstrates the end-to-end pipeline of a machine learning churn prediction system: from synthetic data generation and exploratory analysis, through preprocessing and model training, to evaluation and business interpretation. Logistic Regression provides a strong, interpretable baseline that directly ties feature coefficients to business insights.</w:t>
      </w:r>
    </w:p>
    <w:p>
      <w:r>
        <w:t>Future improvements could include testing ensemble models (Random Forest, XGBoost), performing hyperparameter tuning via cross-validation, adding SHAP explainability, and deploying the model as a Flask web application for real-time churn scoring.</w:t>
      </w:r>
    </w:p>
    <w:p>
      <w:pPr>
        <w:pStyle w:val="Heading1"/>
      </w:pPr>
      <w:r>
        <w:rPr>
          <w:color w:val="1A3A5C"/>
        </w:rPr>
        <w:t>10. Key Code Snippet</w:t>
      </w:r>
    </w:p>
    <w:p>
      <w:pPr>
        <w:shd w:val="clear" w:color="auto" w:fill="F0F0F0"/>
      </w:pPr>
      <w:r>
        <w:rPr>
          <w:rFonts w:ascii="Courier New" w:hAnsi="Courier New"/>
          <w:sz w:val="18"/>
        </w:rPr>
        <w:t># Scikit-learn Pipeline: Scale → Logistic Regression</w:t>
        <w:br/>
        <w:t>from sklearn.pipeline import Pipeline</w:t>
        <w:br/>
        <w:t>from sklearn.preprocessing import StandardScaler</w:t>
        <w:br/>
        <w:t>from sklearn.linear_model import LogisticRegression</w:t>
        <w:br/>
        <w:br/>
        <w:t>pipeline = Pipeline([</w:t>
        <w:br/>
        <w:t xml:space="preserve">    ('scaler', StandardScaler()),</w:t>
        <w:br/>
        <w:t xml:space="preserve">    ('model',  LogisticRegression(max_iter=500, C=1.0, random_state=42))</w:t>
        <w:br/>
        <w:t>])</w:t>
        <w:br/>
        <w:t>pipeline.fit(X_train, y_train)</w:t>
        <w:br/>
        <w:t>y_pred  = pipeline.predict(X_test)</w:t>
        <w:br/>
        <w:t>y_proba = pipeline.predict_proba(X_test)[:, 1]</w:t>
      </w:r>
    </w:p>
    <w:p/>
    <w:p>
      <w:pPr>
        <w:shd w:val="clear" w:color="auto" w:fill="1A3A5C"/>
      </w:pPr>
      <w:r>
        <w:rPr>
          <w:color w:val="FFFFFF"/>
          <w:sz w:val="18"/>
        </w:rPr>
        <w:t xml:space="preserve">  Customer Churn Prediction  |  Data Analytics Minor Project  |  Logistic Regression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