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하이브워크타워-3층-복합상업시설-임대차계약서"/>
    <w:p>
      <w:pPr>
        <w:pStyle w:val="Heading1"/>
      </w:pPr>
      <w:r>
        <w:t xml:space="preserve">하이브워크타워 3층 복합상업시설 임대차계약서</w:t>
      </w:r>
    </w:p>
    <w:bookmarkStart w:id="22" w:name="제1조목적-및-대상물의-표시"/>
    <w:p>
      <w:pPr>
        <w:pStyle w:val="Heading2"/>
      </w:pPr>
      <w:r>
        <w:t xml:space="preserve">제1조(목적 및 대상물의 표시)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[1]</w:t>
        </w:r>
      </w:hyperlink>
      <w:r>
        <w:t xml:space="preserve">본 계약의 목적은 서울특별시 구로구 디지털로 100 소재 ‘하이브워크타워’ 3층 전체(전용면적: 상가 50㎡, 사무실 70㎡, 창고 30㎡)를 갑이 을에게 임대함으로써 상호 간의 권리·의무를 정함에 있다. 임대대상물의 위치와 면적 등 상세한 표시는 별첨 1(도면 및 위치도)에 따른다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갑(임대인 정갑수, 이하 ‘갑’이라 한다)과 을(임차인 박을찬, 이하 ‘을’이라 한다)은 상호 신의성실의 원칙에 따라 본 계약을 체결하고 이행한다.</w:t>
      </w:r>
    </w:p>
    <w:p>
      <w:pPr>
        <w:pStyle w:val="Compact"/>
        <w:numPr>
          <w:ilvl w:val="0"/>
          <w:numId w:val="1001"/>
        </w:numPr>
      </w:pPr>
      <w:r>
        <w:t xml:space="preserve">본 계약서와 부속서류는 일체의 구두약정을 포함하며, 서로 상충하는 내용이 있는 경우 본 계약서가 우선한다.</w:t>
      </w:r>
    </w:p>
    <w:bookmarkEnd w:id="22"/>
    <w:bookmarkStart w:id="24" w:name="제2조임대차-목적물의-구분"/>
    <w:p>
      <w:pPr>
        <w:pStyle w:val="Heading2"/>
      </w:pPr>
      <w:r>
        <w:t xml:space="preserve">제2조(임대차 목적물의 구분)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[2]</w:t>
        </w:r>
      </w:hyperlink>
      <w:r>
        <w:t xml:space="preserve">임대차 목적물은 용도별로 구분하여 다음과 같이 정의한다. (1) 상가부분(전용 50㎡): 을은 이를 상업·판매 영업 용도로 사용해야 한다</w:t>
      </w:r>
      <w:hyperlink r:id="rId23">
        <w:r>
          <w:rPr>
            <w:rStyle w:val="Hyperlink"/>
          </w:rPr>
          <w:t xml:space="preserve">[2]</w:t>
        </w:r>
      </w:hyperlink>
      <w:r>
        <w:t xml:space="preserve">. (2) 사무실부분(전용 70㎡): 을은 이를 사무실 용도로만 사용한다. (3) 창고부분(전용 30㎡): 을은 이를 물품보관용도로 사용하되, 시설물 안전에 유의해야 한다.</w:t>
      </w:r>
    </w:p>
    <w:p>
      <w:pPr>
        <w:pStyle w:val="Compact"/>
        <w:numPr>
          <w:ilvl w:val="0"/>
          <w:numId w:val="1002"/>
        </w:numPr>
      </w:pPr>
      <w:r>
        <w:t xml:space="preserve">을은 각 구분된 부분을 지정된 용도 이외의 목적으로 사용하거나, 임대인의 서면 승인 없이 구조·설비 등을 변경할 수 없다.</w:t>
      </w:r>
    </w:p>
    <w:bookmarkEnd w:id="24"/>
    <w:bookmarkStart w:id="26" w:name="제3조임대기간보증금월차임-및-지급방법"/>
    <w:p>
      <w:pPr>
        <w:pStyle w:val="Heading2"/>
      </w:pPr>
      <w:r>
        <w:t xml:space="preserve">제3조(임대기간·보증금·월차임 및 지급방법)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[3]</w:t>
        </w:r>
      </w:hyperlink>
      <w:r>
        <w:t xml:space="preserve">임대차기간은 2025년 3월 1일부터 2028년 2월 28일까지 3년으로 한다. 보증금은 </w:t>
      </w:r>
      <w:r>
        <w:rPr>
          <w:rFonts w:hint="eastAsia"/>
        </w:rPr>
        <w:t xml:space="preserve">금100,000,000원(￦100,000,000)으로</w:t>
      </w:r>
      <w:r>
        <w:t xml:space="preserve"> 하고, 월차임은 </w:t>
      </w:r>
      <w:r>
        <w:rPr>
          <w:rFonts w:hint="eastAsia"/>
        </w:rPr>
        <w:t xml:space="preserve">금4,500,000원(￦4,500,000)으로</w:t>
      </w:r>
      <w:r>
        <w:t xml:space="preserve"> 한다. 환산보증금은 보증금에 월차임의 100배를 합산하여 산출하며, 본 계약의 적용기준을 위한 것으로 </w:t>
      </w:r>
      <w:r>
        <w:rPr>
          <w:rFonts w:hint="eastAsia"/>
        </w:rPr>
        <w:t xml:space="preserve">￦550,000,000이다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보증금은 계약 체결 시 갑이 전액을 수령하며, 을은 매월 정해진 날짜(예: 매월 5일)까지 전월분 차임을 을이 지정한 갑의 계좌에 입금한다. 을이 차임을 연체할 경우 연체료는 월 연체이자율 1%로 계산하며, 3개월 이상 연체 시 갑은 계약을 해지할 수 있다.</w:t>
      </w:r>
    </w:p>
    <w:p>
      <w:pPr>
        <w:pStyle w:val="Compact"/>
        <w:numPr>
          <w:ilvl w:val="0"/>
          <w:numId w:val="1003"/>
        </w:numPr>
      </w:pPr>
      <w:r>
        <w:t xml:space="preserve">임대기간 중 차임의 일방적 증액은 원칙적으로 불가하며, 계약갱신청구권 행사 시에는 법률상 연5% 범위 내에서만 증액할 수 있다. 기타 비용(관리비·공과금)은 별도로 산정한다.</w:t>
      </w:r>
    </w:p>
    <w:bookmarkEnd w:id="26"/>
    <w:bookmarkStart w:id="27" w:name="제4조인도-및-사용승인-입주절차"/>
    <w:p>
      <w:pPr>
        <w:pStyle w:val="Heading2"/>
      </w:pPr>
      <w:r>
        <w:t xml:space="preserve">제4조(인도 및 사용승인, 입주절차)</w:t>
      </w:r>
    </w:p>
    <w:p>
      <w:pPr>
        <w:pStyle w:val="Compact"/>
        <w:numPr>
          <w:ilvl w:val="0"/>
          <w:numId w:val="1004"/>
        </w:numPr>
      </w:pPr>
      <w:r>
        <w:t xml:space="preserve">갑은 을이 임대차목적물을 사용·수익할 수 있도록 계약 체결 직후 지체 없이 목적물을 을에게 인도한다. 건물의 사용승인·준공검사 등 관련 서류가 필요할 경우 이를 을에게 교부한다.</w:t>
      </w:r>
    </w:p>
    <w:p>
      <w:pPr>
        <w:pStyle w:val="Compact"/>
        <w:numPr>
          <w:ilvl w:val="0"/>
          <w:numId w:val="1004"/>
        </w:numPr>
      </w:pPr>
      <w:r>
        <w:t xml:space="preserve">을은 임대차 개시일 전 건물 관리자와 협의하여 입주 준비를 진행할 수 있으며, 입주 전 점검과 확인 절차는 갑과 상호 협의하여 진행한다. 입주일(2025년 3월 1일)에 맞추어 모든 인테리어 및 시설 설치를 완료한다.</w:t>
      </w:r>
    </w:p>
    <w:p>
      <w:pPr>
        <w:pStyle w:val="Compact"/>
        <w:numPr>
          <w:ilvl w:val="0"/>
          <w:numId w:val="1004"/>
        </w:numPr>
      </w:pPr>
      <w:r>
        <w:t xml:space="preserve">을이 입주 전 계약 해지를 원할 때에는 갑에게 즉시 통지하고 보증금을 반환받는다. 입주 후에도 을은 최소 3개월 이상의 사전 서면통지로 계약해지 의사를 밝힐 수 있으며, 해지 통지를 받은 날로부터 3월이 경과함으로써 계약 해지 효력이 발생한다.</w:t>
      </w:r>
    </w:p>
    <w:bookmarkEnd w:id="27"/>
    <w:bookmarkStart w:id="29" w:name="제5조용도변경-및-영업행위-제한"/>
    <w:p>
      <w:pPr>
        <w:pStyle w:val="Heading2"/>
      </w:pPr>
      <w:r>
        <w:t xml:space="preserve">제5조(용도변경 및 영업행위 제한)</w:t>
      </w:r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[4]</w:t>
        </w:r>
      </w:hyperlink>
      <w:r>
        <w:t xml:space="preserve">① 을은 임대인의 서면 동의 없이 임대차목적물의 구조나 용도를 변경할 수 없다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② 을은 임대인의 서면 동의 없이 임대차목적물의 전부 또는 일부를 타인에게 다시 임대(전대)하거나, 임차권을 양도할 수 없다</w:t>
      </w:r>
      <w:hyperlink r:id="rId28">
        <w:r>
          <w:rPr>
            <w:rStyle w:val="Hyperlink"/>
          </w:rPr>
          <w:t xml:space="preserve">[4]</w:t>
        </w:r>
      </w:hyperlink>
      <w:r>
        <w:t xml:space="preserve">. 임대차보증금 반환채권을 담보로 제공하거나 권리금을 수취하는 행위도 일체 금지된다.</w:t>
      </w:r>
    </w:p>
    <w:p>
      <w:pPr>
        <w:pStyle w:val="Compact"/>
        <w:numPr>
          <w:ilvl w:val="0"/>
          <w:numId w:val="1005"/>
        </w:numPr>
      </w:pPr>
      <w:r>
        <w:t xml:space="preserve">③ 을은 청소년보호법·유통산업발전법·화학물질관리법 등 관련법령에 위반되는 업종(예: 유해·위해 업종, 불법 사행업 등)을 영위할 수 없으며, 영업허가·신고가 필요한 경우 그 절차는 을이 책임진다.</w:t>
      </w:r>
    </w:p>
    <w:p>
      <w:pPr>
        <w:pStyle w:val="Compact"/>
        <w:numPr>
          <w:ilvl w:val="0"/>
          <w:numId w:val="1005"/>
        </w:numPr>
      </w:pPr>
      <w:r>
        <w:t xml:space="preserve">④ 을은 임대차 목적 외의 영업행위를 할 수 없으며, 모든 영업 활동은 관련 법규를 준수하여 이루어져야 한다.</w:t>
      </w:r>
    </w:p>
    <w:bookmarkEnd w:id="29"/>
    <w:bookmarkStart w:id="30" w:name="제6조공용부분의-관리청소보안"/>
    <w:p>
      <w:pPr>
        <w:pStyle w:val="Heading2"/>
      </w:pPr>
      <w:r>
        <w:t xml:space="preserve">제6조(공용부분의 관리·청소·보안)</w:t>
      </w:r>
    </w:p>
    <w:p>
      <w:pPr>
        <w:pStyle w:val="Compact"/>
        <w:numPr>
          <w:ilvl w:val="0"/>
          <w:numId w:val="1006"/>
        </w:numPr>
      </w:pPr>
      <w:r>
        <w:t xml:space="preserve">건물의 복도·계단·엘리베이터·화장실 등 공용부분에 대한 관리·청소·보안 업무는 별첨 3의 관리규약에 따른다. 별첨 규약에 따라 상가관리사무소 또는 관리단이 주기적으로 청소·순찰하며, CCTV 등을 운영한다.</w:t>
      </w:r>
    </w:p>
    <w:p>
      <w:pPr>
        <w:pStyle w:val="Compact"/>
        <w:numPr>
          <w:ilvl w:val="0"/>
          <w:numId w:val="1006"/>
        </w:numPr>
      </w:pPr>
      <w:r>
        <w:t xml:space="preserve">공용부분 청소 및 보안에 소요되는 비용은 관리비로 충당한다. 갑은 공용시설의 정상 작동 여부를 수시로 확인하며, 을은 공용부분을 훼손·오염시키지 않도록 주의한다.</w:t>
      </w:r>
    </w:p>
    <w:p>
      <w:pPr>
        <w:pStyle w:val="Compact"/>
        <w:numPr>
          <w:ilvl w:val="0"/>
          <w:numId w:val="1006"/>
        </w:numPr>
      </w:pPr>
      <w:r>
        <w:t xml:space="preserve">을은 공용부분의 취사·흡연·배출 등을 자제하여야 하며, 화장실·통로·주차장 등 공용공간 사용 시 관리규약에 따라 행동한다.</w:t>
      </w:r>
    </w:p>
    <w:bookmarkEnd w:id="30"/>
    <w:bookmarkStart w:id="32" w:name="제7조공과금-및-관리비-산정기준"/>
    <w:p>
      <w:pPr>
        <w:pStyle w:val="Heading2"/>
      </w:pPr>
      <w:r>
        <w:t xml:space="preserve">제7조(공과금 및 관리비 산정기준)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[5]</w:t>
        </w:r>
      </w:hyperlink>
      <w:r>
        <w:t xml:space="preserve">① 전기·수도·가스 등의 공과금은 사용자의 명의로 별도 계약 체결 후 을이 직접 부담한다. 단, 공용조명·공용화장실 등 공용부분 관련 공과금은 관리비에 포함한다.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[5]</w:t>
        </w:r>
      </w:hyperlink>
      <w:r>
        <w:t xml:space="preserve">② 관리비는 월정액(정액관리비)으로 부과하며, 그 산정기준과 항목별 내역은 별첨 2(관리비 산정표 및 납부일정표)에 따른다</w:t>
      </w:r>
      <w:hyperlink r:id="rId31">
        <w:r>
          <w:rPr>
            <w:rStyle w:val="Hyperlink"/>
          </w:rPr>
          <w:t xml:space="preserve">[5]</w:t>
        </w:r>
      </w:hyperlink>
      <w:r>
        <w:t xml:space="preserve">. 정액관리비가 월 100,000원을 초과할 경우 주요 비용 항목별 금액을 구체적으로 기재해야 한다.</w:t>
      </w:r>
    </w:p>
    <w:p>
      <w:pPr>
        <w:pStyle w:val="Compact"/>
        <w:numPr>
          <w:ilvl w:val="0"/>
          <w:numId w:val="1007"/>
        </w:numPr>
      </w:pPr>
      <w:r>
        <w:t xml:space="preserve">관리비는 매월 정해진 기일(예: 매월 10일)까지 을이 지정한 계좌로 선납한다. 관리비에는 청소비, 전기료, 수도료, 경비비, 공과금 등 항목이 포함되며, 과도한 부과나 쟁점이 있으면 갑과 을이 상호 협의하여 조정할 수 있다.</w:t>
      </w:r>
    </w:p>
    <w:p>
      <w:pPr>
        <w:pStyle w:val="Compact"/>
        <w:numPr>
          <w:ilvl w:val="0"/>
          <w:numId w:val="1007"/>
        </w:numPr>
      </w:pPr>
      <w:r>
        <w:t xml:space="preserve">을이 임대차 개시일 이후 공용부분 관리비를 부담하는 경우 별첨 2에 따른 납부 일정을 준수하여야 하며, 연체 시 연체료를 부과할 수 있다.</w:t>
      </w:r>
    </w:p>
    <w:bookmarkEnd w:id="32"/>
    <w:bookmarkStart w:id="33" w:name="제8조수선보수-및-설비점검"/>
    <w:p>
      <w:pPr>
        <w:pStyle w:val="Heading2"/>
      </w:pPr>
      <w:r>
        <w:t xml:space="preserve">제8조(수선·보수 및 설비점검)</w:t>
      </w:r>
    </w:p>
    <w:p>
      <w:pPr>
        <w:pStyle w:val="Compact"/>
        <w:numPr>
          <w:ilvl w:val="0"/>
          <w:numId w:val="1008"/>
        </w:numPr>
      </w:pPr>
      <w:r>
        <w:t xml:space="preserve">을은 임대차목적물을 선량한 관리자로서 사용·보관할 의무가 있으며, 통상적인 소모품 교체·청소·경미한 보수 등은 을이 부담한다(부속품 교체, 전구 교환 등).</w:t>
      </w:r>
    </w:p>
    <w:p>
      <w:pPr>
        <w:pStyle w:val="Compact"/>
        <w:numPr>
          <w:ilvl w:val="0"/>
          <w:numId w:val="1008"/>
        </w:numPr>
      </w:pPr>
      <w:r>
        <w:t xml:space="preserve">갑은 건물 외벽·지붕·골조·기둥 등 구조적인 부분과 건축물의 주요 설비(상·하수도 설비, 스프링클러 등 소방설비)의 유지관리 및 보수를 책임진다. 다만, 을의 과실로 인한 피해와 설치한 집기·설비의 손상은 을이 부담한다.</w:t>
      </w:r>
    </w:p>
    <w:p>
      <w:pPr>
        <w:pStyle w:val="Compact"/>
        <w:numPr>
          <w:ilvl w:val="0"/>
          <w:numId w:val="1008"/>
        </w:numPr>
      </w:pPr>
      <w:r>
        <w:t xml:space="preserve">갑은 전기·소방·가스 등 주요 설비에 대한 정기 점검을 시행하고, 점검 결과를 을에게 통지한다. 을은 설비 이상 발생 시 즉시 갑에게 통보해야 한다.</w:t>
      </w:r>
    </w:p>
    <w:p>
      <w:pPr>
        <w:pStyle w:val="Compact"/>
        <w:numPr>
          <w:ilvl w:val="0"/>
          <w:numId w:val="1008"/>
        </w:numPr>
      </w:pPr>
      <w:r>
        <w:t xml:space="preserve">을은 임대차목적물의 시설·설비를 임의로 해체 또는 훼손할 수 없으며, 점검을 위해 갑의 요청이 있을 경우 협조해야 한다.</w:t>
      </w:r>
    </w:p>
    <w:bookmarkEnd w:id="33"/>
    <w:bookmarkStart w:id="34" w:name="제9조냉난방통신소방설비의-유지관리"/>
    <w:p>
      <w:pPr>
        <w:pStyle w:val="Heading2"/>
      </w:pPr>
      <w:r>
        <w:t xml:space="preserve">제9조(냉난방·통신·소방설비의 유지관리)</w:t>
      </w:r>
    </w:p>
    <w:p>
      <w:pPr>
        <w:pStyle w:val="Compact"/>
        <w:numPr>
          <w:ilvl w:val="0"/>
          <w:numId w:val="1009"/>
        </w:numPr>
      </w:pPr>
      <w:r>
        <w:t xml:space="preserve">갑은 건물 전체 냉난방 시스템 및 화재경보기·스프링클러 등 방재 설비의 정상적인 유지관리를 위해 정기 점검·보수를 실시한다. 점검 일정과 방법은 관리단과 협의하여 시행하며, 필요한 경우 을에게 결과를 통지한다.</w:t>
      </w:r>
    </w:p>
    <w:p>
      <w:pPr>
        <w:pStyle w:val="Compact"/>
        <w:numPr>
          <w:ilvl w:val="0"/>
          <w:numId w:val="1009"/>
        </w:numPr>
      </w:pPr>
      <w:r>
        <w:t xml:space="preserve">을은 전산·통신 설비와 개별 냉난방장치를 정상적으로 운영할 책임이 있다. 이상 발생 시 즉시 갑에게 신고하고, 을의 과실로 인한 고장은 을이 수리 비용을 부담한다.</w:t>
      </w:r>
    </w:p>
    <w:p>
      <w:pPr>
        <w:pStyle w:val="Compact"/>
        <w:numPr>
          <w:ilvl w:val="0"/>
          <w:numId w:val="1009"/>
        </w:numPr>
      </w:pPr>
      <w:r>
        <w:t xml:space="preserve">을은 별첨 4의 안전관리 및 방재 매뉴얼에 따라 화재·재난 예방 조치를 준수하며, 갑과 을은 긴급 상황 발생 시 즉시 소화설비를 작동하고 대응한다.</w:t>
      </w:r>
    </w:p>
    <w:p>
      <w:pPr>
        <w:pStyle w:val="Compact"/>
        <w:numPr>
          <w:ilvl w:val="0"/>
          <w:numId w:val="1009"/>
        </w:numPr>
      </w:pPr>
      <w:r>
        <w:t xml:space="preserve">갑 및 관리단은 주기적으로 합동 방재훈련을 실시한다. 을은 훈련에 적극 참여하고 방재설비의 정상 작동을 확인해야 한다.</w:t>
      </w:r>
    </w:p>
    <w:bookmarkEnd w:id="34"/>
    <w:bookmarkStart w:id="35" w:name="제10조전기수도가스-등-에너지-사용-규정"/>
    <w:p>
      <w:pPr>
        <w:pStyle w:val="Heading2"/>
      </w:pPr>
      <w:r>
        <w:t xml:space="preserve">제10조(전기·수도·가스 등 에너지 사용 규정)</w:t>
      </w:r>
    </w:p>
    <w:p>
      <w:pPr>
        <w:pStyle w:val="Compact"/>
        <w:numPr>
          <w:ilvl w:val="0"/>
          <w:numId w:val="1010"/>
        </w:numPr>
      </w:pPr>
      <w:r>
        <w:t xml:space="preserve">임대차목적물의 전기·수도·가스 사용계약은 각 사용주체(을 또는 업체)와 별도로 체결한다. 사용요금은 해당 사용자가 부담하며, 요금 고지서는 각자 확인하여 납부한다.</w:t>
      </w:r>
    </w:p>
    <w:p>
      <w:pPr>
        <w:pStyle w:val="Compact"/>
        <w:numPr>
          <w:ilvl w:val="0"/>
          <w:numId w:val="1010"/>
        </w:numPr>
      </w:pPr>
      <w:r>
        <w:t xml:space="preserve">공용전기(공용부 조명)·공용수(공용화장실 등)·공용가스 요금은 관리비에 포함하여 부과하며, 별도 납부를 요하지 않는다.</w:t>
      </w:r>
    </w:p>
    <w:p>
      <w:pPr>
        <w:pStyle w:val="Compact"/>
        <w:numPr>
          <w:ilvl w:val="0"/>
          <w:numId w:val="1010"/>
        </w:numPr>
      </w:pPr>
      <w:r>
        <w:t xml:space="preserve">을이 과다전력사용·누수·가스누출 등의 이상을 발견하면 즉시 갑 또는 시설관리자에게 통보한다. 을은 절전·절수·안전사용에 협조하며, 용량 초과가 예상될 때는 갑과 사전 협의한다.</w:t>
      </w:r>
    </w:p>
    <w:p>
      <w:pPr>
        <w:pStyle w:val="Compact"/>
        <w:numPr>
          <w:ilvl w:val="0"/>
          <w:numId w:val="1010"/>
        </w:numPr>
      </w:pPr>
      <w:r>
        <w:t xml:space="preserve">을은 전기·가스 설비의 임의 개조·개방을 금지하고, 누전차단기·가스밸브 등 안전장치를 임의로 비활성화하지 않는다. 비상시에는 즉시 전원을 차단하고 신고하며, 안전설비는 정상 상태로 유지한다.</w:t>
      </w:r>
    </w:p>
    <w:bookmarkEnd w:id="35"/>
    <w:bookmarkStart w:id="36" w:name="제11조화재재해보험-및-배상책임보험-의무가입"/>
    <w:p>
      <w:pPr>
        <w:pStyle w:val="Heading2"/>
      </w:pPr>
      <w:r>
        <w:t xml:space="preserve">제11조(화재·재해보험 및 배상책임보험 의무가입)</w:t>
      </w:r>
    </w:p>
    <w:p>
      <w:pPr>
        <w:pStyle w:val="Compact"/>
        <w:numPr>
          <w:ilvl w:val="0"/>
          <w:numId w:val="1011"/>
        </w:numPr>
      </w:pPr>
      <w:r>
        <w:t xml:space="preserve">갑은 건물 전체에 대한 화재보험·풍수해보험 등 재해보험에 가입한다. 보험료 부담은 갑이 하며, 계약서 사본은 을에게 제공한다.</w:t>
      </w:r>
    </w:p>
    <w:p>
      <w:pPr>
        <w:pStyle w:val="Compact"/>
        <w:numPr>
          <w:ilvl w:val="0"/>
          <w:numId w:val="1011"/>
        </w:numPr>
      </w:pPr>
      <w:r>
        <w:t xml:space="preserve">을은 영업 시설·집기 등을 대상으로 재난·도난 보험 및 대인·대물 배상책임보험에 가입해야 한다. 보험료는 을이 부담하며, 보험계약서 사본을 갑에게 제출한다.</w:t>
      </w:r>
    </w:p>
    <w:p>
      <w:pPr>
        <w:pStyle w:val="Compact"/>
        <w:numPr>
          <w:ilvl w:val="0"/>
          <w:numId w:val="1011"/>
        </w:numPr>
      </w:pPr>
      <w:r>
        <w:t xml:space="preserve">양 당사자는 보험사고 발생 시 즉시 서로 통지하고, 보험조사에 성실히 협조한다. 을의 고의·중과실로 인한 사고가 발생하면 을이 모든 손해를 배상한다.</w:t>
      </w:r>
    </w:p>
    <w:p>
      <w:pPr>
        <w:pStyle w:val="Compact"/>
        <w:numPr>
          <w:ilvl w:val="0"/>
          <w:numId w:val="1011"/>
        </w:numPr>
      </w:pPr>
      <w:r>
        <w:t xml:space="preserve">불가항력(화재·지진·홍수·폭발 등)으로 인한 피해는 계약 제23조의 규정에 따라 처리한다.</w:t>
      </w:r>
    </w:p>
    <w:bookmarkEnd w:id="36"/>
    <w:bookmarkStart w:id="37" w:name="제12조보안출입통제-및-cctv-운영"/>
    <w:p>
      <w:pPr>
        <w:pStyle w:val="Heading2"/>
      </w:pPr>
      <w:r>
        <w:t xml:space="preserve">제12조(보안·출입통제 및 CCTV 운영)</w:t>
      </w:r>
    </w:p>
    <w:p>
      <w:pPr>
        <w:pStyle w:val="Compact"/>
        <w:numPr>
          <w:ilvl w:val="0"/>
          <w:numId w:val="1012"/>
        </w:numPr>
      </w:pPr>
      <w:r>
        <w:t xml:space="preserve">갑은 상가 출입구 및 공용부에 CCTV를 설치·운영하여 보안을 유지한다. CCTV 녹화물은 관련 개인정보 보호 규정에 따라 보안서버에 저장하며, 필요 시 관계기관에 협조한다.</w:t>
      </w:r>
    </w:p>
    <w:p>
      <w:pPr>
        <w:pStyle w:val="Compact"/>
        <w:numPr>
          <w:ilvl w:val="0"/>
          <w:numId w:val="1012"/>
        </w:numPr>
      </w:pPr>
      <w:r>
        <w:t xml:space="preserve">을은 건물 출입관리시스템으로 수집된 방문객 정보를 안전하게 관리한다. 출입증 발급·반납과 보관, 녹화물 열람 등은 별첨 6의 개인정보처리 규정에 따른다.</w:t>
      </w:r>
    </w:p>
    <w:p>
      <w:pPr>
        <w:pStyle w:val="Compact"/>
        <w:numPr>
          <w:ilvl w:val="0"/>
          <w:numId w:val="1012"/>
        </w:numPr>
      </w:pPr>
      <w:r>
        <w:t xml:space="preserve">상가 출입문과 비상구 등에 대한 출입통제 정책은 건물관리규약과 별도의 출입관리내규를 따른다. 을이 별도 출입통제장치를 설치하려면 갑의 서면 승인을 받아야 한다.</w:t>
      </w:r>
    </w:p>
    <w:p>
      <w:pPr>
        <w:pStyle w:val="Compact"/>
        <w:numPr>
          <w:ilvl w:val="0"/>
          <w:numId w:val="1012"/>
        </w:numPr>
      </w:pPr>
      <w:r>
        <w:t xml:space="preserve">을은 관계 법령 및 정보통신망 이용촉진 및 정보보호법에 따라 출입자 정보의 수집·이용·보관·파기에 관해 엄격히 준수하고, 위반 시 책임을 진다.</w:t>
      </w:r>
    </w:p>
    <w:bookmarkEnd w:id="37"/>
    <w:bookmarkStart w:id="38" w:name="제13조입주자-간-분쟁조정-및-관리규약-준수"/>
    <w:p>
      <w:pPr>
        <w:pStyle w:val="Heading2"/>
      </w:pPr>
      <w:r>
        <w:t xml:space="preserve">제13조(입주자 간 분쟁조정 및 관리규약 준수)</w:t>
      </w:r>
    </w:p>
    <w:p>
      <w:pPr>
        <w:pStyle w:val="Compact"/>
        <w:numPr>
          <w:ilvl w:val="0"/>
          <w:numId w:val="1013"/>
        </w:numPr>
      </w:pPr>
      <w:r>
        <w:t xml:space="preserve">임대차목적물 관련 분쟁이 발생할 경우, 갑과 을은 먼저 상호 협의를 통해 해결한다. 협의가 어려울 때에는 관리단 또는 관련 조정기관에 분쟁 조정을 요청할 수 있다.</w:t>
      </w:r>
    </w:p>
    <w:p>
      <w:pPr>
        <w:pStyle w:val="Compact"/>
        <w:numPr>
          <w:ilvl w:val="0"/>
          <w:numId w:val="1013"/>
        </w:numPr>
      </w:pPr>
      <w:r>
        <w:t xml:space="preserve">을은 별첨 3의 공용구역 관리규약과 건물관리자의 지시사항을 준수해야 한다. 관리단 회의가 필요한 사안은 을이 협조하여 정보를 제공한다.</w:t>
      </w:r>
    </w:p>
    <w:p>
      <w:pPr>
        <w:pStyle w:val="Compact"/>
        <w:numPr>
          <w:ilvl w:val="0"/>
          <w:numId w:val="1013"/>
        </w:numPr>
      </w:pPr>
      <w:r>
        <w:t xml:space="preserve">같은 건물 내 타 임차인과 영업장 위치·소음·냄새 등으로 다툼이 발생하면, 을은 즉시 관리단에 통보하고 규약에 따른 분쟁절차를 따른다.</w:t>
      </w:r>
    </w:p>
    <w:p>
      <w:pPr>
        <w:pStyle w:val="Compact"/>
        <w:numPr>
          <w:ilvl w:val="0"/>
          <w:numId w:val="1013"/>
        </w:numPr>
      </w:pPr>
      <w:r>
        <w:t xml:space="preserve">을은 주차·안내·청소 등 관리규약상의 의무를 이행하며, 다른 입주자의 권리를 침해하지 않도록 주의한다.</w:t>
      </w:r>
    </w:p>
    <w:bookmarkEnd w:id="38"/>
    <w:bookmarkStart w:id="39" w:name="제14조광고물간판-설치-및-외관관리"/>
    <w:p>
      <w:pPr>
        <w:pStyle w:val="Heading2"/>
      </w:pPr>
      <w:r>
        <w:t xml:space="preserve">제14조(광고물·간판 설치 및 외관관리)</w:t>
      </w:r>
    </w:p>
    <w:p>
      <w:pPr>
        <w:pStyle w:val="Compact"/>
        <w:numPr>
          <w:ilvl w:val="0"/>
          <w:numId w:val="1014"/>
        </w:numPr>
      </w:pPr>
      <w:r>
        <w:t xml:space="preserve">을은 갑의 사전 서면 동의 없이 건물 외벽·옥상·출입구 등에 광고물이나 간판을 설치할 수 없다. 모든 광고물은 「옥외광고물등의관리법」 및 건축물 관리규약(별첨 3)에 부합해야 한다.</w:t>
      </w:r>
    </w:p>
    <w:p>
      <w:pPr>
        <w:pStyle w:val="Compact"/>
        <w:numPr>
          <w:ilvl w:val="0"/>
          <w:numId w:val="1014"/>
        </w:numPr>
      </w:pPr>
      <w:r>
        <w:t xml:space="preserve">을이 설치할 간판·현판 등은 갑의 서면 승인을 받은 후 부착한다. 간판 크기·형태·조명은 관계법령에서 정한 기준을 준수해야 한다.</w:t>
      </w:r>
    </w:p>
    <w:p>
      <w:pPr>
        <w:pStyle w:val="Compact"/>
        <w:numPr>
          <w:ilvl w:val="0"/>
          <w:numId w:val="1014"/>
        </w:numPr>
      </w:pPr>
      <w:r>
        <w:t xml:space="preserve">을이 외관 개선(페인트칠·사인 교체 등)을 할 경우, 구체적 사항을 갑과 협의하여야 하며, 그 비용은 을이 부담한다. 임대차 종료 시 간판 등은 원상복구하거나 철거한다.</w:t>
      </w:r>
    </w:p>
    <w:p>
      <w:pPr>
        <w:pStyle w:val="Compact"/>
        <w:numPr>
          <w:ilvl w:val="0"/>
          <w:numId w:val="1014"/>
        </w:numPr>
      </w:pPr>
      <w:r>
        <w:t xml:space="preserve">을은 광고물이 훼손되었을 때 즉시 수리·교체하고, 설치·관리 불량으로 인한 사고가 발생하면 을이 책임진다.</w:t>
      </w:r>
    </w:p>
    <w:bookmarkEnd w:id="39"/>
    <w:bookmarkStart w:id="40" w:name="제15조위험물-반입-금지-및-안전관리"/>
    <w:p>
      <w:pPr>
        <w:pStyle w:val="Heading2"/>
      </w:pPr>
      <w:r>
        <w:t xml:space="preserve">제15조(위험물 반입 금지 및 안전관리)</w:t>
      </w:r>
    </w:p>
    <w:p>
      <w:pPr>
        <w:pStyle w:val="Compact"/>
        <w:numPr>
          <w:ilvl w:val="0"/>
          <w:numId w:val="1015"/>
        </w:numPr>
      </w:pPr>
      <w:r>
        <w:t xml:space="preserve">을은 인화성 물질·폭발성 가스·유독성 화학약품 등 법령이 정한 위험물을 임대차목적물에 반입할 수 없다. 특별한 사유로 반입이 필요한 경우에는 반입 계획서를 갑에게 제출하여 서면 승인을 받아야 한다.</w:t>
      </w:r>
    </w:p>
    <w:p>
      <w:pPr>
        <w:pStyle w:val="Compact"/>
        <w:numPr>
          <w:ilvl w:val="0"/>
          <w:numId w:val="1015"/>
        </w:numPr>
      </w:pPr>
      <w:r>
        <w:t xml:space="preserve">을은 전기·가스·난방설비를 안전하게 사용하고, 화재·가스누출 등의 비상 상황 시 비상연락망(별첨 4)에 따라 조치한다. 정기적으로 화재·가스 점검을 실시하고, 결과를 기록하여 보관한다.</w:t>
      </w:r>
    </w:p>
    <w:p>
      <w:pPr>
        <w:pStyle w:val="Compact"/>
        <w:numPr>
          <w:ilvl w:val="0"/>
          <w:numId w:val="1015"/>
        </w:numPr>
      </w:pPr>
      <w:r>
        <w:t xml:space="preserve">을은 임차영업장 내 가스냉난방기기를 설치 시 반드시 자격을 갖춘 설비업체를 이용하고, 설치 후 관할 소방서 및 가스안전공사에 신고·검사를 완료해야 한다.</w:t>
      </w:r>
    </w:p>
    <w:p>
      <w:pPr>
        <w:pStyle w:val="Compact"/>
        <w:numPr>
          <w:ilvl w:val="0"/>
          <w:numId w:val="1015"/>
        </w:numPr>
      </w:pPr>
      <w:r>
        <w:t xml:space="preserve">갑은 건물의 내·외부 소화기·스프링클러 등의 소방시설을 정기 점검하며, 점검결과를 을에게 통지한다. 을은 갑의 지시대로 소방안전 점검 및 교육에 협조한다.</w:t>
      </w:r>
    </w:p>
    <w:bookmarkEnd w:id="40"/>
    <w:bookmarkStart w:id="41" w:name="제16조임대료-조정"/>
    <w:p>
      <w:pPr>
        <w:pStyle w:val="Heading2"/>
      </w:pPr>
      <w:r>
        <w:t xml:space="preserve">제16조(임대료 조정)</w:t>
      </w:r>
    </w:p>
    <w:p>
      <w:pPr>
        <w:pStyle w:val="Compact"/>
        <w:numPr>
          <w:ilvl w:val="0"/>
          <w:numId w:val="1016"/>
        </w:numPr>
      </w:pPr>
      <w:r>
        <w:t xml:space="preserve">임대차기간 중 월차임은 조정 없이 유지하되, 계약 갱신 시 법정 상한(연 5%) 범위 내에서 조정할 수 있다. 조정 필요 시 임대차 종료 2개월 전까지 양측이 협의하여 결정한다.</w:t>
      </w:r>
    </w:p>
    <w:p>
      <w:pPr>
        <w:pStyle w:val="Compact"/>
        <w:numPr>
          <w:ilvl w:val="0"/>
          <w:numId w:val="1016"/>
        </w:numPr>
      </w:pPr>
      <w:r>
        <w:t xml:space="preserve">갑이 건물의 대규모 보수·증축 등으로 추가 비용이 발생하는 경우, 을은 임대료 인상에 대해 합리적 범위에서 협의할 수 있다.</w:t>
      </w:r>
    </w:p>
    <w:p>
      <w:pPr>
        <w:pStyle w:val="Compact"/>
        <w:numPr>
          <w:ilvl w:val="0"/>
          <w:numId w:val="1016"/>
        </w:numPr>
      </w:pPr>
      <w:r>
        <w:t xml:space="preserve">을이 건물 관리에 적극 협조하거나 공실률이 현저히 증가하는 특수 상황 발생 시, 양측은 상호 협의하여 임대료 감면 또는 일시 중단을 검토할 수 있다.</w:t>
      </w:r>
    </w:p>
    <w:p>
      <w:pPr>
        <w:pStyle w:val="Compact"/>
        <w:numPr>
          <w:ilvl w:val="0"/>
          <w:numId w:val="1016"/>
        </w:numPr>
      </w:pPr>
      <w:r>
        <w:t xml:space="preserve">계약 기간 중 물가상승률이 현저히 급등하거나 재난으로 영업이 불가능할 경우, 을은 임대료 조정 또는 계약해지를 요청할 수 있으며, 양측은 선의로 협의하여 해결한다.</w:t>
      </w:r>
    </w:p>
    <w:bookmarkEnd w:id="41"/>
    <w:bookmarkStart w:id="42" w:name="제17조재임대전대금지-및-양도-제한"/>
    <w:p>
      <w:pPr>
        <w:pStyle w:val="Heading2"/>
      </w:pPr>
      <w:r>
        <w:t xml:space="preserve">제17조(재임대·전대금지 및 양도 제한)</w:t>
      </w:r>
    </w:p>
    <w:p>
      <w:pPr>
        <w:pStyle w:val="Compact"/>
        <w:numPr>
          <w:ilvl w:val="0"/>
          <w:numId w:val="1017"/>
        </w:numPr>
      </w:pPr>
      <w:hyperlink r:id="rId28">
        <w:r>
          <w:rPr>
            <w:rStyle w:val="Hyperlink"/>
          </w:rPr>
          <w:t xml:space="preserve">[4]</w:t>
        </w:r>
      </w:hyperlink>
      <w:r>
        <w:t xml:space="preserve">① 을은 갑의 사전 서면 동의 없이 본 계약상의 임대차권을 제3자에게 임대(전대)하거나 양도할 수 없다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② 을은 전대료·권리금 등을 어떠한 명목으로도 요구하거나 수취해서는 안 되며, 임대인의 동의 없이 보증금 반환채권을 담보로 제공할 수 없다.</w:t>
      </w:r>
    </w:p>
    <w:p>
      <w:pPr>
        <w:pStyle w:val="Compact"/>
        <w:numPr>
          <w:ilvl w:val="0"/>
          <w:numId w:val="1017"/>
        </w:numPr>
      </w:pPr>
      <w:r>
        <w:t xml:space="preserve">③ 을은 본 계약으로 얻은 지위를 담보로 하는 행위를 할 수 없으며, 임대료 지급 의무를 제3자에게 이전할 수 없다.</w:t>
      </w:r>
    </w:p>
    <w:p>
      <w:pPr>
        <w:pStyle w:val="Compact"/>
        <w:numPr>
          <w:ilvl w:val="0"/>
          <w:numId w:val="1017"/>
        </w:numPr>
      </w:pPr>
      <w:r>
        <w:t xml:space="preserve">④ 위반 시 갑은 즉시 계약을 해지할 수 있으며, 그로 인한 모든 손해(영업손실·개보수 비용 등)는 을이 배상한다.</w:t>
      </w:r>
    </w:p>
    <w:bookmarkEnd w:id="42"/>
    <w:bookmarkStart w:id="43" w:name="제18조시설-변경증축개보수-시-승인-절차"/>
    <w:p>
      <w:pPr>
        <w:pStyle w:val="Heading2"/>
      </w:pPr>
      <w:r>
        <w:t xml:space="preserve">제18조(시설 변경·증축·개보수 시 승인 절차)</w:t>
      </w:r>
    </w:p>
    <w:p>
      <w:pPr>
        <w:pStyle w:val="Compact"/>
        <w:numPr>
          <w:ilvl w:val="0"/>
          <w:numId w:val="1018"/>
        </w:numPr>
      </w:pPr>
      <w:r>
        <w:t xml:space="preserve">을은 임대차목적물의 내부 시설 변경(인테리어, 설비교체 등)을 하고자 할 때, 공사 범위·설계도 및 인허가 서류 등을 사전에 갑에게 제출하여 서면 승인을 받아야 한다.</w:t>
      </w:r>
    </w:p>
    <w:p>
      <w:pPr>
        <w:pStyle w:val="Compact"/>
        <w:numPr>
          <w:ilvl w:val="0"/>
          <w:numId w:val="1018"/>
        </w:numPr>
      </w:pPr>
      <w:r>
        <w:t xml:space="preserve">을은 변경 승인에 따른 설계·허가·공사 비용을 부담하며, 공사로 인한 소음·분진·영업중단 등의 손해는 을이 책임진다. 공사 기간과 방법은 상호 협의하여 안전하고 신속하게 시행한다.</w:t>
      </w:r>
    </w:p>
    <w:p>
      <w:pPr>
        <w:pStyle w:val="Compact"/>
        <w:numPr>
          <w:ilvl w:val="0"/>
          <w:numId w:val="1018"/>
        </w:numPr>
      </w:pPr>
      <w:r>
        <w:t xml:space="preserve">을이 예정된 내용과 달리 변경 공사를 진행할 경우, 갑은 즉시 공사 중지를 요구할 수 있다. 을은 이에 협조하며, 위반 시 계약 해지 사유가 될 수 있다.</w:t>
      </w:r>
    </w:p>
    <w:p>
      <w:pPr>
        <w:pStyle w:val="Compact"/>
        <w:numPr>
          <w:ilvl w:val="0"/>
          <w:numId w:val="1018"/>
        </w:numPr>
      </w:pPr>
      <w:r>
        <w:t xml:space="preserve">공사 완료 후 을은 즉시 원상복구가 필요한 부분을 점검하여 보수하고, 관계기관 사용승인(구조변경, 보일러 교체 등)이 필요한 경우 이를 득하여 갑에게 제출한다.</w:t>
      </w:r>
    </w:p>
    <w:bookmarkEnd w:id="43"/>
    <w:bookmarkStart w:id="45" w:name="제19조원상복구시설철거-규정"/>
    <w:p>
      <w:pPr>
        <w:pStyle w:val="Heading2"/>
      </w:pPr>
      <w:r>
        <w:t xml:space="preserve">제19조(원상복구·시설철거 규정)</w:t>
      </w:r>
    </w:p>
    <w:p>
      <w:pPr>
        <w:pStyle w:val="Compact"/>
        <w:numPr>
          <w:ilvl w:val="0"/>
          <w:numId w:val="1019"/>
        </w:numPr>
      </w:pPr>
      <w:hyperlink r:id="rId44">
        <w:r>
          <w:rPr>
            <w:rStyle w:val="Hyperlink"/>
          </w:rPr>
          <w:t xml:space="preserve">[6]</w:t>
        </w:r>
      </w:hyperlink>
      <w:r>
        <w:t xml:space="preserve">① 임대차기간 종료 또는 본 계약 해지 시, 을은 자신의 비용으로 임대차목적물을 원래의 상태로 복구하여 갑에게 반환한다</w:t>
      </w:r>
      <w:hyperlink r:id="rId44">
        <w:r>
          <w:rPr>
            <w:rStyle w:val="Hyperlink"/>
          </w:rPr>
          <w:t xml:space="preserve">[6]</w:t>
        </w:r>
      </w:hyperlink>
      <w:r>
        <w:t xml:space="preserve">. 여기에는 을이 설치한 시설·집기·인테리어 등이 포함된다.</w:t>
      </w:r>
    </w:p>
    <w:p>
      <w:pPr>
        <w:pStyle w:val="Compact"/>
        <w:numPr>
          <w:ilvl w:val="0"/>
          <w:numId w:val="1019"/>
        </w:numPr>
      </w:pPr>
      <w:r>
        <w:t xml:space="preserve">② 원상복구에 필요한 비용은 을이 부담한다. 을이 의무를 이행하지 않아 갑이 복구비용을 부담할 때에는 해당 비용을 을의 보증금에서 공제할 수 있다.</w:t>
      </w:r>
    </w:p>
    <w:p>
      <w:pPr>
        <w:pStyle w:val="Compact"/>
        <w:numPr>
          <w:ilvl w:val="0"/>
          <w:numId w:val="1019"/>
        </w:numPr>
      </w:pPr>
      <w:r>
        <w:t xml:space="preserve">③ 을은 계약종료 시 철거할 설비·집기 등의 목록과 철거계획을 갑에게 제출해야 하며, 갑의 승인을 받은 후 철거를 시행한다.</w:t>
      </w:r>
    </w:p>
    <w:p>
      <w:pPr>
        <w:pStyle w:val="Compact"/>
        <w:numPr>
          <w:ilvl w:val="0"/>
          <w:numId w:val="1019"/>
        </w:numPr>
      </w:pPr>
      <w:r>
        <w:t xml:space="preserve">④ 을이 철거로 인한 건물 손상을 초래한 경우에는 이를 수리해야 하며, 단순 노후나 통상의 마모는 갑이 부담한다. 보증금 반환 시 잔여금액은 을에게 반환한다.</w:t>
      </w:r>
    </w:p>
    <w:bookmarkEnd w:id="45"/>
    <w:bookmarkStart w:id="47" w:name="제20조계약갱신-및-조기해지-절차"/>
    <w:p>
      <w:pPr>
        <w:pStyle w:val="Heading2"/>
      </w:pPr>
      <w:r>
        <w:t xml:space="preserve">제20조(계약갱신 및 조기해지 절차)</w:t>
      </w:r>
    </w:p>
    <w:p>
      <w:pPr>
        <w:pStyle w:val="Compact"/>
        <w:numPr>
          <w:ilvl w:val="0"/>
          <w:numId w:val="1020"/>
        </w:numPr>
      </w:pPr>
      <w:hyperlink r:id="rId46">
        <w:r>
          <w:rPr>
            <w:rStyle w:val="Hyperlink"/>
          </w:rPr>
          <w:t xml:space="preserve">[7]</w:t>
        </w:r>
      </w:hyperlink>
      <w:r>
        <w:t xml:space="preserve">① 본 계약은 임대차기간 만료 6개월 전부터 3개월 전까지 어느 일방이 서면으로 갱신거절 또는 조건변경 의사를 통지하지 않으면 동일한 조건으로 자동갱신된다</w:t>
      </w:r>
      <w:hyperlink r:id="rId46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hyperlink r:id="rId46">
        <w:r>
          <w:rPr>
            <w:rStyle w:val="Hyperlink"/>
          </w:rPr>
          <w:t xml:space="preserve">[7]</w:t>
        </w:r>
      </w:hyperlink>
      <w:r>
        <w:t xml:space="preserve">② 상기 경우, 을은 언제든지 갑에게 계약 해지 통지를 할 수 있으며, 해지 통지를 받은 날로부터 3개월 이후에 해지 효력이 발생한다</w:t>
      </w:r>
      <w:hyperlink r:id="rId46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③ 임대차계약의 갱신 및 임대료 조정은 상가건물임대차보호법 등 관련 법령을 따른다. 양측은 갱신조건을 상호 서면 합의로 정할 수 있다.</w:t>
      </w:r>
    </w:p>
    <w:p>
      <w:pPr>
        <w:pStyle w:val="Compact"/>
        <w:numPr>
          <w:ilvl w:val="0"/>
          <w:numId w:val="1020"/>
        </w:numPr>
      </w:pPr>
      <w:r>
        <w:t xml:space="preserve">④ 갑 또는 을이 계약갱신을 원하지 않을 경우, 만료 3개월 전까지 상대방에게 그 의사를 서면 통지하여야 한다. 부득이한 사정으로 기한 내 통지가 어렵다면 그 사유를 명시하여 최대한 빨리 통보한다.</w:t>
      </w:r>
    </w:p>
    <w:bookmarkEnd w:id="47"/>
    <w:bookmarkStart w:id="49" w:name="제21조권리금-및-시설이전-관련-합의"/>
    <w:p>
      <w:pPr>
        <w:pStyle w:val="Heading2"/>
      </w:pPr>
      <w:r>
        <w:t xml:space="preserve">제21조(권리금 및 시설이전 관련 합의)</w:t>
      </w:r>
    </w:p>
    <w:p>
      <w:pPr>
        <w:pStyle w:val="Compact"/>
        <w:numPr>
          <w:ilvl w:val="0"/>
          <w:numId w:val="1021"/>
        </w:numPr>
      </w:pPr>
      <w:hyperlink r:id="rId48">
        <w:r>
          <w:rPr>
            <w:rStyle w:val="Hyperlink"/>
          </w:rPr>
          <w:t xml:space="preserve">[8]</w:t>
        </w:r>
      </w:hyperlink>
      <w:r>
        <w:t xml:space="preserve">① 을은 임대차목적물에 대하여 어떠한 명목으로도 권리금·영업시설 이전료·프리미엄 등을 갑에게 요구하거나 갑으로부터 받지 않는다</w:t>
      </w:r>
      <w:hyperlink r:id="rId48">
        <w:r>
          <w:rPr>
            <w:rStyle w:val="Hyperlink"/>
          </w:rPr>
          <w:t xml:space="preserve">[8]</w:t>
        </w:r>
      </w:hyperlink>
      <w:r>
        <w:t xml:space="preserve">. 갑은 을이 권리금 등을 요구하거나 수령한 사실에 대하여 일체 책임을 지지 않는다.</w:t>
      </w:r>
    </w:p>
    <w:p>
      <w:pPr>
        <w:pStyle w:val="Compact"/>
        <w:numPr>
          <w:ilvl w:val="0"/>
          <w:numId w:val="1021"/>
        </w:numPr>
      </w:pPr>
      <w:r>
        <w:t xml:space="preserve">② 을이 영업시설·집기 등을 철거하거나 이전하고자 할 때에는 갑의 사전 서면동의를 받아야 한다. 철거·이전 비용은 을이 부담하며, 철거로 인한 구조 변경 시 관련 법규에 따른 절차를 따른다.</w:t>
      </w:r>
    </w:p>
    <w:p>
      <w:pPr>
        <w:pStyle w:val="Compact"/>
        <w:numPr>
          <w:ilvl w:val="0"/>
          <w:numId w:val="1021"/>
        </w:numPr>
      </w:pPr>
      <w:r>
        <w:t xml:space="preserve">③ 임대차 종료 후 을이 영업시설을 철거하지 않을 경우, 갑의 요청에 따라 을이 즉시 철거하거나 을의 동의 없이 폐기할 수 있다. 이로 인한 비용은 을이 부담한다.</w:t>
      </w:r>
    </w:p>
    <w:p>
      <w:pPr>
        <w:pStyle w:val="Compact"/>
        <w:numPr>
          <w:ilvl w:val="0"/>
          <w:numId w:val="1021"/>
        </w:numPr>
      </w:pPr>
      <w:r>
        <w:t xml:space="preserve">④ 을이 계약 종료 후 남겨둘 집기·설비 등의 처분 여부는 별도의 서면 합의서에 따른다. 이 합의서도 본 계약의 일부로 본다.</w:t>
      </w:r>
    </w:p>
    <w:bookmarkEnd w:id="49"/>
    <w:bookmarkStart w:id="52" w:name="제22조손해배상-및-책임제한"/>
    <w:p>
      <w:pPr>
        <w:pStyle w:val="Heading2"/>
      </w:pPr>
      <w:r>
        <w:t xml:space="preserve">제22조(손해배상 및 책임제한)</w:t>
      </w:r>
    </w:p>
    <w:p>
      <w:pPr>
        <w:pStyle w:val="Compact"/>
        <w:numPr>
          <w:ilvl w:val="0"/>
          <w:numId w:val="1022"/>
        </w:numPr>
      </w:pPr>
      <w:hyperlink r:id="rId50">
        <w:r>
          <w:rPr>
            <w:rStyle w:val="Hyperlink"/>
          </w:rPr>
          <w:t xml:space="preserve">[9]</w:t>
        </w:r>
      </w:hyperlink>
      <w:r>
        <w:t xml:space="preserve">① 을의 고의 또는 과실로 인해 갑 또는 제3자에게 손해가 발생한 경우, 을은 그 손해를 배상할 책임이 있다</w:t>
      </w:r>
      <w:hyperlink r:id="rId50">
        <w:r>
          <w:rPr>
            <w:rStyle w:val="Hyperlink"/>
          </w:rPr>
          <w:t xml:space="preserve">[9]</w:t>
        </w:r>
      </w:hyperlink>
      <w:r>
        <w:t xml:space="preserve">. 보험 적용 범위를 초과하는 손실도 을이 부담한다.</w:t>
      </w:r>
    </w:p>
    <w:p>
      <w:pPr>
        <w:pStyle w:val="Compact"/>
        <w:numPr>
          <w:ilvl w:val="0"/>
          <w:numId w:val="1022"/>
        </w:numPr>
      </w:pPr>
      <w:hyperlink r:id="rId51">
        <w:r>
          <w:rPr>
            <w:rStyle w:val="Hyperlink"/>
          </w:rPr>
          <w:t xml:space="preserve">[10]</w:t>
        </w:r>
      </w:hyperlink>
      <w:r>
        <w:t xml:space="preserve">② 천재지변·화재·전쟁·폭동·정부의 긴급명령 등 갑과 을이 통제할 수 없는 불가항력으로 인한 손해에 대해서는 갑과 을은 서로 책임을 지지 않는다</w:t>
      </w:r>
      <w:hyperlink r:id="rId5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③ 을이 본 계약 의무를 위반하여 발생한 손해에 대해서는 갑이 보증금에서 손해액을 공제한 후 잔액을 을에게 반환할 수 있다.</w:t>
      </w:r>
    </w:p>
    <w:p>
      <w:pPr>
        <w:pStyle w:val="Compact"/>
        <w:numPr>
          <w:ilvl w:val="0"/>
          <w:numId w:val="1022"/>
        </w:numPr>
      </w:pPr>
      <w:r>
        <w:t xml:space="preserve">④ 갑이 고의나 중대한 과실로 건물에 손해를 끼친 경우, 갑은 해당 부위의 복구·보수를 책임지고, 이로 인해 을에게 발생한 영업손실도 배상한다.</w:t>
      </w:r>
    </w:p>
    <w:bookmarkEnd w:id="52"/>
    <w:bookmarkStart w:id="53" w:name="제23조불가항력"/>
    <w:p>
      <w:pPr>
        <w:pStyle w:val="Heading2"/>
      </w:pPr>
      <w:r>
        <w:t xml:space="preserve">제23조(불가항력)</w:t>
      </w:r>
    </w:p>
    <w:p>
      <w:pPr>
        <w:pStyle w:val="Compact"/>
        <w:numPr>
          <w:ilvl w:val="0"/>
          <w:numId w:val="1023"/>
        </w:numPr>
      </w:pPr>
      <w:r>
        <w:t xml:space="preserve">천재지변, 화재, 폭발, 정부의 긴급 명령 등 예측할 수 없고 당사자 통제 밖의 사유로 계약 이행이 불가능하게 될 경우, 영향을 받은 당사자는 지체 없이 상대방에게 서면 통지하고 계약 이행을 중지할 수 있다. 이 경우 양측은 피해 최소화를 위해 상호 협조한다.</w:t>
      </w:r>
    </w:p>
    <w:p>
      <w:pPr>
        <w:pStyle w:val="Compact"/>
        <w:numPr>
          <w:ilvl w:val="0"/>
          <w:numId w:val="1023"/>
        </w:numPr>
      </w:pPr>
      <w:r>
        <w:t xml:space="preserve">불가항력으로 인한 피해와 복구에 따른 비용 분담은 계약의 취지와 상호 협의에 따라 결정한다. 양측 합의에 따라 계약 해지·연기 또는 보상 방안을 결정할 수 있다.</w:t>
      </w:r>
    </w:p>
    <w:p>
      <w:pPr>
        <w:pStyle w:val="Compact"/>
        <w:numPr>
          <w:ilvl w:val="0"/>
          <w:numId w:val="1023"/>
        </w:numPr>
      </w:pPr>
      <w:r>
        <w:t xml:space="preserve">전기·통신 단절, 구조물 붕괴 등으로 을의 영업에 지장이 발생하는 경우, 갑과 을은 계약의 해제·변경에 관해 선의로 협의한다.</w:t>
      </w:r>
    </w:p>
    <w:bookmarkEnd w:id="53"/>
    <w:bookmarkStart w:id="54" w:name="제24조개인정보보호-및-출입자-정보처리"/>
    <w:p>
      <w:pPr>
        <w:pStyle w:val="Heading2"/>
      </w:pPr>
      <w:r>
        <w:t xml:space="preserve">제24조(개인정보보호 및 출입자 정보처리)</w:t>
      </w:r>
    </w:p>
    <w:p>
      <w:pPr>
        <w:pStyle w:val="Compact"/>
        <w:numPr>
          <w:ilvl w:val="0"/>
          <w:numId w:val="1024"/>
        </w:numPr>
      </w:pPr>
      <w:r>
        <w:t xml:space="preserve">갑과 을은 개인정보 보호법, 정보통신망법 등 관계 법령을 준수하여 방문객·거주자 등의 개인정보를 수집·보관·처리한다. 출입자 정보는 상가관리사무소 또는 위탁업체가 안전하게 관리하며, 제3자 제공 시 반드시 정보주체의 동의를 받는다.</w:t>
      </w:r>
    </w:p>
    <w:p>
      <w:pPr>
        <w:pStyle w:val="Compact"/>
        <w:numPr>
          <w:ilvl w:val="0"/>
          <w:numId w:val="1024"/>
        </w:numPr>
      </w:pPr>
      <w:r>
        <w:t xml:space="preserve">출입자 정보 처리는 별첨 6의 개인정보보호 및 출입자관리 규정에 따른다. 이 규정에는 수집 항목·보관 방법·파기 시기가 명시되어 있다. 을이 개인정보 처리를 위탁할 때는 비밀유지계약을 체결하고 갑에게 위탁계약서를 제출한다.</w:t>
      </w:r>
    </w:p>
    <w:p>
      <w:pPr>
        <w:pStyle w:val="Compact"/>
        <w:numPr>
          <w:ilvl w:val="0"/>
          <w:numId w:val="1024"/>
        </w:numPr>
      </w:pPr>
      <w:r>
        <w:t xml:space="preserve">개인정보 유출 사고가 발생하면, 해당 당사자는 즉시 상대방과 관계당국에 신고하고, 개인정보주체에게 알리며 피해 확산 방지를 위해 협조한다.</w:t>
      </w:r>
    </w:p>
    <w:bookmarkEnd w:id="54"/>
    <w:bookmarkStart w:id="55" w:name="제25조준거법-관할법원-및-중재절차"/>
    <w:p>
      <w:pPr>
        <w:pStyle w:val="Heading2"/>
      </w:pPr>
      <w:r>
        <w:t xml:space="preserve">제25조(준거법, 관할법원 및 중재절차)</w:t>
      </w:r>
    </w:p>
    <w:p>
      <w:pPr>
        <w:pStyle w:val="Compact"/>
        <w:numPr>
          <w:ilvl w:val="0"/>
          <w:numId w:val="1025"/>
        </w:numPr>
      </w:pPr>
      <w:r>
        <w:t xml:space="preserve">본 계약의 해석과 집행에는 대한민국 법령을 적용한다. 계약과 관련된 분쟁은 임대차 목적물 소재지 관할법원의 전속 관할로 한다.</w:t>
      </w:r>
    </w:p>
    <w:p>
      <w:pPr>
        <w:pStyle w:val="Compact"/>
        <w:numPr>
          <w:ilvl w:val="0"/>
          <w:numId w:val="1025"/>
        </w:numPr>
      </w:pPr>
      <w:r>
        <w:t xml:space="preserve">민사분쟁 발생 시 당사자 간 중재를 원칙으로 하되, 합의가 없으면 관할법원에 소송을 제기할 수 있다. 필요시 상가건물 임대차분쟁조정위원회 등에 분쟁조정을 요청할 수 있다.</w:t>
      </w:r>
    </w:p>
    <w:p>
      <w:pPr>
        <w:pStyle w:val="Compact"/>
        <w:numPr>
          <w:ilvl w:val="0"/>
          <w:numId w:val="1025"/>
        </w:numPr>
      </w:pPr>
      <w:r>
        <w:t xml:space="preserve">국제거래가 아니므로 계약서와 관련된 모든 절차는 대한민국에서 행하며, 법원 제소 전 가능한 협의를 시도한다.</w:t>
      </w:r>
    </w:p>
    <w:bookmarkEnd w:id="55"/>
    <w:bookmarkStart w:id="56" w:name="제26조통지방법-및-계약서의-효력"/>
    <w:p>
      <w:pPr>
        <w:pStyle w:val="Heading2"/>
      </w:pPr>
      <w:r>
        <w:t xml:space="preserve">제26조(통지방법 및 계약서의 효력)</w:t>
      </w:r>
    </w:p>
    <w:p>
      <w:pPr>
        <w:pStyle w:val="Compact"/>
        <w:numPr>
          <w:ilvl w:val="0"/>
          <w:numId w:val="1026"/>
        </w:numPr>
      </w:pPr>
      <w:r>
        <w:t xml:space="preserve">계약상의 통지는 서면으로 하며, 등기우편이나 내용증명, E-mail, Fax 등 양측이 사전에 합의한 방법에 의해 한다. 상대방이 명시한 주소 또는 연락처로 통지하며, 주소 변경 시 7일 이내에 서면으로 통지해야 한다.</w:t>
      </w:r>
    </w:p>
    <w:p>
      <w:pPr>
        <w:pStyle w:val="Compact"/>
        <w:numPr>
          <w:ilvl w:val="0"/>
          <w:numId w:val="1026"/>
        </w:numPr>
      </w:pPr>
      <w:r>
        <w:t xml:space="preserve">통지는 상대방이 실제로 수령한 때에 효력이 발생하며, 수령 거부나 부재로 회신우편이 온 경우 도달한 것으로 본다.</w:t>
      </w:r>
    </w:p>
    <w:p>
      <w:pPr>
        <w:pStyle w:val="Compact"/>
        <w:numPr>
          <w:ilvl w:val="0"/>
          <w:numId w:val="1026"/>
        </w:numPr>
      </w:pPr>
      <w:r>
        <w:t xml:space="preserve">본 계약서 및 별첨은 본 계약과 동일한 효력을 가진다. 본 계약에서 규정하지 않은 사항은 관계 법령과 일반 관습에 따른다.</w:t>
      </w:r>
    </w:p>
    <w:p>
      <w:pPr>
        <w:pStyle w:val="Compact"/>
        <w:numPr>
          <w:ilvl w:val="0"/>
          <w:numId w:val="1026"/>
        </w:numPr>
      </w:pPr>
      <w:r>
        <w:t xml:space="preserve">본 계약서는 갑과 을이 각각 서명·날인(또는 기명날인)한 후 2부를 작성하여 갑과 을이 각각 1부씩 보관한다. 계약서에 날인된 인감은 법적 효력을 가진다.</w:t>
      </w:r>
    </w:p>
    <w:bookmarkEnd w:id="56"/>
    <w:bookmarkStart w:id="57" w:name="제27조기타사항"/>
    <w:p>
      <w:pPr>
        <w:pStyle w:val="Heading2"/>
      </w:pPr>
      <w:r>
        <w:t xml:space="preserve">제27조(기타사항)</w:t>
      </w:r>
    </w:p>
    <w:p>
      <w:pPr>
        <w:pStyle w:val="Compact"/>
        <w:numPr>
          <w:ilvl w:val="0"/>
          <w:numId w:val="1027"/>
        </w:numPr>
      </w:pPr>
      <w:r>
        <w:t xml:space="preserve">본 계약에 규정되지 않은 사항은 상가건물임대차보호법, 민법 등 관계법령 및 상관례에 따른다. 이와 모순되는 구두 약정이나 이전 계약은 이 계약으로 대체된다.</w:t>
      </w:r>
    </w:p>
    <w:p>
      <w:pPr>
        <w:pStyle w:val="Compact"/>
        <w:numPr>
          <w:ilvl w:val="0"/>
          <w:numId w:val="1027"/>
        </w:numPr>
      </w:pPr>
      <w:r>
        <w:t xml:space="preserve">본 계약 관련 비밀유지 의무는 계약 종료 후에도 계속된다. 갑과 을은 상대방의 신뢰를 해칠 수 있는 행위를 하지 않는다.</w:t>
      </w:r>
    </w:p>
    <w:p>
      <w:pPr>
        <w:pStyle w:val="Compact"/>
        <w:numPr>
          <w:ilvl w:val="0"/>
          <w:numId w:val="1027"/>
        </w:numPr>
      </w:pPr>
      <w:r>
        <w:t xml:space="preserve">별첨 1~6에 열거된 부속서류는 본 계약의 일부를 구성하며, 각별첨의 내용은 본 계약과 동일한 효력을 가진다.</w:t>
      </w:r>
    </w:p>
    <w:p>
      <w:pPr>
        <w:pStyle w:val="Compact"/>
        <w:numPr>
          <w:ilvl w:val="0"/>
          <w:numId w:val="1027"/>
        </w:numPr>
      </w:pPr>
      <w:r>
        <w:t xml:space="preserve">이 계약은 당사자들이 서명·날인한 날로부터 효력을 발생한다.</w:t>
      </w:r>
    </w:p>
    <w:bookmarkEnd w:id="57"/>
    <w:bookmarkStart w:id="58" w:name="제28조서명-및-날인"/>
    <w:p>
      <w:pPr>
        <w:pStyle w:val="Heading2"/>
      </w:pPr>
      <w:r>
        <w:t xml:space="preserve">제28조(서명 및 날인)</w:t>
      </w:r>
    </w:p>
    <w:p>
      <w:pPr>
        <w:pStyle w:val="FirstParagraph"/>
      </w:pPr>
      <w:r>
        <w:t xml:space="preserve">본 계약의 내용을 충분히 숙지한 후, 아래에 갑과 을의 성명 및 서명(기명날인)을 기재하여 계약을 완료한다.</w:t>
      </w:r>
    </w:p>
    <w:p>
      <w:pPr>
        <w:pStyle w:val="Compact"/>
        <w:numPr>
          <w:ilvl w:val="0"/>
          <w:numId w:val="1028"/>
        </w:numPr>
      </w:pPr>
      <w:r>
        <w:t xml:space="preserve">임대인(갑): 정갑수 (서명 또는 인)</w:t>
      </w:r>
    </w:p>
    <w:p>
      <w:pPr>
        <w:pStyle w:val="Compact"/>
        <w:numPr>
          <w:ilvl w:val="0"/>
          <w:numId w:val="1028"/>
        </w:numPr>
      </w:pPr>
      <w:r>
        <w:t xml:space="preserve">주소: ***(주소)</w:t>
      </w:r>
    </w:p>
    <w:p>
      <w:pPr>
        <w:pStyle w:val="Compact"/>
        <w:numPr>
          <w:ilvl w:val="0"/>
          <w:numId w:val="1028"/>
        </w:numPr>
      </w:pPr>
      <w:r>
        <w:t xml:space="preserve">주민등록번호:</w:t>
      </w:r>
      <w:r>
        <w:t xml:space="preserve"> </w:t>
      </w:r>
      <w:r>
        <w:rPr>
          <w:b/>
          <w:bCs/>
          <w:i/>
          <w:iCs/>
        </w:rPr>
        <w:t xml:space="preserve">*</w:t>
      </w:r>
      <w:r>
        <w:rPr>
          <w:b/>
          <w:bCs/>
        </w:rPr>
        <w:t xml:space="preserve">*</w:t>
      </w:r>
      <w:r>
        <w:t xml:space="preserve">*</w:t>
      </w:r>
    </w:p>
    <w:p>
      <w:pPr>
        <w:pStyle w:val="Compact"/>
        <w:numPr>
          <w:ilvl w:val="0"/>
          <w:numId w:val="1028"/>
        </w:numPr>
      </w:pPr>
      <w:r>
        <w:t xml:space="preserve">임차인(을): 박을찬 (서명 또는 인)</w:t>
      </w:r>
    </w:p>
    <w:p>
      <w:pPr>
        <w:pStyle w:val="Compact"/>
        <w:numPr>
          <w:ilvl w:val="0"/>
          <w:numId w:val="1028"/>
        </w:numPr>
      </w:pPr>
      <w:r>
        <w:t xml:space="preserve">주소: ***(주소)</w:t>
      </w:r>
    </w:p>
    <w:p>
      <w:pPr>
        <w:pStyle w:val="Compact"/>
        <w:numPr>
          <w:ilvl w:val="0"/>
          <w:numId w:val="1028"/>
        </w:numPr>
      </w:pPr>
      <w:r>
        <w:t xml:space="preserve">주민등록번호:</w:t>
      </w:r>
      <w:r>
        <w:t xml:space="preserve"> </w:t>
      </w:r>
      <w:r>
        <w:rPr>
          <w:b/>
          <w:bCs/>
          <w:i/>
          <w:iCs/>
        </w:rPr>
        <w:t xml:space="preserve">*</w:t>
      </w:r>
      <w:r>
        <w:rPr>
          <w:b/>
          <w:bCs/>
        </w:rPr>
        <w:t xml:space="preserve">*</w:t>
      </w:r>
      <w:r>
        <w:t xml:space="preserve">*</w:t>
      </w:r>
    </w:p>
    <w:bookmarkEnd w:id="58"/>
    <w:bookmarkStart w:id="59" w:name="별첨"/>
    <w:p>
      <w:pPr>
        <w:pStyle w:val="Heading2"/>
      </w:pPr>
      <w:r>
        <w:t xml:space="preserve">별첨</w:t>
      </w:r>
    </w:p>
    <w:p>
      <w:pPr>
        <w:pStyle w:val="Compact"/>
        <w:numPr>
          <w:ilvl w:val="0"/>
          <w:numId w:val="1029"/>
        </w:numPr>
      </w:pPr>
      <w:r>
        <w:t xml:space="preserve">임대차 목적물 도면 및 위치도</w:t>
      </w:r>
    </w:p>
    <w:p>
      <w:pPr>
        <w:pStyle w:val="Compact"/>
        <w:numPr>
          <w:ilvl w:val="0"/>
          <w:numId w:val="1029"/>
        </w:numPr>
      </w:pPr>
      <w:r>
        <w:t xml:space="preserve">관리비 산정표 및 납부일정표</w:t>
      </w:r>
    </w:p>
    <w:p>
      <w:pPr>
        <w:pStyle w:val="Compact"/>
        <w:numPr>
          <w:ilvl w:val="0"/>
          <w:numId w:val="1029"/>
        </w:numPr>
      </w:pPr>
      <w:r>
        <w:t xml:space="preserve">공용구역 관리규약</w:t>
      </w:r>
    </w:p>
    <w:p>
      <w:pPr>
        <w:pStyle w:val="Compact"/>
        <w:numPr>
          <w:ilvl w:val="0"/>
          <w:numId w:val="1029"/>
        </w:numPr>
      </w:pPr>
      <w:r>
        <w:t xml:space="preserve">안전관리 및 방재 매뉴얼</w:t>
      </w:r>
    </w:p>
    <w:p>
      <w:pPr>
        <w:pStyle w:val="Compact"/>
        <w:numPr>
          <w:ilvl w:val="0"/>
          <w:numId w:val="1029"/>
        </w:numPr>
      </w:pPr>
      <w:r>
        <w:t xml:space="preserve">보험가입 증서 사본</w:t>
      </w:r>
    </w:p>
    <w:p>
      <w:pPr>
        <w:pStyle w:val="Compact"/>
        <w:numPr>
          <w:ilvl w:val="0"/>
          <w:numId w:val="1029"/>
        </w:numPr>
      </w:pPr>
      <w:r>
        <w:t xml:space="preserve">개인정보보호 및 출입자 관리규정</w:t>
      </w:r>
    </w:p>
    <w:p>
      <w:pPr>
        <w:pStyle w:val="FirstParagraph"/>
      </w:pPr>
      <w:hyperlink r:id="rId21">
        <w:r>
          <w:rPr>
            <w:rStyle w:val="Hyperlink"/>
            <w:b/>
            <w:bCs/>
          </w:rPr>
          <w:t xml:space="preserve">[1]</w:t>
        </w:r>
      </w:hyperlink>
      <w:hyperlink r:id="rId23">
        <w:r>
          <w:rPr>
            <w:rStyle w:val="Hyperlink"/>
            <w:b/>
            <w:bCs/>
          </w:rPr>
          <w:t xml:space="preserve">[2]</w:t>
        </w:r>
      </w:hyperlink>
      <w:hyperlink r:id="rId28">
        <w:r>
          <w:rPr>
            <w:rStyle w:val="Hyperlink"/>
            <w:b/>
            <w:bCs/>
          </w:rPr>
          <w:t xml:space="preserve">[4]</w:t>
        </w:r>
      </w:hyperlink>
      <w:hyperlink r:id="rId25">
        <w:r>
          <w:rPr>
            <w:rStyle w:val="Hyperlink"/>
            <w:b/>
            <w:bCs/>
          </w:rPr>
          <w:t xml:space="preserve">[3]</w:t>
        </w:r>
      </w:hyperlink>
      <w:hyperlink r:id="rId31">
        <w:r>
          <w:rPr>
            <w:rStyle w:val="Hyperlink"/>
            <w:b/>
            <w:bCs/>
          </w:rPr>
          <w:t xml:space="preserve">[5]</w:t>
        </w:r>
      </w:hyperlink>
      <w:hyperlink r:id="rId44">
        <w:r>
          <w:rPr>
            <w:rStyle w:val="Hyperlink"/>
            <w:b/>
            <w:bCs/>
          </w:rPr>
          <w:t xml:space="preserve">[6]</w:t>
        </w:r>
      </w:hyperlink>
      <w:hyperlink r:id="rId46">
        <w:r>
          <w:rPr>
            <w:rStyle w:val="Hyperlink"/>
            <w:b/>
            <w:bCs/>
          </w:rPr>
          <w:t xml:space="preserve">[7]</w:t>
        </w:r>
      </w:hyperlink>
      <w:hyperlink r:id="rId48">
        <w:r>
          <w:rPr>
            <w:rStyle w:val="Hyperlink"/>
            <w:b/>
            <w:bCs/>
          </w:rPr>
          <w:t xml:space="preserve">[8]</w:t>
        </w:r>
      </w:hyperlink>
      <w:hyperlink r:id="rId50">
        <w:r>
          <w:rPr>
            <w:rStyle w:val="Hyperlink"/>
            <w:b/>
            <w:bCs/>
          </w:rPr>
          <w:t xml:space="preserve">[9]</w:t>
        </w:r>
      </w:hyperlink>
      <w:hyperlink r:id="rId51">
        <w:r>
          <w:rPr>
            <w:rStyle w:val="Hyperlink"/>
            <w:b/>
            <w:bCs/>
          </w:rPr>
          <w:t xml:space="preserve">[10]</w:t>
        </w:r>
      </w:hyperlink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hyperlink r:id="rId44">
        <w:r>
          <w:rPr>
            <w:rStyle w:val="Hyperlink"/>
          </w:rPr>
          <w:t xml:space="preserve">[6]</w:t>
        </w:r>
      </w:hyperlink>
      <w:r>
        <w:t xml:space="preserve"> </w:t>
      </w:r>
      <w:hyperlink r:id="rId46">
        <w:r>
          <w:rPr>
            <w:rStyle w:val="Hyperlink"/>
          </w:rPr>
          <w:t xml:space="preserve">[7]</w:t>
        </w:r>
      </w:hyperlink>
      <w:r>
        <w:t xml:space="preserve"> </w:t>
      </w:r>
      <w:hyperlink r:id="rId48">
        <w:r>
          <w:rPr>
            <w:rStyle w:val="Hyperlink"/>
          </w:rPr>
          <w:t xml:space="preserve">[8]</w:t>
        </w:r>
      </w:hyperlink>
      <w:r>
        <w:t xml:space="preserve"> </w:t>
      </w:r>
      <w:hyperlink r:id="rId50">
        <w:r>
          <w:rPr>
            <w:rStyle w:val="Hyperlink"/>
          </w:rPr>
          <w:t xml:space="preserve">[9]</w:t>
        </w:r>
      </w:hyperlink>
      <w:r>
        <w:t xml:space="preserve"> </w:t>
      </w:r>
      <w:hyperlink r:id="rId5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taein.co.kr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https://www.taein.co.kr/common/document/mm11p.pdf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상가건물임대차표준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https://www.moj.go.kr/moj/316/subview.do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s://www.moj.go.kr/moj/316/subview.do" TargetMode="External" /><Relationship Type="http://schemas.openxmlformats.org/officeDocument/2006/relationships/hyperlink" Id="rId31" Target="https://www.moj.go.kr/moj/316/subview.do#:~:text=%EA%B0%9C%EC%84%A0%EB%90%9C%20%EC%96%91%EC%8B%9D%EC%97%90%20%EB%94%B0%EB%A5%B4%EB%A9%B4%2C%20%EC%83%81%EA%B0%80%EA%B1%B4%EB%AC%BC%20%EC%9E%84%EB%8C%80%EC%B0%A8%EA%B3%84%EC%95%BD%EC%9D%84,%EB%B6%84%EC%9F%81%EC%9D%84%20%EC%98%88%EB%B0%A9%ED%95%A0%20%EC%88%98%20%EC%9E%88%EB%8F%84%EB%A1%9D%20%ED%95%98%EC%98%80%EC%8A%B5%EB%8B%88%EB%8B%A4" TargetMode="External" /><Relationship Type="http://schemas.openxmlformats.org/officeDocument/2006/relationships/hyperlink" Id="rId25" Target="https://www.moj.go.kr/moj/316/subview.do#:~:text=%ED%99%98%EC%82%B0%EB%B3%B4%EC%A6%9D%EA%B8%88%EC%9D%B4%EB%9E%80%20%E3%80%8C%EC%83%81%EA%B0%80%EA%B1%B4%EB%AC%BC%EC%9E%84%EB%8C%80%EC%B0%A8%EB%B3%B4%ED%98%B8%EB%B2%95%E3%80%8D%EC%9D%98%20%EC%A0%81%EC%9A%A9%EB%B2%94%EC%9C%84%EB%A5%BC%20%EC%A0%95%ED%95%98%EB%8A%94%20%EA%B8%B0%EC%A4%80%EC%9C%BC%EB%A1%9C,%ED%95%A9%EC%9D%98%ED%95%9C%20%EC%82%AC%ED%95%AD%EB%8F%84%20%EC%B6%94%EA%B0%80%ED%95%98%EC%8B%A4%20%EC%88%98%20%EC%9E%88%EC%8A%B5%EB%8B%88%EB%8B%A4" TargetMode="External" /><Relationship Type="http://schemas.openxmlformats.org/officeDocument/2006/relationships/hyperlink" Id="rId62" Target="https://www.taein.co.kr/common/document/mm11p.pdf" TargetMode="External" /><Relationship Type="http://schemas.openxmlformats.org/officeDocument/2006/relationships/hyperlink" Id="rId23" Target="https://www.taein.co.kr/common/document/mm11p.pdf#:~:text=%E2%91%A0%20%EC%9E%84%EC%B0%A8%EC%9D%B8%EC%9D%80%20%EC%9E%84%EB%8C%80%EC%B0%A8%EB%B6%80%EB%8F%99%EC%82%B0%EC%9D%84%20%EC%97%85%EC%A2%85%EC%9D%98%20%EC%98%81%EC%97%85%EC%9D%84,%EC%A7%80%EC%A0%95%EB%90%9C%20%EC%97%85%EC%A2%85%EC%9D%84%20%EB%B3%80%EA%B2%BD%ED%95%A0%20%EC%88%98%20%EC%97%86%EB%8B%A4" TargetMode="External" /><Relationship Type="http://schemas.openxmlformats.org/officeDocument/2006/relationships/hyperlink" Id="rId44" Target="https://www.taein.co.kr/common/document/mm11p.pdf#:~:text=%E2%91%A0%20%EC%9E%84%EC%B0%A8%EC%9D%B8%EC%9D%80%20%EC%9E%90%EC%8B%A0%EC%9D%98%20%EB%B9%84%EC%9A%A9%EC%9C%BC%EB%A1%9C%20%EC%9E%84%EB%8C%80%EC%B0%A8%EB%B6%80%EB%8F%99%EC%82%B0%EC%9D%84,%EB%AA%A8%EB%93%A0%20%EC%B1%84%EB%AC%B4%EB%A5%BC%20%EA%B3%B5%EC%A0%9C%ED%95%9C%20%EA%B8%88%EC%95%A1%EC%9C%BC%EB%A1%9C%20%ED%95%9C%EB%8B%A4" TargetMode="External" /><Relationship Type="http://schemas.openxmlformats.org/officeDocument/2006/relationships/hyperlink" Id="rId21" Target="https://www.taein.co.kr/common/document/mm11p.pdf#:~:text=%EC%86%8C%EC%9E%AC%EC%A7%80%20%3A%20%EA%B1%B4%EB%AC%BC%EC%9D%98%20%ED%91%9C%EC%8B%9C%20%EA%B5%AC%EC%A1%B0,%EC%9D%BC%EB%B6%80%EC%9D%B8%20%EA%B2%BD%EC%9A%B0%EC%97%90%EB%8A%94%20%EB%8F%84%EB%A9%B4%EC%9D%84%20%EC%9E%91%EC%84%B1%ED%95%98%EC%97%AC%20%EB%B6%99%EC%9D%B8%EB%8B%A4" TargetMode="External" /><Relationship Type="http://schemas.openxmlformats.org/officeDocument/2006/relationships/hyperlink" Id="rId46" Target="https://www.taein.co.kr/common/document/mm11p.pdf#:~:text=%EC%97%90%20%EC%83%81%EB%8C%80%EB%B0%A9%EC%97%90%EA%B2%8C%20%E2%80%98%EC%9E%84%EB%8C%80%EC%B0%A8%EA%B3%84%EC%95%BD%EC%9D%84%20%EB%8D%94%20%EC%9D%B4%EC%83%81,%EB%B0%9B%EC%9D%80%20%EB%82%A0%EB%B6%80%ED%84%B0%203%EC%9B%94%EC%9D%B4%20%EA%B2%BD%EA%B3%BC%ED%95%A8%EC%9C%BC%EB%A1%9C%EC%8D%A8%20%EB%B0%9C%EC%83%9D%ED%95%9C%EB%8B%A4" TargetMode="External" /><Relationship Type="http://schemas.openxmlformats.org/officeDocument/2006/relationships/hyperlink" Id="rId48" Target="https://www.taein.co.kr/common/document/mm11p.pdf#:~:text=%EC%A0%9C10%EC%A1%B0,%EC%9D%BC%EC%B2%B4%EC%9D%98%20%EC%B1%85%EC%9E%84%20%EC%9D%84%20%EC%A7%80%EC%A7%80%20%EC%95%84%EB%8B%88%ED%95%9C%EB%8B%A4" TargetMode="External" /><Relationship Type="http://schemas.openxmlformats.org/officeDocument/2006/relationships/hyperlink" Id="rId50" Target="https://www.taein.co.kr/common/document/mm11p.pdf#:~:text=%EC%A0%9C11%EC%A1%B0,%EA%B7%B8%EB%A1%9C%20%EC%9D%B8%ED%95%9C%20%EC%86%90%ED%95%B4%EB%A5%BC%20%EB%B0%B0%EC%83%81%ED%95%98%EC%97%AC%EC%95%BC%20%ED%95%9C%EB%8B%A4" TargetMode="External" /><Relationship Type="http://schemas.openxmlformats.org/officeDocument/2006/relationships/hyperlink" Id="rId51" Target="https://www.taein.co.kr/common/document/mm11p.pdf#:~:text=%EC%A0%9C12%EC%A1%B0,%EA%B2%BD%EC%9A%B0%20%EC%9E%84%EB%8C%80%EC%9D%B8%EC%9D%80%20%EC%B1%85%EC%9E%84%EC%9D%84%20%EC%A7%80%EC%A7%80%20%EC%95%84%EB%8B%88%ED%95%9C%EB%8B%A4" TargetMode="External" /><Relationship Type="http://schemas.openxmlformats.org/officeDocument/2006/relationships/hyperlink" Id="rId28" Target="https://www.taein.co.kr/common/document/mm11p.pdf#:~:text=%EC%A0%9C6%EC%A1%B0,%EA%B8%B0%ED%83%80%20%EB%8B%B4%EB%B3%B4%EB%A1%9C%20%EC%A0%9C%EA%B3%B5%ED%95%A0%20%EC%88%98%20%EC%97%86%EB%8B%A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www.moj.go.kr/moj/316/subview.do" TargetMode="External" /><Relationship Type="http://schemas.openxmlformats.org/officeDocument/2006/relationships/hyperlink" Id="rId31" Target="https://www.moj.go.kr/moj/316/subview.do#:~:text=%EA%B0%9C%EC%84%A0%EB%90%9C%20%EC%96%91%EC%8B%9D%EC%97%90%20%EB%94%B0%EB%A5%B4%EB%A9%B4%2C%20%EC%83%81%EA%B0%80%EA%B1%B4%EB%AC%BC%20%EC%9E%84%EB%8C%80%EC%B0%A8%EA%B3%84%EC%95%BD%EC%9D%84,%EB%B6%84%EC%9F%81%EC%9D%84%20%EC%98%88%EB%B0%A9%ED%95%A0%20%EC%88%98%20%EC%9E%88%EB%8F%84%EB%A1%9D%20%ED%95%98%EC%98%80%EC%8A%B5%EB%8B%88%EB%8B%A4" TargetMode="External" /><Relationship Type="http://schemas.openxmlformats.org/officeDocument/2006/relationships/hyperlink" Id="rId25" Target="https://www.moj.go.kr/moj/316/subview.do#:~:text=%ED%99%98%EC%82%B0%EB%B3%B4%EC%A6%9D%EA%B8%88%EC%9D%B4%EB%9E%80%20%E3%80%8C%EC%83%81%EA%B0%80%EA%B1%B4%EB%AC%BC%EC%9E%84%EB%8C%80%EC%B0%A8%EB%B3%B4%ED%98%B8%EB%B2%95%E3%80%8D%EC%9D%98%20%EC%A0%81%EC%9A%A9%EB%B2%94%EC%9C%84%EB%A5%BC%20%EC%A0%95%ED%95%98%EB%8A%94%20%EA%B8%B0%EC%A4%80%EC%9C%BC%EB%A1%9C,%ED%95%A9%EC%9D%98%ED%95%9C%20%EC%82%AC%ED%95%AD%EB%8F%84%20%EC%B6%94%EA%B0%80%ED%95%98%EC%8B%A4%20%EC%88%98%20%EC%9E%88%EC%8A%B5%EB%8B%88%EB%8B%A4" TargetMode="External" /><Relationship Type="http://schemas.openxmlformats.org/officeDocument/2006/relationships/hyperlink" Id="rId62" Target="https://www.taein.co.kr/common/document/mm11p.pdf" TargetMode="External" /><Relationship Type="http://schemas.openxmlformats.org/officeDocument/2006/relationships/hyperlink" Id="rId23" Target="https://www.taein.co.kr/common/document/mm11p.pdf#:~:text=%E2%91%A0%20%EC%9E%84%EC%B0%A8%EC%9D%B8%EC%9D%80%20%EC%9E%84%EB%8C%80%EC%B0%A8%EB%B6%80%EB%8F%99%EC%82%B0%EC%9D%84%20%EC%97%85%EC%A2%85%EC%9D%98%20%EC%98%81%EC%97%85%EC%9D%84,%EC%A7%80%EC%A0%95%EB%90%9C%20%EC%97%85%EC%A2%85%EC%9D%84%20%EB%B3%80%EA%B2%BD%ED%95%A0%20%EC%88%98%20%EC%97%86%EB%8B%A4" TargetMode="External" /><Relationship Type="http://schemas.openxmlformats.org/officeDocument/2006/relationships/hyperlink" Id="rId44" Target="https://www.taein.co.kr/common/document/mm11p.pdf#:~:text=%E2%91%A0%20%EC%9E%84%EC%B0%A8%EC%9D%B8%EC%9D%80%20%EC%9E%90%EC%8B%A0%EC%9D%98%20%EB%B9%84%EC%9A%A9%EC%9C%BC%EB%A1%9C%20%EC%9E%84%EB%8C%80%EC%B0%A8%EB%B6%80%EB%8F%99%EC%82%B0%EC%9D%84,%EB%AA%A8%EB%93%A0%20%EC%B1%84%EB%AC%B4%EB%A5%BC%20%EA%B3%B5%EC%A0%9C%ED%95%9C%20%EA%B8%88%EC%95%A1%EC%9C%BC%EB%A1%9C%20%ED%95%9C%EB%8B%A4" TargetMode="External" /><Relationship Type="http://schemas.openxmlformats.org/officeDocument/2006/relationships/hyperlink" Id="rId21" Target="https://www.taein.co.kr/common/document/mm11p.pdf#:~:text=%EC%86%8C%EC%9E%AC%EC%A7%80%20%3A%20%EA%B1%B4%EB%AC%BC%EC%9D%98%20%ED%91%9C%EC%8B%9C%20%EA%B5%AC%EC%A1%B0,%EC%9D%BC%EB%B6%80%EC%9D%B8%20%EA%B2%BD%EC%9A%B0%EC%97%90%EB%8A%94%20%EB%8F%84%EB%A9%B4%EC%9D%84%20%EC%9E%91%EC%84%B1%ED%95%98%EC%97%AC%20%EB%B6%99%EC%9D%B8%EB%8B%A4" TargetMode="External" /><Relationship Type="http://schemas.openxmlformats.org/officeDocument/2006/relationships/hyperlink" Id="rId46" Target="https://www.taein.co.kr/common/document/mm11p.pdf#:~:text=%EC%97%90%20%EC%83%81%EB%8C%80%EB%B0%A9%EC%97%90%EA%B2%8C%20%E2%80%98%EC%9E%84%EB%8C%80%EC%B0%A8%EA%B3%84%EC%95%BD%EC%9D%84%20%EB%8D%94%20%EC%9D%B4%EC%83%81,%EB%B0%9B%EC%9D%80%20%EB%82%A0%EB%B6%80%ED%84%B0%203%EC%9B%94%EC%9D%B4%20%EA%B2%BD%EA%B3%BC%ED%95%A8%EC%9C%BC%EB%A1%9C%EC%8D%A8%20%EB%B0%9C%EC%83%9D%ED%95%9C%EB%8B%A4" TargetMode="External" /><Relationship Type="http://schemas.openxmlformats.org/officeDocument/2006/relationships/hyperlink" Id="rId48" Target="https://www.taein.co.kr/common/document/mm11p.pdf#:~:text=%EC%A0%9C10%EC%A1%B0,%EC%9D%BC%EC%B2%B4%EC%9D%98%20%EC%B1%85%EC%9E%84%20%EC%9D%84%20%EC%A7%80%EC%A7%80%20%EC%95%84%EB%8B%88%ED%95%9C%EB%8B%A4" TargetMode="External" /><Relationship Type="http://schemas.openxmlformats.org/officeDocument/2006/relationships/hyperlink" Id="rId50" Target="https://www.taein.co.kr/common/document/mm11p.pdf#:~:text=%EC%A0%9C11%EC%A1%B0,%EA%B7%B8%EB%A1%9C%20%EC%9D%B8%ED%95%9C%20%EC%86%90%ED%95%B4%EB%A5%BC%20%EB%B0%B0%EC%83%81%ED%95%98%EC%97%AC%EC%95%BC%20%ED%95%9C%EB%8B%A4" TargetMode="External" /><Relationship Type="http://schemas.openxmlformats.org/officeDocument/2006/relationships/hyperlink" Id="rId51" Target="https://www.taein.co.kr/common/document/mm11p.pdf#:~:text=%EC%A0%9C12%EC%A1%B0,%EA%B2%BD%EC%9A%B0%20%EC%9E%84%EB%8C%80%EC%9D%B8%EC%9D%80%20%EC%B1%85%EC%9E%84%EC%9D%84%20%EC%A7%80%EC%A7%80%20%EC%95%84%EB%8B%88%ED%95%9C%EB%8B%A4" TargetMode="External" /><Relationship Type="http://schemas.openxmlformats.org/officeDocument/2006/relationships/hyperlink" Id="rId28" Target="https://www.taein.co.kr/common/document/mm11p.pdf#:~:text=%EC%A0%9C6%EC%A1%B0,%EA%B8%B0%ED%83%80%20%EB%8B%B4%EB%B3%B4%EB%A1%9C%20%EC%A0%9C%EA%B3%B5%ED%95%A0%20%EC%88%98%20%EC%97%86%EB%8B%A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2025-11-06T01:12:35Z</dcterms:created>
  <dcterms:modified xsi:type="dcterms:W3CDTF">2025-11-06T01:12:35Z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