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(59회차)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p>
      <w:pPr>
        <w:pStyle w:val="Heading1"/>
        <w:spacing w:after="120" w:before="240"/>
      </w:pPr>
      <w:r>
        <w:rPr>
          <w:rFonts w:ascii="맑은 고딕" w:cs="맑은 고딕" w:eastAsia="맑은 고딕" w:hAnsi="맑은 고딕"/>
        </w:rPr>
        <w:t>59회차 — 고정자산 처분일과 이미 잡힌 감가상각</w:t>
      </w:r>
    </w:p>
    <w:p>
      <w:pPr>
        <w:spacing w:after="120"/>
      </w:pPr>
      <w:r>
        <w:rPr>
          <w:rFonts w:ascii="맑은 고딕" w:cs="맑은 고딕" w:eastAsia="맑은 고딕" w:hAnsi="맑은 고딕"/>
          <w:sz w:val="21"/>
          <w:szCs w:val="21"/>
        </w:rPr>
        <w:t>계기: 고정자산 처분 분개를 손으로 따져 보았습니다. 처분손익 = 처분가 − (취득가 − 누계액) 이고, 분개는 차) 203 누계액·101 처분대금·970 처분손실 / 대) 자산계정·914 처분이익 — 맞았습니다(이 계정과목표는 누계액이 203 하나라 상각·처분이 같은 계정을 씁니다). 그런데 처분일을 이미 상각한 달보다 앞으로 주면 그대로 받아 줬습니다. 3월까지 상각한 자산을 2/15 처분으로 넣으면 3월 감가상각비(818)는 없는 자산의 비용으로 남고, 누계액이 한 달 치 부풀어 처분손익이 그만큼 틀립니다.</w:t>
      </w:r>
    </w:p>
    <w:p>
      <w:pPr>
        <w:pStyle w:val="Heading2"/>
        <w:spacing w:after="120" w:before="240"/>
      </w:pPr>
      <w:r>
        <w:rPr>
          <w:rFonts w:ascii="맑은 고딕" w:cs="맑은 고딕" w:eastAsia="맑은 고딕" w:hAnsi="맑은 고딕"/>
        </w:rPr>
        <w:t>59-1. 사용법</w:t>
      </w:r>
    </w:p>
    <w:p>
      <w:pPr>
        <w:pStyle w:val="ListParagraph"/>
        <w:numPr>
          <w:ilvl w:val="0"/>
          <w:numId w:val="2"/>
        </w:numPr>
        <w:spacing w:after="60"/>
      </w:pPr>
      <w:r>
        <w:rPr>
          <w:rFonts w:ascii="맑은 고딕" w:cs="맑은 고딕" w:eastAsia="맑은 고딕" w:hAnsi="맑은 고딕"/>
          <w:sz w:val="21"/>
          <w:szCs w:val="21"/>
        </w:rPr>
        <w:t>회계 I &gt; 고정자산 — [자산목록] 줄의 [처분] 은 오늘 날짜로 처분합니다. 앞 달까지 상각을 미리 돌려 놓은 경우 그 달들보다 앞선 처분일은 "처분일(…) 뒤 달 YYYY-MM 에 감가상각이 이미 잡혀 있습니다 — 처분일을 … 이후로 하세요." 로 막습니다.</w:t>
      </w:r>
    </w:p>
    <w:p>
      <w:pPr>
        <w:pStyle w:val="Heading2"/>
        <w:spacing w:after="120" w:before="240"/>
      </w:pPr>
      <w:r>
        <w:rPr>
          <w:rFonts w:ascii="맑은 고딕" w:cs="맑은 고딕" w:eastAsia="맑은 고딕" w:hAnsi="맑은 고딕"/>
        </w:rPr>
        <w:t>59-2.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자산</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CNC선반 1,200만 · 5년 정액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200,000 · 6월 상각 후 장부가 11,800,000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7/14 1,200만에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처분이익 200,000 (914)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대차평형</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두달상각 1,000만 · 5년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2·3월 각 166,667 · 장부가 9,666,666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자산 2/15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3월 상각이 이미 있음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거절</w:t>
            </w:r>
          </w:p>
        </w:tc>
      </w:tr>
    </w:tbl>
    <w:p>
      <w:pPr>
        <w:pStyle w:val="Heading2"/>
        <w:spacing w:after="120" w:before="240"/>
      </w:pPr>
      <w:r>
        <w:rPr>
          <w:rFonts w:ascii="맑은 고딕" w:cs="맑은 고딕" w:eastAsia="맑은 고딕" w:hAnsi="맑은 고딕"/>
        </w:rPr>
        <w:t>59-3.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상각한 달보다 앞선 날짜로 처분된다 — 처분 뒤 달의 감가상각비가 남고 처분손익이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처분일을 취득일과만 비교했다.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처분월 뒤 상각 기록이 있으면 그 달들과 함께 거절. qa 시나리오 11 에 단언. (96b14f4)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59-4. 조사 근거</w:t>
      </w:r>
    </w:p>
    <w:p>
      <w:pPr>
        <w:pStyle w:val="ListParagraph"/>
        <w:numPr>
          <w:ilvl w:val="0"/>
          <w:numId w:val="2"/>
        </w:numPr>
        <w:spacing w:after="60"/>
      </w:pPr>
      <w:r>
        <w:rPr>
          <w:rFonts w:ascii="맑은 고딕" w:cs="맑은 고딕" w:eastAsia="맑은 고딕" w:hAnsi="맑은 고딕"/>
          <w:sz w:val="21"/>
          <w:szCs w:val="21"/>
        </w:rPr>
        <w:t>일반기업회계기준 10장(유형자산) — 처분 시 장부금액(취득원가 − 감가상각누계액)과 처분금액의 차이를 처분손익으로 인식. 감가상각은 처분 시점까지만.</w:t>
      </w:r>
    </w:p>
    <w:p>
      <w:pPr>
        <w:pStyle w:val="ListParagraph"/>
        <w:numPr>
          <w:ilvl w:val="0"/>
          <w:numId w:val="2"/>
        </w:numPr>
        <w:spacing w:after="60"/>
      </w:pPr>
      <w:r>
        <w:rPr>
          <w:rFonts w:ascii="맑은 고딕" w:cs="맑은 고딕" w:eastAsia="맑은 고딕" w:hAnsi="맑은 고딕"/>
          <w:sz w:val="21"/>
          <w:szCs w:val="21"/>
        </w:rPr>
        <w:t>다른 세션이 찾은 거래처별 채무 누락(외주비 회계반영 분개가 채무 잔액에 안 잡힘)을 다음 회차에 맡기로 했다.</w:t>
      </w:r>
    </w:p>
    <w:p>
      <w:pPr>
        <w:pStyle w:val="Heading2"/>
        <w:spacing w:after="120" w:before="240"/>
      </w:pPr>
      <w:r>
        <w:rPr>
          <w:rFonts w:ascii="맑은 고딕" w:cs="맑은 고딕" w:eastAsia="맑은 고딕" w:hAnsi="맑은 고딕"/>
        </w:rPr>
        <w:t>59-5. 다음 할 일</w:t>
      </w:r>
    </w:p>
    <w:p>
      <w:pPr>
        <w:pStyle w:val="ListParagraph"/>
        <w:numPr>
          <w:ilvl w:val="0"/>
          <w:numId w:val="2"/>
        </w:numPr>
        <w:spacing w:after="60"/>
      </w:pPr>
      <w:r>
        <w:rPr>
          <w:rFonts w:ascii="맑은 고딕" w:cs="맑은 고딕" w:eastAsia="맑은 고딕" w:hAnsi="맑은 고딕"/>
          <w:sz w:val="21"/>
          <w:szCs w:val="21"/>
        </w:rPr>
        <w:t>60회차: LedgerService.partnerBalances 에 SALES/PURCHASE 외 출처의 108/251 분개 이동을 더하기. 감가상각을 앞날 달로 미리 돌리는 것을 막을지 원본 확인.</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