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(61회차)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p>
      <w:pPr>
        <w:pStyle w:val="Heading1"/>
        <w:spacing w:after="120" w:before="240"/>
      </w:pPr>
      <w:r>
        <w:rPr>
          <w:rFonts w:ascii="맑은 고딕" w:cs="맑은 고딕" w:eastAsia="맑은 고딕" w:hAnsi="맑은 고딕"/>
        </w:rPr>
        <w:t>60회차 — 채권·채무 잔액에 어음·수표·외주비 회계반영</w:t>
      </w:r>
    </w:p>
    <w:p>
      <w:pPr>
        <w:spacing w:after="120"/>
      </w:pPr>
      <w:r>
        <w:rPr>
          <w:rFonts w:ascii="맑은 고딕" w:cs="맑은 고딕" w:eastAsia="맑은 고딕" w:hAnsi="맑은 고딕"/>
          <w:sz w:val="21"/>
          <w:szCs w:val="21"/>
        </w:rPr>
        <w:t>계기: 생산 쪽을 맡은 다른 세션이 외주비 회계반영(대 251 외상매입금 · 외주처)이 거래처별채무 잔액에 안 잡히고 같은 크기의 음수 [기타할인등차액] 으로 뜬다고 알려 왔습니다. 따라가 보니 채권·채무 잔액은 판매·구매 − 수금·지급 정산만 세고 있어, 어음·수표로 받은 거래처의 외상매출금도 영영 줄지 않았습니다. 원본은 외주비회계반영이 매입전표를 만들어 채무를 올리고, 어음 수취는 외상매출금을 줄입니다.</w:t>
      </w:r>
    </w:p>
    <w:p>
      <w:pPr>
        <w:pStyle w:val="Heading2"/>
        <w:spacing w:after="120" w:before="240"/>
      </w:pPr>
      <w:r>
        <w:rPr>
          <w:rFonts w:ascii="맑은 고딕" w:cs="맑은 고딕" w:eastAsia="맑은 고딕" w:hAnsi="맑은 고딕"/>
        </w:rPr>
        <w:t>60-1. 사용법</w:t>
      </w:r>
    </w:p>
    <w:p>
      <w:pPr>
        <w:pStyle w:val="ListParagraph"/>
        <w:numPr>
          <w:ilvl w:val="0"/>
          <w:numId w:val="2"/>
        </w:numPr>
        <w:spacing w:after="60"/>
      </w:pPr>
      <w:r>
        <w:rPr>
          <w:rFonts w:ascii="맑은 고딕" w:cs="맑은 고딕" w:eastAsia="맑은 고딕" w:hAnsi="맑은 고딕"/>
          <w:sz w:val="21"/>
          <w:szCs w:val="21"/>
        </w:rPr>
        <w:t>재고 I &gt; 구매관리 &gt; 거래처별채무 · 영업관리 &gt; 거래처별채권 — 잔액 = 기초 + 재고매입(매출) + 회계매입(매출) − 지급(수금)합계. 회계전표가 외상매입금·외상매출금을 직접 움직인 것(지급어음·외주비 회계반영·받을어음·수표·상계)이 [회계…]·[…합계] 칸과 잔액에 들어갑니다.</w:t>
      </w:r>
    </w:p>
    <w:p>
      <w:pPr>
        <w:pStyle w:val="ListParagraph"/>
        <w:numPr>
          <w:ilvl w:val="0"/>
          <w:numId w:val="2"/>
        </w:numPr>
        <w:spacing w:after="60"/>
      </w:pPr>
      <w:r>
        <w:rPr>
          <w:rFonts w:ascii="맑은 고딕" w:cs="맑은 고딕" w:eastAsia="맑은 고딕" w:hAnsi="맑은 고딕"/>
          <w:sz w:val="21"/>
          <w:szCs w:val="21"/>
        </w:rPr>
        <w:t>[기타할인등차액] 은 이제 보통 0 입니다 — 0 이 아니면 이름 붙여 세지 못한 움직임이 있다는 경고입니다.</w:t>
      </w:r>
    </w:p>
    <w:p>
      <w:pPr>
        <w:pStyle w:val="ListParagraph"/>
        <w:numPr>
          <w:ilvl w:val="0"/>
          <w:numId w:val="2"/>
        </w:numPr>
        <w:spacing w:after="60"/>
      </w:pPr>
      <w:r>
        <w:rPr>
          <w:rFonts w:ascii="맑은 고딕" w:cs="맑은 고딕" w:eastAsia="맑은 고딕" w:hAnsi="맑은 고딕"/>
          <w:sz w:val="21"/>
          <w:szCs w:val="21"/>
        </w:rPr>
        <w:t>채권/채무현황·채권현황·경영보고서 등 같은 잔액을 쓰는 화면이 모두 함께 바뀝니다.</w:t>
      </w:r>
    </w:p>
    <w:p>
      <w:pPr>
        <w:jc w:val="center"/>
      </w:pPr>
      <w:r>
        <w:drawing>
          <wp:inline xmlns:a="http://schemas.openxmlformats.org/drawingml/2006/main" xmlns:pic="http://schemas.openxmlformats.org/drawingml/2006/picture">
            <wp:extent cx="5760000" cy="3240000"/>
            <wp:docPr id="102" name="Picture 102"/>
            <wp:cNvGraphicFramePr>
              <a:graphicFrameLocks noChangeAspect="1"/>
            </wp:cNvGraphicFramePr>
            <a:graphic>
              <a:graphicData uri="http://schemas.openxmlformats.org/drawingml/2006/picture">
                <pic:pic>
                  <pic:nvPicPr>
                    <pic:cNvPr id="0" name="r60-1.png"/>
                    <pic:cNvPicPr/>
                  </pic:nvPicPr>
                  <pic:blipFill>
                    <a:blip r:embed="rId11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102. 거래처별채무(9~10월) — 실제 거래처(오피스디포·대성전자부품)는 그대로, QA매입처는 지급어음·수표로 −5.5억(선급금)</w:t>
      </w:r>
    </w:p>
    <w:p>
      <w:pPr>
        <w:jc w:val="center"/>
      </w:pPr>
      <w:r>
        <w:drawing>
          <wp:inline xmlns:a="http://schemas.openxmlformats.org/drawingml/2006/main" xmlns:pic="http://schemas.openxmlformats.org/drawingml/2006/picture">
            <wp:extent cx="5760000" cy="3240000"/>
            <wp:docPr id="103" name="Picture 103"/>
            <wp:cNvGraphicFramePr>
              <a:graphicFrameLocks noChangeAspect="1"/>
            </wp:cNvGraphicFramePr>
            <a:graphic>
              <a:graphicData uri="http://schemas.openxmlformats.org/drawingml/2006/picture">
                <pic:pic>
                  <pic:nvPicPr>
                    <pic:cNvPr id="0" name="r60-2.png"/>
                    <pic:cNvPicPr/>
                  </pic:nvPicPr>
                  <pic:blipFill>
                    <a:blip r:embed="rId11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103. 거래처별채권 — 기타할인등차액 0</w:t>
      </w:r>
    </w:p>
    <w:p>
      <w:pPr>
        <w:pStyle w:val="Heading2"/>
        <w:spacing w:after="120" w:before="240"/>
      </w:pPr>
      <w:r>
        <w:rPr>
          <w:rFonts w:ascii="맑은 고딕" w:cs="맑은 고딕" w:eastAsia="맑은 고딕" w:hAnsi="맑은 고딕"/>
        </w:rPr>
        <w:t>60-2.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받을어음 500,000 수취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 채권 −500,000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지급어음 150,000 발행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QA매입처 채무 −150,000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 기간 거래처별채권·채무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기타차액 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실측: 108/251 을 움직인 비전표 분개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QA고객사(어음·수표) · QA매입처(어음·수표) · 한빛스마트홈(정산 분개 3건 — 이미 정산으로 세므로 제외)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 거래처 잔액 변화 없음</w:t>
            </w:r>
          </w:p>
        </w:tc>
      </w:tr>
    </w:tbl>
    <w:p>
      <w:pPr>
        <w:pStyle w:val="Heading2"/>
        <w:spacing w:after="120" w:before="240"/>
      </w:pPr>
      <w:r>
        <w:rPr>
          <w:rFonts w:ascii="맑은 고딕" w:cs="맑은 고딕" w:eastAsia="맑은 고딕" w:hAnsi="맑은 고딕"/>
        </w:rPr>
        <w:t>60-3.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어음·수표로 받은(준) 거래처의 채권(채무)이 줄지 않는다. 외주비 회계반영으로 생긴 외주처 채무가 잔액에 안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잔액이 판매·구매 − 정산만 셌다(예전에 시드 어음이 커서 일부러 뺐다는 주석).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출처 외의 108/251 분개 이동을 거래처별 잔액에 더한다(LedgerService.partnerBalances).</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정산(수금·지급) 출처 회계전표가 거래처별채권 [수금합계] 에 정산전표와 함께 두 번 들어갔다.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통제계정 집계가 판매(구매) 출처만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셋을 빼는 목록으로(COUNTED_BY_SLIP). qa 에 전 기간 기타차액 0. (43ff5f1)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60-4. 조사 근거</w:t>
      </w:r>
    </w:p>
    <w:p>
      <w:pPr>
        <w:pStyle w:val="ListParagraph"/>
        <w:numPr>
          <w:ilvl w:val="0"/>
          <w:numId w:val="2"/>
        </w:numPr>
        <w:spacing w:after="60"/>
      </w:pPr>
      <w:r>
        <w:rPr>
          <w:rFonts w:ascii="맑은 고딕" w:cs="맑은 고딕" w:eastAsia="맑은 고딕" w:hAnsi="맑은 고딕"/>
          <w:sz w:val="21"/>
          <w:szCs w:val="21"/>
        </w:rPr>
        <w:t>외상매출금은 통제계정이다 — 받을어음으로 회수하면 (차)받을어음 (대)외상매출금 으로 거래처 채권이 준다. 보조원장(거래처별)과 총계정원장 잔액이 같아야 한다.</w:t>
      </w:r>
    </w:p>
    <w:p>
      <w:pPr>
        <w:pStyle w:val="ListParagraph"/>
        <w:numPr>
          <w:ilvl w:val="0"/>
          <w:numId w:val="2"/>
        </w:numPr>
        <w:spacing w:after="60"/>
      </w:pPr>
      <w:r>
        <w:rPr>
          <w:rFonts w:ascii="맑은 고딕" w:cs="맑은 고딕" w:eastAsia="맑은 고딕" w:hAnsi="맑은 고딕"/>
          <w:sz w:val="21"/>
          <w:szCs w:val="21"/>
        </w:rPr>
        <w:t>부작용: 개발 DB 의 QA고객사 채권 −16.2억, QA매입처 채무 −5.5억 — QA 하네스가 판매 없이 어음·수표를 수천 장 받아 온 결과가 이제 보인다. 정리는 #43(QA 전용 회사) 결정과 함께.</w:t>
      </w:r>
    </w:p>
    <w:p>
      <w:pPr>
        <w:pStyle w:val="Heading2"/>
        <w:spacing w:after="120" w:before="240"/>
      </w:pPr>
      <w:r>
        <w:rPr>
          <w:rFonts w:ascii="맑은 고딕" w:cs="맑은 고딕" w:eastAsia="맑은 고딕" w:hAnsi="맑은 고딕"/>
        </w:rPr>
        <w:t>60-5. 다음 할 일</w:t>
      </w:r>
    </w:p>
    <w:p>
      <w:pPr>
        <w:pStyle w:val="ListParagraph"/>
        <w:numPr>
          <w:ilvl w:val="0"/>
          <w:numId w:val="2"/>
        </w:numPr>
        <w:spacing w:after="60"/>
      </w:pPr>
      <w:r>
        <w:rPr>
          <w:rFonts w:ascii="맑은 고딕" w:cs="맑은 고딕" w:eastAsia="맑은 고딕" w:hAnsi="맑은 고딕"/>
          <w:sz w:val="21"/>
          <w:szCs w:val="21"/>
        </w:rPr>
        <w:t>#43 QA 자료 정리 결정. 외주비 회계반영 화면에서 외주처 채무가 바로 보이는지 다른 세션과 함께 확인.</w:t>
      </w:r>
    </w:p>
    <w:p>
      <w:pPr>
        <w:pStyle w:val="Heading1"/>
        <w:spacing w:after="120" w:before="240"/>
      </w:pPr>
      <w:r>
        <w:rPr>
          <w:rFonts w:ascii="맑은 고딕" w:cs="맑은 고딕" w:eastAsia="맑은 고딕" w:hAnsi="맑은 고딕"/>
        </w:rPr>
        <w:t>61회차 — 화면 전수 점검 · 재무제표 대차 · 경조휴가와 연차 잔여</w:t>
      </w:r>
    </w:p>
    <w:p>
      <w:pPr>
        <w:spacing w:after="120"/>
      </w:pPr>
      <w:r>
        <w:rPr>
          <w:rFonts w:ascii="맑은 고딕" w:cs="맑은 고딕" w:eastAsia="맑은 고딕" w:hAnsi="맑은 고딕"/>
          <w:sz w:val="21"/>
          <w:szCs w:val="21"/>
        </w:rPr>
        <w:t>계기: 51~60회차에서 화면을 여럿 고친 뒤라 화면 전수 점검(qa/screen-check.mjs)을 돌렸고, 재무상태표의 대차(자산 = 부채 + 자본 + 당기순이익)를 날짜별로 확인했습니다. 둘 다 이상 없었습니다. 이어 휴가잔여일수현황을 손으로 따져 보니, 승인된 근태를 종류와 상관없이 전부 연차에서 빼고 있었습니다 — 경조휴가 3일을 쓰면 연차가 3일 줄어듭니다.</w:t>
      </w:r>
    </w:p>
    <w:p>
      <w:pPr>
        <w:pStyle w:val="Heading2"/>
        <w:spacing w:after="120" w:before="240"/>
      </w:pPr>
      <w:r>
        <w:rPr>
          <w:rFonts w:ascii="맑은 고딕" w:cs="맑은 고딕" w:eastAsia="맑은 고딕" w:hAnsi="맑은 고딕"/>
        </w:rPr>
        <w:t>61-1. 사용법</w:t>
      </w:r>
    </w:p>
    <w:p>
      <w:pPr>
        <w:pStyle w:val="ListParagraph"/>
        <w:numPr>
          <w:ilvl w:val="0"/>
          <w:numId w:val="2"/>
        </w:numPr>
        <w:spacing w:after="60"/>
      </w:pPr>
      <w:r>
        <w:rPr>
          <w:rFonts w:ascii="맑은 고딕" w:cs="맑은 고딕" w:eastAsia="맑은 고딕" w:hAnsi="맑은 고딕"/>
          <w:sz w:val="21"/>
          <w:szCs w:val="21"/>
        </w:rPr>
        <w:t>관리 &gt; 근태관리 &gt; 근태입력 — [근태] 를 고르면 [휴가] 열이 그 근태가 어느 잔여에서 빠지는지 알려 줍니다: 연차·반차는 "연차(YYYY년)", 병가·경조·공가·기타는 "— (연차 차감 없음)".</w:t>
      </w:r>
    </w:p>
    <w:p>
      <w:pPr>
        <w:pStyle w:val="ListParagraph"/>
        <w:numPr>
          <w:ilvl w:val="0"/>
          <w:numId w:val="2"/>
        </w:numPr>
        <w:spacing w:after="60"/>
      </w:pPr>
      <w:r>
        <w:rPr>
          <w:rFonts w:ascii="맑은 고딕" w:cs="맑은 고딕" w:eastAsia="맑은 고딕" w:hAnsi="맑은 고딕"/>
          <w:sz w:val="21"/>
          <w:szCs w:val="21"/>
        </w:rPr>
        <w:t>휴가잔여일수현황의 사용일수는 승인된 연차·반차만 셉니다.</w:t>
      </w:r>
    </w:p>
    <w:p>
      <w:pPr>
        <w:jc w:val="center"/>
      </w:pPr>
      <w:r>
        <w:drawing>
          <wp:inline xmlns:a="http://schemas.openxmlformats.org/drawingml/2006/main" xmlns:pic="http://schemas.openxmlformats.org/drawingml/2006/picture">
            <wp:extent cx="5760000" cy="3240000"/>
            <wp:docPr id="104" name="Picture 104"/>
            <wp:cNvGraphicFramePr>
              <a:graphicFrameLocks noChangeAspect="1"/>
            </wp:cNvGraphicFramePr>
            <a:graphic>
              <a:graphicData uri="http://schemas.openxmlformats.org/drawingml/2006/picture">
                <pic:pic>
                  <pic:nvPicPr>
                    <pic:cNvPr id="0" name="r61-1.png"/>
                    <pic:cNvPicPr/>
                  </pic:nvPicPr>
                  <pic:blipFill>
                    <a:blip r:embed="rId11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104. 근태입력 — 경조 줄의 [휴가] 는 "— (연차 차감 없음)"</w:t>
      </w:r>
    </w:p>
    <w:p>
      <w:pPr>
        <w:pStyle w:val="Heading2"/>
        <w:spacing w:after="120" w:before="240"/>
      </w:pPr>
      <w:r>
        <w:rPr>
          <w:rFonts w:ascii="맑은 고딕" w:cs="맑은 고딕" w:eastAsia="맑은 고딕" w:hAnsi="맑은 고딕"/>
        </w:rPr>
        <w:t>61-2.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점검</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전수(라우트 244 · 버튼 812번)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화면·JS 예외·실패 API 없음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2025-12-31 · 2026-06-30 · 2026-12-31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balanced = true</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셋 다 true</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 1일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+1 · 잔여 −1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경조 3일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고친 뒤 그대로</w:t>
            </w:r>
          </w:p>
        </w:tc>
      </w:tr>
    </w:tbl>
    <w:p>
      <w:pPr>
        <w:pStyle w:val="Heading2"/>
        <w:spacing w:after="120" w:before="240"/>
      </w:pPr>
      <w:r>
        <w:rPr>
          <w:rFonts w:ascii="맑은 고딕" w:cs="맑은 고딕" w:eastAsia="맑은 고딕" w:hAnsi="맑은 고딕"/>
        </w:rPr>
        <w:t>61-3.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병가·경조·공가·기타 근태도 승인하면 연차 잔여에서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휴가잔여 집계가 근태 종류를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연차·반차만(HrService.DEDUCTS_ANNUAL). 근태입력 [휴가] 열도 종류에 따라 표시. qa 단언. (61a9c68)</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61-4. 조사 근거</w:t>
      </w:r>
    </w:p>
    <w:p>
      <w:pPr>
        <w:pStyle w:val="ListParagraph"/>
        <w:numPr>
          <w:ilvl w:val="0"/>
          <w:numId w:val="2"/>
        </w:numPr>
        <w:spacing w:after="60"/>
      </w:pPr>
      <w:r>
        <w:rPr>
          <w:rFonts w:ascii="맑은 고딕" w:cs="맑은 고딕" w:eastAsia="맑은 고딕" w:hAnsi="맑은 고딕"/>
          <w:sz w:val="21"/>
          <w:szCs w:val="21"/>
        </w:rPr>
        <w:t>근로기준법 제60조(연차 유급휴가)와 경조휴가는 별개 — 경조휴가는 취업규칙·단체협약의 약정휴가로 연차에서 빼지 않는 것이 일반적이다. 병가도 법정 휴가가 아니어서 회사 규정을 따르며, 연차로 대체하려면 근태를 [연차] 로 넣는다.</w:t>
      </w:r>
    </w:p>
    <w:p>
      <w:pPr>
        <w:pStyle w:val="ListParagraph"/>
        <w:numPr>
          <w:ilvl w:val="0"/>
          <w:numId w:val="2"/>
        </w:numPr>
        <w:spacing w:after="60"/>
      </w:pPr>
      <w:r>
        <w:rPr>
          <w:rFonts w:ascii="맑은 고딕" w:cs="맑은 고딕" w:eastAsia="맑은 고딕" w:hAnsi="맑은 고딕"/>
          <w:sz w:val="21"/>
          <w:szCs w:val="21"/>
        </w:rPr>
        <w:t>재무상태표 개별 계정은 QA 잔여물로 크게 기울어 있다(206 기계장치 −155억 — QA 가 취득 분개 없이 처분을 반복). 고정자산등록은 대장이고 취득 분개는 별도 전표라 버그는 아니다.</w:t>
      </w:r>
    </w:p>
    <w:p>
      <w:pPr>
        <w:pStyle w:val="ListParagraph"/>
        <w:numPr>
          <w:ilvl w:val="0"/>
          <w:numId w:val="2"/>
        </w:numPr>
        <w:spacing w:after="60"/>
      </w:pPr>
      <w:r>
        <w:rPr>
          <w:rFonts w:ascii="맑은 고딕" w:cs="맑은 고딕" w:eastAsia="맑은 고딕" w:hAnsi="맑은 고딕"/>
          <w:sz w:val="21"/>
          <w:szCs w:val="21"/>
        </w:rPr>
        <w:t>다른 세션 제보: 원본 현황의 [구분] 은 내역·집계 둘이고 라인별은 내역 아래 선택상자 — 판매·구매현황은 이미 내역=라인별이라 원본 기본과 같다.</w:t>
      </w:r>
    </w:p>
    <w:p>
      <w:pPr>
        <w:pStyle w:val="Heading2"/>
        <w:spacing w:after="120" w:before="240"/>
      </w:pPr>
      <w:r>
        <w:rPr>
          <w:rFonts w:ascii="맑은 고딕" w:cs="맑은 고딕" w:eastAsia="맑은 고딕" w:hAnsi="맑은 고딕"/>
        </w:rPr>
        <w:t>61-5. 다음 할 일</w:t>
      </w:r>
    </w:p>
    <w:p>
      <w:pPr>
        <w:pStyle w:val="ListParagraph"/>
        <w:numPr>
          <w:ilvl w:val="0"/>
          <w:numId w:val="2"/>
        </w:numPr>
        <w:spacing w:after="60"/>
      </w:pPr>
      <w:r>
        <w:rPr>
          <w:rFonts w:ascii="맑은 고딕" w:cs="맑은 고딕" w:eastAsia="맑은 고딕" w:hAnsi="맑은 고딕"/>
          <w:sz w:val="21"/>
          <w:szCs w:val="21"/>
        </w:rPr>
        <w:t>연차 부여일수를 입사일로 계산할지(지금은 사용자에 저장된 값) 원본 확인. 계좌입출금(직접 입력) 삭제.</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