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(66회차)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p>
      <w:pPr>
        <w:pStyle w:val="Heading1"/>
        <w:spacing w:after="120" w:before="240"/>
      </w:pPr>
      <w:r>
        <w:rPr>
          <w:rFonts w:ascii="맑은 고딕" w:cs="맑은 고딕" w:eastAsia="맑은 고딕" w:hAnsi="맑은 고딕"/>
        </w:rPr>
        <w:t>64회차 — 보고서끼리 숫자 맞추기 · 거래처관리대장 전표별</w:t>
      </w:r>
    </w:p>
    <w:p>
      <w:pPr>
        <w:spacing w:after="120"/>
      </w:pPr>
      <w:r>
        <w:rPr>
          <w:rFonts w:ascii="맑은 고딕" w:cs="맑은 고딕" w:eastAsia="맑은 고딕" w:hAnsi="맑은 고딕"/>
          <w:sz w:val="21"/>
          <w:szCs w:val="21"/>
        </w:rPr>
        <w:t>계기: 보고서끼리 같은 숫자를 내는지 대 보았습니다. 품목별이익의 매출(9월 1,900 · 10월 15,104,000)이 판매 공급가 합계와, 부가세 요약(납부 550,000 = 매출세액 1,510,400 − 매입세액 950,400 − 지출 10,000)이 전표 합계와 맞았습니다. 그런데 60회차에서 채권·채무 잔액이 어음·수표 회계전표를 세게 된 뒤, 거래처관리대장의 [전표별] 줄은 여전히 판매·수금만이라 기초에서 줄을 더해 가도 기말에 닿지 않았습니다(QA고객사 7/14 — 어음·수표 19억이 줄 없이 잔액에만).</w:t>
      </w:r>
    </w:p>
    <w:p>
      <w:pPr>
        <w:pStyle w:val="Heading2"/>
        <w:spacing w:after="120" w:before="240"/>
      </w:pPr>
      <w:r>
        <w:rPr>
          <w:rFonts w:ascii="맑은 고딕" w:cs="맑은 고딕" w:eastAsia="맑은 고딕" w:hAnsi="맑은 고딕"/>
        </w:rPr>
        <w:t>64-1. 사용법</w:t>
      </w:r>
    </w:p>
    <w:p>
      <w:pPr>
        <w:pStyle w:val="ListParagraph"/>
        <w:numPr>
          <w:ilvl w:val="0"/>
          <w:numId w:val="2"/>
        </w:numPr>
        <w:spacing w:after="60"/>
      </w:pPr>
      <w:r>
        <w:rPr>
          <w:rFonts w:ascii="맑은 고딕" w:cs="맑은 고딕" w:eastAsia="맑은 고딕" w:hAnsi="맑은 고딕"/>
          <w:sz w:val="21"/>
          <w:szCs w:val="21"/>
        </w:rPr>
        <w:t>영업관리 &gt; 거래처별채권 · 구매관리 &gt; 거래처별채무 — [구분] 전표별·일별·월별에 이제 어음·수표·대체·외주비 회계전표 줄이 [구분] 이름(어음 · 수표 · 외주비 …)으로 함께 섭니다. 잔액 열은 기초에서 차례로 더한 값이라 마지막 줄이 기말 잔액입니다.</w:t>
      </w:r>
    </w:p>
    <w:p>
      <w:pPr>
        <w:pStyle w:val="ListParagraph"/>
        <w:numPr>
          <w:ilvl w:val="0"/>
          <w:numId w:val="2"/>
        </w:numPr>
        <w:spacing w:after="60"/>
      </w:pPr>
      <w:r>
        <w:rPr>
          <w:rFonts w:ascii="맑은 고딕" w:cs="맑은 고딕" w:eastAsia="맑은 고딕" w:hAnsi="맑은 고딕"/>
          <w:sz w:val="21"/>
          <w:szCs w:val="21"/>
        </w:rPr>
        <w:t>원장 줄이 5천을 넘으면 앞(이른 날짜) 5천 줄만 보이고 노란 안내가 뜹니다 — 기간을 좁히거나 [오천건이상조회].</w:t>
      </w:r>
    </w:p>
    <w:p>
      <w:pPr>
        <w:pStyle w:val="ListParagraph"/>
        <w:numPr>
          <w:ilvl w:val="0"/>
          <w:numId w:val="2"/>
        </w:numPr>
        <w:spacing w:after="60"/>
      </w:pPr>
      <w:r>
        <w:rPr>
          <w:rFonts w:ascii="맑은 고딕" w:cs="맑은 고딕" w:eastAsia="맑은 고딕" w:hAnsi="맑은 고딕"/>
          <w:sz w:val="21"/>
          <w:szCs w:val="21"/>
        </w:rPr>
        <w:t>(63회차 화면) 계좌입출금 [삭제] 가 8081 재기동 뒤 화면에서 확인됐습니다.</w:t>
      </w:r>
    </w:p>
    <w:p>
      <w:pPr>
        <w:jc w:val="center"/>
      </w:pPr>
      <w:r>
        <w:drawing>
          <wp:inline xmlns:a="http://schemas.openxmlformats.org/drawingml/2006/main" xmlns:pic="http://schemas.openxmlformats.org/drawingml/2006/picture">
            <wp:extent cx="5760000" cy="3240000"/>
            <wp:docPr id="106" name="Picture 106"/>
            <wp:cNvGraphicFramePr>
              <a:graphicFrameLocks noChangeAspect="1"/>
            </wp:cNvGraphicFramePr>
            <a:graphic>
              <a:graphicData uri="http://schemas.openxmlformats.org/drawingml/2006/picture">
                <pic:pic>
                  <pic:nvPicPr>
                    <pic:cNvPr id="0" name="r63-1.png"/>
                    <pic:cNvPicPr/>
                  </pic:nvPicPr>
                  <pic:blipFill>
                    <a:blip r:embed="rId11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106. 계좌입출금 [삭제] — "BK-… 삭제 — 잔액을 되돌리고 회계전표도 지웠습니다."(63회차)</w:t>
      </w:r>
    </w:p>
    <w:p>
      <w:pPr>
        <w:jc w:val="center"/>
      </w:pPr>
      <w:r>
        <w:drawing>
          <wp:inline xmlns:a="http://schemas.openxmlformats.org/drawingml/2006/main" xmlns:pic="http://schemas.openxmlformats.org/drawingml/2006/picture">
            <wp:extent cx="5760000" cy="3240000"/>
            <wp:docPr id="107" name="Picture 107"/>
            <wp:cNvGraphicFramePr>
              <a:graphicFrameLocks noChangeAspect="1"/>
            </wp:cNvGraphicFramePr>
            <a:graphic>
              <a:graphicData uri="http://schemas.openxmlformats.org/drawingml/2006/picture">
                <pic:pic>
                  <pic:nvPicPr>
                    <pic:cNvPr id="0" name="r64-1.png"/>
                    <pic:cNvPicPr/>
                  </pic:nvPicPr>
                  <pic:blipFill>
                    <a:blip r:embed="rId11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107. 거래처별채권 전표별 7/14 — 어음·수표 줄이 기초 22,522,000 에서 차례로 내린다 · 5천 줄 안내</w:t>
      </w:r>
    </w:p>
    <w:p>
      <w:pPr>
        <w:pStyle w:val="Heading2"/>
        <w:spacing w:after="120" w:before="240"/>
      </w:pPr>
      <w:r>
        <w:rPr>
          <w:rFonts w:ascii="맑은 고딕" w:cs="맑은 고딕" w:eastAsia="맑은 고딕" w:hAnsi="맑은 고딕"/>
        </w:rPr>
        <w:t>64-2.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대조</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A</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B</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품목별이익 매출 vs 판매 공급가(10월)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 vs 전표 합계(10월)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매출세액 1,510,400 · 매입세액 950,400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VAT 합계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납부 550,000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전표별 기초 + Σ(증가−감소) vs 기말(2026-07, 전 거래처)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QA고객사 등 불일치 → 고친 뒤 전부 일치(qa)</w:t>
            </w:r>
          </w:p>
        </w:tc>
      </w:tr>
    </w:tbl>
    <w:p>
      <w:pPr>
        <w:pStyle w:val="Heading2"/>
        <w:spacing w:after="120" w:before="240"/>
      </w:pPr>
      <w:r>
        <w:rPr>
          <w:rFonts w:ascii="맑은 고딕" w:cs="맑은 고딕" w:eastAsia="맑은 고딕" w:hAnsi="맑은 고딕"/>
        </w:rPr>
        <w:t>64-3.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[전표별] 의 누계가 기말 잔액에 닿지 않는다(어음·수표·외주비 회계전표 줄이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60회차에 잔액만 바꾸고 전표별 줄 목록은 판매·수금(구매·지급)만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JournalLineRepository.controlAccountLines 로 그 줄을 함께 세운다. qa: 2026-07 전 거래처 기초+줄=기말.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결과 전표별 원장이 전 기간 9,863줄을 한 번에 준다(5천 줄 문턱 위반, 시나리오 42).</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원장 줄 목록에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{rows,totalRows,truncated} + [오천건이상조회]. (b973e81)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64-4. 조사 근거</w:t>
      </w:r>
    </w:p>
    <w:p>
      <w:pPr>
        <w:pStyle w:val="ListParagraph"/>
        <w:numPr>
          <w:ilvl w:val="0"/>
          <w:numId w:val="2"/>
        </w:numPr>
        <w:spacing w:after="60"/>
      </w:pPr>
      <w:r>
        <w:rPr>
          <w:rFonts w:ascii="맑은 고딕" w:cs="맑은 고딕" w:eastAsia="맑은 고딕" w:hAnsi="맑은 고딕"/>
          <w:sz w:val="21"/>
          <w:szCs w:val="21"/>
        </w:rPr>
        <w:t>보조원장(거래처별)은 그 통제계정을 움직인 모든 거래를 줄로 가져야 총계정원장·잔액과 맞는다 — 잔액 공식과 줄 목록이 같은 출처 목록(COUNTED_BY_SLIP 제외)을 써야 한다.</w:t>
      </w:r>
    </w:p>
    <w:p>
      <w:pPr>
        <w:pStyle w:val="ListParagraph"/>
        <w:numPr>
          <w:ilvl w:val="0"/>
          <w:numId w:val="2"/>
        </w:numPr>
        <w:spacing w:after="60"/>
      </w:pPr>
      <w:r>
        <w:rPr>
          <w:rFonts w:ascii="맑은 고딕" w:cs="맑은 고딕" w:eastAsia="맑은 고딕" w:hAnsi="맑은 고딕"/>
          <w:sz w:val="21"/>
          <w:szCs w:val="21"/>
        </w:rPr>
        <w:t>다른 세션이 생산입고·생산불출에도 로트 필수를 넣었다(fb3c653) — 62회차의 같은 규칙.</w:t>
      </w:r>
    </w:p>
    <w:p>
      <w:pPr>
        <w:pStyle w:val="Heading2"/>
        <w:spacing w:after="120" w:before="240"/>
      </w:pPr>
      <w:r>
        <w:rPr>
          <w:rFonts w:ascii="맑은 고딕" w:cs="맑은 고딕" w:eastAsia="맑은 고딕" w:hAnsi="맑은 고딕"/>
        </w:rPr>
        <w:t>64-5. 다음 할 일</w:t>
      </w:r>
    </w:p>
    <w:p>
      <w:pPr>
        <w:pStyle w:val="ListParagraph"/>
        <w:numPr>
          <w:ilvl w:val="0"/>
          <w:numId w:val="2"/>
        </w:numPr>
        <w:spacing w:after="60"/>
      </w:pPr>
      <w:r>
        <w:rPr>
          <w:rFonts w:ascii="맑은 고딕" w:cs="맑은 고딕" w:eastAsia="맑은 고딕" w:hAnsi="맑은 고딕"/>
          <w:sz w:val="21"/>
          <w:szCs w:val="21"/>
        </w:rPr>
        <w:t>#43 QA 자료 정리 결정(원장 줄 대부분이 QA 어음·수표). 담당자별 집계에도 회계전표 줄을 넣을지 확인.</w:t>
      </w:r>
    </w:p>
    <w:p>
      <w:pPr>
        <w:pStyle w:val="Heading1"/>
        <w:spacing w:after="120" w:before="240"/>
      </w:pPr>
      <w:r>
        <w:rPr>
          <w:rFonts w:ascii="맑은 고딕" w:cs="맑은 고딕" w:eastAsia="맑은 고딕" w:hAnsi="맑은 고딕"/>
        </w:rPr>
        <w:t>65회차 — 채무관리 연령분석과 회계전표 채무</w:t>
      </w:r>
    </w:p>
    <w:p>
      <w:pPr>
        <w:spacing w:after="120"/>
      </w:pPr>
      <w:r>
        <w:rPr>
          <w:rFonts w:ascii="맑은 고딕" w:cs="맑은 고딕" w:eastAsia="맑은 고딕" w:hAnsi="맑은 고딕"/>
          <w:sz w:val="21"/>
          <w:szCs w:val="21"/>
        </w:rPr>
        <w:t>계기: 60회차로 외주비 회계반영 같은 회계전표 채무가 거래처 잔액에 들어가게 됐는데, 채무관리(미지급 현황)의 연령 칸(30일 이내 · 31~60일 · 61~90일 · 90일 초과)은 구매전표만 보고 나눕니다. 그 몫은 매입일이 없어 어느 칸에도 안 들어가고, 화면은 잔액에서 매입을 거꾸로 빼 지급을 짐작해 지급 40,000 이 사라지는 식으로 틀렸습니다.</w:t>
      </w:r>
    </w:p>
    <w:p>
      <w:pPr>
        <w:pStyle w:val="Heading2"/>
        <w:spacing w:after="120" w:before="240"/>
      </w:pPr>
      <w:r>
        <w:rPr>
          <w:rFonts w:ascii="맑은 고딕" w:cs="맑은 고딕" w:eastAsia="맑은 고딕" w:hAnsi="맑은 고딕"/>
        </w:rPr>
        <w:t>65-1. 사용법</w:t>
      </w:r>
    </w:p>
    <w:p>
      <w:pPr>
        <w:pStyle w:val="ListParagraph"/>
        <w:numPr>
          <w:ilvl w:val="0"/>
          <w:numId w:val="2"/>
        </w:numPr>
        <w:spacing w:after="60"/>
      </w:pPr>
      <w:r>
        <w:rPr>
          <w:rFonts w:ascii="맑은 고딕" w:cs="맑은 고딕" w:eastAsia="맑은 고딕" w:hAnsi="맑은 고딕"/>
          <w:sz w:val="21"/>
          <w:szCs w:val="21"/>
        </w:rPr>
        <w:t>재고 I &gt; 출력물 &gt; 채무관리 — 새 열 [회계전표 등] 은 구매전표로 설명되지 않는 잔액(외주비 회계반영 등)입니다. 연령 네 칸 + [회계전표 등] = 미지급 잔액. 구매전표 몫만 오래된 매입부터 지급을 채워 연령을 나눕니다.</w:t>
      </w:r>
    </w:p>
    <w:p>
      <w:pPr>
        <w:jc w:val="center"/>
      </w:pPr>
      <w:r>
        <w:drawing>
          <wp:inline xmlns:a="http://schemas.openxmlformats.org/drawingml/2006/main" xmlns:pic="http://schemas.openxmlformats.org/drawingml/2006/picture">
            <wp:extent cx="5760000" cy="3240000"/>
            <wp:docPr id="108" name="Picture 108"/>
            <wp:cNvGraphicFramePr>
              <a:graphicFrameLocks noChangeAspect="1"/>
            </wp:cNvGraphicFramePr>
            <a:graphic>
              <a:graphicData uri="http://schemas.openxmlformats.org/drawingml/2006/picture">
                <pic:pic>
                  <pic:nvPicPr>
                    <pic:cNvPr id="0" name="r65-1.png"/>
                    <pic:cNvPicPr/>
                  </pic:nvPicPr>
                  <pic:blipFill>
                    <a:blip r:embed="rId11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108. 채무관리 — QA채무시험: 매입 110,000 · 지급 40,000 · 회계전표 300,000 → 잔액 370,000 = 30일 이내 70,000 + 회계전표 등 300,000</w:t>
      </w:r>
    </w:p>
    <w:p>
      <w:pPr>
        <w:pStyle w:val="Heading2"/>
        <w:spacing w:after="120" w:before="240"/>
      </w:pPr>
      <w:r>
        <w:rPr>
          <w:rFonts w:ascii="맑은 고딕" w:cs="맑은 고딕" w:eastAsia="맑은 고딕" w:hAnsi="맑은 고딕"/>
        </w:rPr>
        <w:t>65-2. 넣은 시연 자료</w:t>
      </w:r>
    </w:p>
    <w:p>
      <w:pPr>
        <w:pStyle w:val="ListParagraph"/>
        <w:numPr>
          <w:ilvl w:val="0"/>
          <w:numId w:val="2"/>
        </w:numPr>
        <w:spacing w:after="60"/>
      </w:pPr>
      <w:r>
        <w:rPr>
          <w:rFonts w:ascii="맑은 고딕" w:cs="맑은 고딕" w:eastAsia="맑은 고딕" w:hAnsi="맑은 고딕"/>
          <w:sz w:val="21"/>
          <w:szCs w:val="21"/>
        </w:rPr>
        <w:t>QA채무시험(QA-AP7-328899)에 수동 분개 차) 533 외주가공비 300,000 / 대) 251 외상매입금 300,000 을 넣어 확인하고 지웠다(GL-20261002-0016).</w:t>
      </w:r>
    </w:p>
    <w:p>
      <w:pPr>
        <w:pStyle w:val="Heading2"/>
        <w:spacing w:after="120" w:before="240"/>
      </w:pPr>
      <w:r>
        <w:rPr>
          <w:rFonts w:ascii="맑은 고딕" w:cs="맑은 고딕" w:eastAsia="맑은 고딕" w:hAnsi="맑은 고딕"/>
        </w:rPr>
        <w:t>65-3.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열</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30일 이내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110,000 − 40,000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등</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없음 · 260,000 은 어디에도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미지급 잔액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 = 70,000 + 300,000</w:t>
            </w:r>
          </w:p>
        </w:tc>
      </w:tr>
    </w:tbl>
    <w:p>
      <w:pPr>
        <w:pStyle w:val="Heading2"/>
        <w:spacing w:after="120" w:before="240"/>
      </w:pPr>
      <w:r>
        <w:rPr>
          <w:rFonts w:ascii="맑은 고딕" w:cs="맑은 고딕" w:eastAsia="맑은 고딕" w:hAnsi="맑은 고딕"/>
        </w:rPr>
        <w:t>65-4.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채무관리 연령 칸 합계가 미지급 잔액보다 작고, 회계전표 채무가 있는 거래처의 지급 합계가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잔액 − 매입으로 지급을 거꾸로 짐작했고, 회계전표 몫은 연령 칸 밖이었다.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잔액 응답에 receivableJournal·payableJournal 을 싣고, 채무관리가 그 몫을 [회계전표 등] 으로 가른다. qa: 지급어음 150,000 이 회계전표 몫으로 잡힌다. (ffcb2b4)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65-5. 조사 근거</w:t>
      </w:r>
    </w:p>
    <w:p>
      <w:pPr>
        <w:pStyle w:val="ListParagraph"/>
        <w:numPr>
          <w:ilvl w:val="0"/>
          <w:numId w:val="2"/>
        </w:numPr>
        <w:spacing w:after="60"/>
      </w:pPr>
      <w:r>
        <w:rPr>
          <w:rFonts w:ascii="맑은 고딕" w:cs="맑은 고딕" w:eastAsia="맑은 고딕" w:hAnsi="맑은 고딕"/>
          <w:sz w:val="21"/>
          <w:szCs w:val="21"/>
        </w:rPr>
        <w:t>연령분석은 미결제 잔액을 발생일로 나누는 것 — 발생일을 모르는 몫을 아무 칸에 넣으면 연체가 틀리게 보인다. 따로 보이는 것이 맞다.</w:t>
      </w:r>
    </w:p>
    <w:p>
      <w:pPr>
        <w:pStyle w:val="ListParagraph"/>
        <w:numPr>
          <w:ilvl w:val="0"/>
          <w:numId w:val="2"/>
        </w:numPr>
        <w:spacing w:after="60"/>
      </w:pPr>
      <w:r>
        <w:rPr>
          <w:rFonts w:ascii="맑은 고딕" w:cs="맑은 고딕" w:eastAsia="맑은 고딕" w:hAnsi="맑은 고딕"/>
          <w:sz w:val="21"/>
          <w:szCs w:val="21"/>
        </w:rPr>
        <w:t>채권 쪽 연령 화면은 아직 없다(채권현황은 잔액만) — 같은 값(receivableJournal)을 쓰면 된다.</w:t>
      </w:r>
    </w:p>
    <w:p>
      <w:pPr>
        <w:pStyle w:val="Heading2"/>
        <w:spacing w:after="120" w:before="240"/>
      </w:pPr>
      <w:r>
        <w:rPr>
          <w:rFonts w:ascii="맑은 고딕" w:cs="맑은 고딕" w:eastAsia="맑은 고딕" w:hAnsi="맑은 고딕"/>
        </w:rPr>
        <w:t>65-6. 다음 할 일</w:t>
      </w:r>
    </w:p>
    <w:p>
      <w:pPr>
        <w:pStyle w:val="ListParagraph"/>
        <w:numPr>
          <w:ilvl w:val="0"/>
          <w:numId w:val="2"/>
        </w:numPr>
        <w:spacing w:after="60"/>
      </w:pPr>
      <w:r>
        <w:rPr>
          <w:rFonts w:ascii="맑은 고딕" w:cs="맑은 고딕" w:eastAsia="맑은 고딕" w:hAnsi="맑은 고딕"/>
          <w:sz w:val="21"/>
          <w:szCs w:val="21"/>
        </w:rPr>
        <w:t>외주비 회계반영 화면에서 만든 분개가 [회계전표 등] 에 바로 보이는지 다른 세션과 확인.</w:t>
      </w:r>
    </w:p>
    <w:p>
      <w:pPr>
        <w:pStyle w:val="Heading1"/>
        <w:spacing w:after="120" w:before="240"/>
      </w:pPr>
      <w:r>
        <w:rPr>
          <w:rFonts w:ascii="맑은 고딕" w:cs="맑은 고딕" w:eastAsia="맑은 고딕" w:hAnsi="맑은 고딕"/>
        </w:rPr>
        <w:t>66회차 — 급여 공제의 끝수(10원 미만 버림)</w:t>
      </w:r>
    </w:p>
    <w:p>
      <w:pPr>
        <w:spacing w:after="120"/>
      </w:pPr>
      <w:r>
        <w:rPr>
          <w:rFonts w:ascii="맑은 고딕" w:cs="맑은 고딕" w:eastAsia="맑은 고딕" w:hAnsi="맑은 고딕"/>
          <w:sz w:val="21"/>
          <w:szCs w:val="21"/>
        </w:rPr>
        <w:t>계기: 36회차에서 맞춘 김철수(월 320만) 급여명세를 다시 보니 장기요양보험 15,116 · 지방소득세 9,146 처럼 원 단위가 찍혀 있었습니다. 코드 주석은 "원 단위 절사" 라 해 놓고 실제로는 원 단위 반올림을 하고 있었습니다. 공단(건강보험·국민연금·고용보험)의 고지액과 지방소득세는 10원 미만을 버린 금액이라, 급여에서 떼는 돈이 고지액과 매달 1~9원씩 어긋납니다.</w:t>
      </w:r>
    </w:p>
    <w:p>
      <w:pPr>
        <w:pStyle w:val="Heading2"/>
        <w:spacing w:after="120" w:before="240"/>
      </w:pPr>
      <w:r>
        <w:rPr>
          <w:rFonts w:ascii="맑은 고딕" w:cs="맑은 고딕" w:eastAsia="맑은 고딕" w:hAnsi="맑은 고딕"/>
        </w:rPr>
        <w:t>66-1. 사용법</w:t>
      </w:r>
    </w:p>
    <w:p>
      <w:pPr>
        <w:pStyle w:val="ListParagraph"/>
        <w:numPr>
          <w:ilvl w:val="0"/>
          <w:numId w:val="2"/>
        </w:numPr>
        <w:spacing w:after="60"/>
      </w:pPr>
      <w:r>
        <w:rPr>
          <w:rFonts w:ascii="맑은 고딕" w:cs="맑은 고딕" w:eastAsia="맑은 고딕" w:hAnsi="맑은 고딕"/>
          <w:sz w:val="21"/>
          <w:szCs w:val="21"/>
        </w:rPr>
        <w:t>관리 &gt; 급여관리 — 급여계산·명세 작성 시 4대보험(국민연금·건강·장기요양·고용)과 지방소득세는 10원 미만을 버린 금액으로, 국민연금의 기준소득월액은 천원 미만을 버리고 곱합니다. 이미 확정된 명세는 바뀌지 않습니다.</w:t>
      </w:r>
    </w:p>
    <w:p>
      <w:pPr>
        <w:pStyle w:val="Heading2"/>
        <w:spacing w:after="120" w:before="240"/>
      </w:pPr>
      <w:r>
        <w:rPr>
          <w:rFonts w:ascii="맑은 고딕" w:cs="맑은 고딕" w:eastAsia="맑은 고딕" w:hAnsi="맑은 고딕"/>
        </w:rPr>
        <w:t>66-2. 숫자 맞추기 (김철수 · 월 3,200,000 · 2026년 요율)</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3.595% = 115,040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15,116.26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411,550 / 2,788,450</w:t>
            </w:r>
          </w:p>
        </w:tc>
      </w:tr>
    </w:tbl>
    <w:p>
      <w:pPr>
        <w:pStyle w:val="Heading2"/>
        <w:spacing w:after="120" w:before="240"/>
      </w:pPr>
      <w:r>
        <w:rPr>
          <w:rFonts w:ascii="맑은 고딕" w:cs="맑은 고딕" w:eastAsia="맑은 고딕" w:hAnsi="맑은 고딕"/>
        </w:rPr>
        <w:t>66-3.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4대보험·지방소득세가 원 단위로 찍혀 공단 고지액·세액과 1~9원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PayrollService.round 가 원 단위 반올림(HALF_UP), 지방소득세는 원 미만 버림, 기준소득월액은 원 미만 버림.</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4대보험·지방소득세(근로·기타·일용·법인) 10원 미만 버림, 기준소득월액 천원 미만 버림. qa: 9,140 · 10원 단위 · 장기요양 식. (d02057e)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66-4. 조사 근거</w:t>
      </w:r>
    </w:p>
    <w:p>
      <w:pPr>
        <w:pStyle w:val="ListParagraph"/>
        <w:numPr>
          <w:ilvl w:val="0"/>
          <w:numId w:val="2"/>
        </w:numPr>
        <w:spacing w:after="60"/>
      </w:pPr>
      <w:r>
        <w:rPr>
          <w:rFonts w:ascii="맑은 고딕" w:cs="맑은 고딕" w:eastAsia="맑은 고딕" w:hAnsi="맑은 고딕"/>
          <w:sz w:val="21"/>
          <w:szCs w:val="21"/>
        </w:rPr>
        <w:t>국고금관리법 제47조 — 국고금 수납·지출 시 10원 미만의 끝수는 계산하지 않는다(사회보험료 고지액이 10원 단위인 근거).</w:t>
      </w:r>
    </w:p>
    <w:p>
      <w:pPr>
        <w:pStyle w:val="ListParagraph"/>
        <w:numPr>
          <w:ilvl w:val="0"/>
          <w:numId w:val="2"/>
        </w:numPr>
        <w:spacing w:after="60"/>
      </w:pPr>
      <w:r>
        <w:rPr>
          <w:rFonts w:ascii="맑은 고딕" w:cs="맑은 고딕" w:eastAsia="맑은 고딕" w:hAnsi="맑은 고딕"/>
          <w:sz w:val="21"/>
          <w:szCs w:val="21"/>
        </w:rPr>
        <w:t>국민연금 기준소득월액은 천원 미만 절사(국민연금공단 안내). 지방세법 — 특별징수 지방소득세 10원 미만 버림.</w:t>
      </w:r>
    </w:p>
    <w:p>
      <w:pPr>
        <w:pStyle w:val="ListParagraph"/>
        <w:numPr>
          <w:ilvl w:val="0"/>
          <w:numId w:val="2"/>
        </w:numPr>
        <w:spacing w:after="60"/>
      </w:pPr>
      <w:r>
        <w:rPr>
          <w:rFonts w:ascii="맑은 고딕" w:cs="맑은 고딕" w:eastAsia="맑은 고딕" w:hAnsi="맑은 고딕"/>
          <w:sz w:val="21"/>
          <w:szCs w:val="21"/>
        </w:rPr>
        <w:t>QA 하네스의 2026-11 명세는 확정돼 지울 수 없어 옛 끝수(14,202)가 남아 있다 — 단언은 새로 만든 명세만 새 규칙으로 잰다.</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 단언이 a2943aa 에 먼저 실렸다 — 백엔드는 d02057e.</w:t>
      </w:r>
    </w:p>
    <w:p>
      <w:pPr>
        <w:pStyle w:val="Heading2"/>
        <w:spacing w:after="120" w:before="240"/>
      </w:pPr>
      <w:r>
        <w:rPr>
          <w:rFonts w:ascii="맑은 고딕" w:cs="맑은 고딕" w:eastAsia="맑은 고딕" w:hAnsi="맑은 고딕"/>
        </w:rPr>
        <w:t>66-5. 다음 할 일</w:t>
      </w:r>
    </w:p>
    <w:p>
      <w:pPr>
        <w:pStyle w:val="ListParagraph"/>
        <w:numPr>
          <w:ilvl w:val="0"/>
          <w:numId w:val="2"/>
        </w:numPr>
        <w:spacing w:after="60"/>
      </w:pPr>
      <w:r>
        <w:rPr>
          <w:rFonts w:ascii="맑은 고딕" w:cs="맑은 고딕" w:eastAsia="맑은 고딕" w:hAnsi="맑은 고딕"/>
          <w:sz w:val="21"/>
          <w:szCs w:val="21"/>
        </w:rPr>
        <w:t>급여 회사설정으로 끝수 규칙(반올림/버림)을 고르게 할지 — 지금은 법정 규칙 하나.</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