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2018-06-25</w:t>
      </w:r>
      <w:r>
        <w:t xml:space="preserve"> </w:t>
      </w:r>
      <w:r>
        <w:t xml:space="preserve">11:44:49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9" w:name="project-acronyms"/>
      <w:bookmarkEnd w:id="39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folder-structure"/>
      <w:bookmarkEnd w:id="41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</w:p>
    <w:p>
      <w:pPr>
        <w:pStyle w:val="Heading4"/>
      </w:pPr>
      <w:bookmarkStart w:id="42" w:name="regeln-dafur-was-wohin-gehort"/>
      <w:bookmarkEnd w:id="42"/>
      <w:r>
        <w:t xml:space="preserve">Regeln dafür, was wohin gehört</w:t>
      </w:r>
    </w:p>
    <w:p>
      <w:pPr>
        <w:pStyle w:val="FirstParagraph"/>
      </w:pPr>
      <w:r>
        <w:t xml:space="preserve">Was gehört in den Projektordner, was nicht?</w:t>
      </w:r>
    </w:p>
    <w:p>
      <w:pPr>
        <w:pStyle w:val="BodyText"/>
      </w:pPr>
      <w:r>
        <w:rPr>
          <w:b/>
        </w:rPr>
        <w:t xml:space="preserve">Software sollte nicht innerhalb der Projekte gespeichert werden</w:t>
      </w:r>
    </w:p>
    <w:p>
      <w:pPr>
        <w:pStyle w:val="BodyText"/>
      </w:pPr>
      <w:r>
        <w:t xml:space="preserve">Vorteil:</w:t>
      </w:r>
    </w:p>
    <w:p>
      <w:pPr>
        <w:pStyle w:val="Compact"/>
        <w:numPr>
          <w:numId w:val="1003"/>
          <w:ilvl w:val="0"/>
        </w:numPr>
      </w:pPr>
      <w:r>
        <w:t xml:space="preserve">Software wird ggf. projektübergreifend verwendet</w:t>
      </w:r>
    </w:p>
    <w:p>
      <w:pPr>
        <w:pStyle w:val="Compact"/>
        <w:numPr>
          <w:numId w:val="1003"/>
          <w:ilvl w:val="0"/>
        </w:numPr>
      </w:pPr>
      <w:r>
        <w:t xml:space="preserve">Software besteht oft aus vielen und großen Binärdateien und bläht den</w:t>
      </w:r>
      <w:r>
        <w:t xml:space="preserve"> </w:t>
      </w:r>
      <w:r>
        <w:t xml:space="preserve">Projektordner auf</w:t>
      </w:r>
    </w:p>
    <w:p>
      <w:pPr>
        <w:pStyle w:val="Compact"/>
        <w:numPr>
          <w:numId w:val="1003"/>
          <w:ilvl w:val="0"/>
        </w:numPr>
      </w:pPr>
      <w:r>
        <w:t xml:space="preserve">Software hat oft viele Unterverzeichnisse und erzeugt eine hohe</w:t>
      </w:r>
      <w:r>
        <w:t xml:space="preserve"> </w:t>
      </w:r>
      <w:r>
        <w:t xml:space="preserve">Verschachtelungstiefe im Projektordner</w:t>
      </w:r>
    </w:p>
    <w:p>
      <w:pPr>
        <w:pStyle w:val="FirstParagraph"/>
      </w:pPr>
      <w:r>
        <w:t xml:space="preserve">Nachteil:</w:t>
      </w:r>
    </w:p>
    <w:p>
      <w:pPr>
        <w:pStyle w:val="Compact"/>
        <w:numPr>
          <w:numId w:val="1004"/>
          <w:ilvl w:val="0"/>
        </w:numPr>
      </w:pPr>
      <w:r>
        <w:t xml:space="preserve">Es ist ggf. nicht klar, in welchem Projekt eine Software verwendet wurde</w:t>
      </w:r>
    </w:p>
    <w:p>
      <w:pPr>
        <w:pStyle w:val="FirstParagraph"/>
      </w:pPr>
      <w:r>
        <w:t xml:space="preserve">@Michael: Vorschlag für verbesserte Ordnerstrukturen</w:t>
      </w:r>
    </w:p>
    <w:p>
      <w:pPr>
        <w:pStyle w:val="Heading3"/>
      </w:pPr>
      <w:bookmarkStart w:id="43" w:name="regeln-zur-vermeidung-langer-dateipfade"/>
      <w:bookmarkEnd w:id="43"/>
      <w:r>
        <w:t xml:space="preserve">Regeln zur Vermeidung langer Dateipfade</w:t>
      </w:r>
    </w:p>
    <w:p>
      <w:pPr>
        <w:pStyle w:val="FirstParagraph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</w:p>
    <w:p>
      <w:pPr>
        <w:pStyle w:val="BodyText"/>
      </w:pPr>
      <w:r>
        <w:t xml:space="preserve">Useful file names are:</w:t>
      </w:r>
    </w:p>
    <w:p>
      <w:pPr>
        <w:numPr>
          <w:numId w:val="1005"/>
          <w:ilvl w:val="0"/>
        </w:numPr>
      </w:pPr>
      <w:r>
        <w:t xml:space="preserve">consistent</w:t>
      </w:r>
    </w:p>
    <w:p>
      <w:pPr>
        <w:numPr>
          <w:numId w:val="1005"/>
          <w:ilvl w:val="0"/>
        </w:numPr>
      </w:pPr>
      <w:r>
        <w:t xml:space="preserve">meaningful to you and your colleagues</w:t>
      </w:r>
    </w:p>
    <w:p>
      <w:pPr>
        <w:numPr>
          <w:numId w:val="1005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6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6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6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6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5" w:name="raw-data"/>
      <w:bookmarkEnd w:id="45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7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7"/>
          <w:ilvl w:val="0"/>
        </w:numPr>
      </w:pPr>
      <w:r>
        <w:t xml:space="preserve">dürfen inhaltlich nicht verändert werden</w:t>
      </w:r>
    </w:p>
    <w:p>
      <w:pPr>
        <w:numPr>
          <w:numId w:val="1007"/>
          <w:ilvl w:val="0"/>
        </w:numPr>
      </w:pPr>
      <w:r>
        <w:t xml:space="preserve">werden schreibgeschützt abgelegt</w:t>
      </w:r>
    </w:p>
    <w:p>
      <w:pPr>
        <w:numPr>
          <w:numId w:val="1007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6" w:name="versioning"/>
      <w:bookmarkEnd w:id="46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7" w:name="manual"/>
      <w:bookmarkEnd w:id="47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8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8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8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9"/>
          <w:ilvl w:val="0"/>
        </w:numPr>
      </w:pPr>
      <w:r>
        <w:t xml:space="preserve">possibly more time demanding,</w:t>
      </w:r>
    </w:p>
    <w:p>
      <w:pPr>
        <w:numPr>
          <w:numId w:val="1009"/>
          <w:ilvl w:val="0"/>
        </w:numPr>
      </w:pPr>
      <w:r>
        <w:t xml:space="preserve">needs time getting used to it and</w:t>
      </w:r>
    </w:p>
    <w:p>
      <w:pPr>
        <w:numPr>
          <w:numId w:val="1009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0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10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10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8" w:name="automatically"/>
      <w:bookmarkEnd w:id="48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11"/>
          <w:ilvl w:val="0"/>
        </w:numPr>
      </w:pPr>
      <w:hyperlink r:id="rId51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12"/>
          <w:ilvl w:val="1"/>
        </w:numPr>
      </w:pPr>
      <w:r>
        <w:t xml:space="preserve">the installation of the client software</w:t>
      </w:r>
      <w:r>
        <w:t xml:space="preserve"> 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12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55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3"/>
          <w:ilvl w:val="0"/>
        </w:numPr>
      </w:pPr>
      <w:r>
        <w:t xml:space="preserve">Special software (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13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4"/>
          <w:ilvl w:val="1"/>
        </w:numPr>
      </w:pPr>
      <w:r>
        <w:t xml:space="preserve">timely check in of code changes to the central server,</w:t>
      </w:r>
    </w:p>
    <w:p>
      <w:pPr>
        <w:numPr>
          <w:numId w:val="1014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5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5"/>
          <w:ilvl w:val="0"/>
        </w:numPr>
      </w:pPr>
      <w:r>
        <w:t xml:space="preserve">Old versions of scripts can be restored easily</w:t>
      </w:r>
    </w:p>
    <w:p>
      <w:pPr>
        <w:numPr>
          <w:numId w:val="1015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6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7" w:name="organising-your-e-mail-account"/>
      <w:bookmarkEnd w:id="57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58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58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1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9" w:name="managing-references"/>
      <w:bookmarkEnd w:id="59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0">
        <w:r>
          <w:rPr>
            <w:rStyle w:val="Hyperlink"/>
          </w:rPr>
          <w:t xml:space="preserve">Reference Management</w:t>
        </w:r>
      </w:hyperlink>
    </w:p>
    <w:p>
      <w:pPr>
        <w:pStyle w:val="BodyText"/>
      </w:pPr>
      <w:r>
        <w:t xml:space="preserve">At KWB we use Endnote, for which an internal guideline document (</w:t>
      </w:r>
      <w:hyperlink r:id="rId61">
        <w:r>
          <w:rPr>
            <w:rStyle w:val="Hyperlink"/>
          </w:rPr>
          <w:t xml:space="preserve">KWB-EndNote-Guideline-v02.pdf</w:t>
        </w:r>
      </w:hyperlink>
      <w:r>
        <w:t xml:space="preserve">) was developed.</w:t>
      </w:r>
    </w:p>
    <w:p>
      <w:pPr>
        <w:pStyle w:val="Heading3"/>
      </w:pPr>
      <w:bookmarkStart w:id="62" w:name="metadata"/>
      <w:bookmarkEnd w:id="62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63" w:name="data-preservation"/>
      <w:bookmarkEnd w:id="6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64" w:name="data-collection"/>
      <w:bookmarkEnd w:id="6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6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66" w:name="logger-devices"/>
      <w:bookmarkEnd w:id="66"/>
      <w:r>
        <w:t xml:space="preserve">Logger devices</w:t>
      </w:r>
    </w:p>
    <w:p>
      <w:pPr>
        <w:pStyle w:val="Heading3"/>
      </w:pPr>
      <w:bookmarkStart w:id="67" w:name="spreadsheets"/>
      <w:bookmarkEnd w:id="67"/>
      <w:r>
        <w:t xml:space="preserve">Spreadsheets</w:t>
      </w:r>
    </w:p>
    <w:p>
      <w:pPr>
        <w:pStyle w:val="Heading1"/>
      </w:pPr>
      <w:bookmarkStart w:id="68" w:name="case-studies"/>
      <w:bookmarkEnd w:id="68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69" w:name="geogenic-salination"/>
      <w:bookmarkEnd w:id="69"/>
      <w:r>
        <w:t xml:space="preserve">Geogenic salination</w:t>
      </w:r>
    </w:p>
    <w:p>
      <w:pPr>
        <w:pStyle w:val="Heading2"/>
      </w:pPr>
      <w:bookmarkStart w:id="70" w:name="lca-modelling"/>
      <w:bookmarkEnd w:id="70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1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are sometimes are even</w:t>
      </w:r>
      <w:r>
        <w:t xml:space="preserve"> </w:t>
      </w:r>
      <w:r>
        <w:t xml:space="preserve">to big for EXCEL 2010 (&gt; 1 millions) and but need to be aggregated (e.g. grouped</w:t>
      </w:r>
      <w:r>
        <w:t xml:space="preserve"> </w:t>
      </w:r>
      <w:r>
        <w:t xml:space="preserve">by specific criteria). This was usually performed manually within EXCEL.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2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19"/>
          <w:ilvl w:val="0"/>
        </w:numPr>
      </w:pPr>
      <w:r>
        <w:t xml:space="preserve">data import the Umberto model results,</w:t>
      </w:r>
    </w:p>
    <w:p>
      <w:pPr>
        <w:numPr>
          <w:numId w:val="1019"/>
          <w:ilvl w:val="0"/>
        </w:numPr>
      </w:pPr>
      <w:r>
        <w:t xml:space="preserve">performing data aggregating to the user needs and finally</w:t>
      </w:r>
    </w:p>
    <w:p>
      <w:pPr>
        <w:numPr>
          <w:numId w:val="1019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73" w:name="aquanes"/>
      <w:bookmarkEnd w:id="73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Sites (among others):</w:t>
      </w:r>
    </w:p>
    <w:p>
      <w:pPr>
        <w:pStyle w:val="Compact"/>
        <w:numPr>
          <w:numId w:val="1020"/>
          <w:ilvl w:val="0"/>
        </w:numPr>
      </w:pPr>
      <w:hyperlink r:id="rId74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Basel Lange-Erlen</w:t>
        </w:r>
      </w:hyperlink>
    </w:p>
    <w:p>
      <w:pPr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Haridwar</w:t>
        </w:r>
      </w:hyperlink>
    </w:p>
    <w:p>
      <w:pPr>
        <w:numPr>
          <w:numId w:val="1020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20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FirstParagraph"/>
      </w:pPr>
      <w:r>
        <w:t xml:space="preserve">An open source R package</w:t>
      </w:r>
      <w:r>
        <w:t xml:space="preserve"> </w:t>
      </w:r>
      <w:hyperlink r:id="rId78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21"/>
          <w:ilvl w:val="0"/>
        </w:numPr>
      </w:pPr>
      <w:r>
        <w:t xml:space="preserve">import operational and lab data for each pilot site,</w:t>
      </w:r>
    </w:p>
    <w:p>
      <w:pPr>
        <w:numPr>
          <w:numId w:val="1021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21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21"/>
          <w:ilvl w:val="0"/>
        </w:numPr>
      </w:pPr>
      <w:r>
        <w:t xml:space="preserve">creating a standardised report (e.g. monthly) in html, pdf or docx</w:t>
      </w:r>
    </w:p>
    <w:p>
      <w:pPr>
        <w:pStyle w:val="Heading1"/>
      </w:pPr>
      <w:bookmarkStart w:id="79" w:name="other-projects"/>
      <w:bookmarkEnd w:id="79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 case studies(#case-studies) 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Compact"/>
      </w:pPr>
    </w:p>
    <w:p>
      <w:pPr>
        <w:pStyle w:val="Compact"/>
      </w:pPr>
      <w:r>
        <w:t xml:space="preserve">However, in contrast to the case studies(#case-studies) the workflows and tools</w:t>
      </w:r>
      <w:r>
        <w:t xml:space="preserve"> </w:t>
      </w:r>
      <w:r>
        <w:t xml:space="preserve">were not tested</w:t>
      </w:r>
    </w:p>
    <w:p>
      <w:pPr>
        <w:pStyle w:val="BodyText"/>
      </w:pPr>
    </w:p>
    <w:p>
      <w:pPr>
        <w:pStyle w:val="Heading2"/>
      </w:pPr>
      <w:bookmarkStart w:id="80" w:name="spree2011-2007"/>
      <w:bookmarkEnd w:id="80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2"/>
          <w:ilvl w:val="0"/>
        </w:numPr>
      </w:pPr>
      <w:r>
        <w:t xml:space="preserve">KWB:</w:t>
      </w:r>
    </w:p>
    <w:p>
      <w:pPr>
        <w:pStyle w:val="Compact"/>
        <w:numPr>
          <w:numId w:val="1023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3"/>
          <w:ilvl w:val="1"/>
        </w:numPr>
      </w:pPr>
      <w:r>
        <w:t xml:space="preserve">rain (Text/CSV)</w:t>
      </w:r>
    </w:p>
    <w:p>
      <w:pPr>
        <w:pStyle w:val="Compact"/>
        <w:numPr>
          <w:numId w:val="1022"/>
          <w:ilvl w:val="0"/>
        </w:numPr>
      </w:pPr>
      <w:r>
        <w:t xml:space="preserve">BWB:</w:t>
      </w:r>
    </w:p>
    <w:p>
      <w:pPr>
        <w:pStyle w:val="Compact"/>
        <w:numPr>
          <w:numId w:val="1024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4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4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5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6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6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7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7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7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81" w:name="miacso"/>
      <w:bookmarkEnd w:id="81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28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28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28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29"/>
          <w:ilvl w:val="0"/>
        </w:numPr>
      </w:pPr>
      <w:r>
        <w:t xml:space="preserve">Sewerage: Infoworks</w:t>
      </w:r>
    </w:p>
    <w:p>
      <w:pPr>
        <w:pStyle w:val="Compact"/>
        <w:numPr>
          <w:numId w:val="1029"/>
          <w:ilvl w:val="0"/>
        </w:numPr>
      </w:pPr>
      <w:r>
        <w:t xml:space="preserve">River hydraulics: Hydrax</w:t>
      </w:r>
    </w:p>
    <w:p>
      <w:pPr>
        <w:pStyle w:val="Compact"/>
        <w:numPr>
          <w:numId w:val="1029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30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30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30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31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2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2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2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2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3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3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4"/>
          <w:ilvl w:val="0"/>
        </w:numPr>
      </w:pPr>
      <w:r>
        <w:t xml:space="preserve">MS Access Applications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4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4"/>
          <w:ilvl w:val="0"/>
        </w:numPr>
      </w:pPr>
      <w:r>
        <w:t xml:space="preserve">R packages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82" w:name="kuras"/>
      <w:bookmarkEnd w:id="82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7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7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83" w:name="ogre"/>
      <w:bookmarkEnd w:id="83"/>
      <w:r>
        <w:t xml:space="preserve">OGRE</w:t>
      </w:r>
    </w:p>
    <w:p>
      <w:pPr>
        <w:pStyle w:val="Compact"/>
        <w:numPr>
          <w:numId w:val="1038"/>
          <w:ilvl w:val="0"/>
        </w:numPr>
      </w:pPr>
      <w:r>
        <w:t xml:space="preserve">Decision to use</w:t>
      </w:r>
      <w:r>
        <w:t xml:space="preserve"> </w:t>
      </w:r>
      <w:hyperlink r:id="rId84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38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9"/>
          <w:ilvl w:val="0"/>
        </w:numPr>
      </w:pPr>
      <w:r>
        <w:t xml:space="preserve">R packages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85" w:name="flusshygiene"/>
      <w:bookmarkEnd w:id="85"/>
      <w:r>
        <w:t xml:space="preserve">Flusshygiene</w:t>
      </w:r>
    </w:p>
    <w:p>
      <w:pPr>
        <w:pStyle w:val="Compact"/>
        <w:numPr>
          <w:numId w:val="1041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86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41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87" w:name="demoware"/>
      <w:bookmarkEnd w:id="87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2"/>
          <w:ilvl w:val="0"/>
        </w:numPr>
      </w:pPr>
      <w:r>
        <w:t xml:space="preserve">Grundwassermodellierung</w:t>
      </w:r>
    </w:p>
    <w:p>
      <w:pPr>
        <w:numPr>
          <w:numId w:val="1043"/>
          <w:ilvl w:val="1"/>
        </w:numPr>
      </w:pPr>
      <w:hyperlink r:id="rId88">
        <w:r>
          <w:rPr>
            <w:rStyle w:val="Hyperlink"/>
          </w:rPr>
          <w:t xml:space="preserve">kwb.hantush</w:t>
        </w:r>
      </w:hyperlink>
    </w:p>
    <w:p>
      <w:pPr>
        <w:numPr>
          <w:numId w:val="1043"/>
          <w:ilvl w:val="1"/>
        </w:numPr>
      </w:pPr>
      <w:r>
        <w:t xml:space="preserve">kwb.vs2dh</w:t>
      </w:r>
    </w:p>
    <w:p>
      <w:pPr>
        <w:numPr>
          <w:numId w:val="1043"/>
          <w:ilvl w:val="1"/>
        </w:numPr>
      </w:pPr>
      <w:r>
        <w:t xml:space="preserve">kwb.demoware</w:t>
      </w:r>
    </w:p>
    <w:p>
      <w:pPr>
        <w:numPr>
          <w:numId w:val="1042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4"/>
          <w:ilvl w:val="1"/>
        </w:numPr>
      </w:pPr>
      <w:hyperlink r:id="rId89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0" w:name="optiwells"/>
      <w:bookmarkEnd w:id="90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5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92" w:name="rwe"/>
      <w:bookmarkEnd w:id="92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93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94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95" w:name="faq"/>
      <w:bookmarkEnd w:id="95"/>
      <w:r>
        <w:t xml:space="preserve">FAQs</w:t>
      </w:r>
    </w:p>
    <w:p>
      <w:pPr>
        <w:pStyle w:val="Heading2"/>
      </w:pPr>
      <w:bookmarkStart w:id="96" w:name="excel"/>
      <w:bookmarkEnd w:id="96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46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46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47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47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47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47"/>
          <w:ilvl w:val="0"/>
        </w:numPr>
      </w:pPr>
      <w:r>
        <w:t xml:space="preserve">Ein Tabellenblatt pro Tabelle</w:t>
      </w:r>
    </w:p>
    <w:p>
      <w:pPr>
        <w:numPr>
          <w:numId w:val="1047"/>
          <w:ilvl w:val="0"/>
        </w:numPr>
      </w:pPr>
      <w:r>
        <w:t xml:space="preserve">Genau eine Headerzeile pro Tabelle mit eindeutigen Spaltennamen</w:t>
      </w:r>
    </w:p>
    <w:p>
      <w:pPr>
        <w:numPr>
          <w:numId w:val="1047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48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97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98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99" w:name="heterogenous-software-versions-on-kwb-computers"/>
      <w:bookmarkEnd w:id="99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0" w:name="r-packageversion-dependency-of-r-scripts"/>
      <w:bookmarkEnd w:id="100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01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02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03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04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06" w:name="complex-r-script-dependencies"/>
      <w:bookmarkEnd w:id="106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07" w:name="heterogenous-r-coding-styles"/>
      <w:bookmarkEnd w:id="107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49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08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09" w:name="collaborative-version-control"/>
      <w:bookmarkEnd w:id="109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50"/>
          <w:ilvl w:val="0"/>
        </w:numPr>
      </w:pPr>
      <w:r>
        <w:t xml:space="preserve">Miteinander sprechen,</w:t>
      </w:r>
    </w:p>
    <w:p>
      <w:pPr>
        <w:numPr>
          <w:numId w:val="1050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50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0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11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12" w:name="encoding"/>
      <w:bookmarkEnd w:id="112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13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14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15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15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16" w:name="glossary"/>
      <w:bookmarkEnd w:id="116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17" w:name="reproducibility"/>
      <w:bookmarkEnd w:id="117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8" w:name="provenance"/>
      <w:bookmarkEnd w:id="118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9" w:name="techniques"/>
      <w:bookmarkEnd w:id="119"/>
      <w:r>
        <w:t xml:space="preserve">Techniques</w:t>
      </w:r>
    </w:p>
    <w:p>
      <w:pPr>
        <w:numPr>
          <w:numId w:val="1051"/>
          <w:ilvl w:val="0"/>
        </w:numPr>
      </w:pPr>
      <w:r>
        <w:t xml:space="preserve">Version control</w:t>
      </w:r>
    </w:p>
    <w:p>
      <w:pPr>
        <w:numPr>
          <w:numId w:val="1051"/>
          <w:ilvl w:val="0"/>
        </w:numPr>
      </w:pPr>
      <w:r>
        <w:t xml:space="preserve">Literate Programming</w:t>
      </w:r>
    </w:p>
    <w:p>
      <w:pPr>
        <w:numPr>
          <w:numId w:val="1051"/>
          <w:ilvl w:val="0"/>
        </w:numPr>
      </w:pPr>
      <w:r>
        <w:t xml:space="preserve">Data Publication</w:t>
      </w:r>
    </w:p>
    <w:p>
      <w:pPr>
        <w:numPr>
          <w:numId w:val="1051"/>
          <w:ilvl w:val="0"/>
        </w:numPr>
      </w:pPr>
      <w:r>
        <w:t xml:space="preserve">Munging (i.e. data cleaning)</w:t>
      </w:r>
    </w:p>
    <w:p>
      <w:pPr>
        <w:numPr>
          <w:numId w:val="1051"/>
          <w:ilvl w:val="0"/>
        </w:numPr>
      </w:pPr>
      <w:r>
        <w:t xml:space="preserve">Software Testing</w:t>
      </w:r>
    </w:p>
    <w:p>
      <w:pPr>
        <w:numPr>
          <w:numId w:val="1051"/>
          <w:ilvl w:val="0"/>
        </w:numPr>
      </w:pPr>
      <w:r>
        <w:t xml:space="preserve">Continuous Integration</w:t>
      </w:r>
    </w:p>
    <w:p>
      <w:pPr>
        <w:numPr>
          <w:numId w:val="1051"/>
          <w:ilvl w:val="0"/>
        </w:numPr>
      </w:pPr>
      <w:r>
        <w:t xml:space="preserve">Workflow Management</w:t>
      </w:r>
    </w:p>
    <w:p>
      <w:pPr>
        <w:numPr>
          <w:numId w:val="1051"/>
          <w:ilvl w:val="0"/>
        </w:numPr>
      </w:pPr>
      <w:r>
        <w:t xml:space="preserve">File Format Standards</w:t>
      </w:r>
    </w:p>
    <w:p>
      <w:pPr>
        <w:numPr>
          <w:numId w:val="1051"/>
          <w:ilvl w:val="0"/>
        </w:numPr>
      </w:pPr>
      <w:r>
        <w:t xml:space="preserve">Licensing</w:t>
      </w:r>
    </w:p>
    <w:p>
      <w:pPr>
        <w:numPr>
          <w:numId w:val="1051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0" w:name="tools"/>
      <w:bookmarkEnd w:id="120"/>
      <w:r>
        <w:t xml:space="preserve">Tools</w:t>
      </w:r>
    </w:p>
    <w:p>
      <w:pPr>
        <w:numPr>
          <w:numId w:val="1052"/>
          <w:ilvl w:val="0"/>
        </w:numPr>
      </w:pPr>
      <w:r>
        <w:t xml:space="preserve">Programming Language and Related Tools</w:t>
      </w:r>
    </w:p>
    <w:p>
      <w:pPr>
        <w:numPr>
          <w:numId w:val="1052"/>
          <w:ilvl w:val="0"/>
        </w:numPr>
      </w:pPr>
      <w:r>
        <w:t xml:space="preserve">Documentation Generators</w:t>
      </w:r>
    </w:p>
    <w:p>
      <w:pPr>
        <w:numPr>
          <w:numId w:val="1052"/>
          <w:ilvl w:val="0"/>
        </w:numPr>
      </w:pPr>
      <w:r>
        <w:t xml:space="preserve">Version Control</w:t>
      </w:r>
    </w:p>
    <w:p>
      <w:pPr>
        <w:numPr>
          <w:numId w:val="1052"/>
          <w:ilvl w:val="0"/>
        </w:numPr>
      </w:pPr>
      <w:r>
        <w:t xml:space="preserve">Data Munging and Analysis</w:t>
      </w:r>
    </w:p>
    <w:p>
      <w:pPr>
        <w:numPr>
          <w:numId w:val="1052"/>
          <w:ilvl w:val="0"/>
        </w:numPr>
      </w:pPr>
      <w:r>
        <w:t xml:space="preserve">Data Visualization</w:t>
      </w:r>
    </w:p>
    <w:p>
      <w:pPr>
        <w:numPr>
          <w:numId w:val="1052"/>
          <w:ilvl w:val="0"/>
        </w:numPr>
      </w:pPr>
      <w:r>
        <w:t xml:space="preserve">Software Testing and Continuous Integration</w:t>
      </w:r>
    </w:p>
    <w:p>
      <w:pPr>
        <w:numPr>
          <w:numId w:val="1052"/>
          <w:ilvl w:val="0"/>
        </w:numPr>
      </w:pPr>
      <w:r>
        <w:t xml:space="preserve">Virtualization and Environment Isolation</w:t>
      </w:r>
    </w:p>
    <w:p>
      <w:pPr>
        <w:numPr>
          <w:numId w:val="1052"/>
          <w:ilvl w:val="0"/>
        </w:numPr>
      </w:pPr>
      <w:r>
        <w:t xml:space="preserve">Data Sharing and Repositories</w:t>
      </w:r>
    </w:p>
    <w:p>
      <w:pPr>
        <w:numPr>
          <w:numId w:val="1052"/>
          <w:ilvl w:val="0"/>
        </w:numPr>
      </w:pPr>
      <w:r>
        <w:t xml:space="preserve">Document Authoring</w:t>
      </w:r>
    </w:p>
    <w:p>
      <w:pPr>
        <w:numPr>
          <w:numId w:val="1052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21" w:name="references"/>
      <w:bookmarkEnd w:id="121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22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23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24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25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f49c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0f07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ace0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3aef326c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2018-06-25T11:44:51Z</dcterms:created>
  <dcterms:modified xsi:type="dcterms:W3CDTF">2018-06-25T11:44:51Z</dcterms:modified>
</cp:coreProperties>
</file>