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13:14:56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2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2"/>
          <w:ilvl w:val="0"/>
        </w:numPr>
      </w:pPr>
      <w:r>
        <w:t xml:space="preserve">be all lowercase,</w:t>
      </w:r>
    </w:p>
    <w:p>
      <w:pPr>
        <w:pStyle w:val="Compact"/>
        <w:numPr>
          <w:numId w:val="1012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3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3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3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4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15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15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15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15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16"/>
          <w:ilvl w:val="0"/>
        </w:numPr>
      </w:pPr>
      <w:r>
        <w:t xml:space="preserve">DataCite Metadata Schema</w:t>
      </w:r>
    </w:p>
    <w:p>
      <w:pPr>
        <w:numPr>
          <w:numId w:val="1017"/>
          <w:ilvl w:val="1"/>
        </w:numPr>
      </w:pPr>
      <w:r>
        <w:t xml:space="preserve">Leibniz-Zentrum für Agrarlandschaftsforschung e. V. (ZALF)</w:t>
      </w:r>
    </w:p>
    <w:p>
      <w:pPr>
        <w:numPr>
          <w:numId w:val="1017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16"/>
          <w:ilvl w:val="0"/>
        </w:numPr>
      </w:pPr>
      <w:r>
        <w:t xml:space="preserve">ISO 19115-2</w:t>
      </w:r>
    </w:p>
    <w:p>
      <w:pPr>
        <w:numPr>
          <w:numId w:val="1018"/>
          <w:ilvl w:val="1"/>
        </w:numPr>
      </w:pPr>
      <w:r>
        <w:t xml:space="preserve">Bundesanstalt für Gewässerkunde (BfG)</w:t>
      </w:r>
    </w:p>
    <w:p>
      <w:pPr>
        <w:numPr>
          <w:numId w:val="1018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19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0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0"/>
          <w:ilvl w:val="0"/>
        </w:numPr>
      </w:pPr>
      <w:r>
        <w:t xml:space="preserve">the content must not be changed</w:t>
      </w:r>
    </w:p>
    <w:p>
      <w:pPr>
        <w:numPr>
          <w:numId w:val="1020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1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1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1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folder-structures"/>
      <w:bookmarkEnd w:id="51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2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2" w:name="project-folder-structure"/>
      <w:bookmarkEnd w:id="52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24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24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24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24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3" w:name="rawdata-folder-structure"/>
      <w:bookmarkEnd w:id="53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4" w:name="versioning"/>
      <w:bookmarkEnd w:id="54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5" w:name="manual"/>
      <w:bookmarkEnd w:id="55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25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25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25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25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26"/>
          <w:ilvl w:val="0"/>
        </w:numPr>
      </w:pPr>
      <w:r>
        <w:t xml:space="preserve">possibly more time demanding,</w:t>
      </w:r>
    </w:p>
    <w:p>
      <w:pPr>
        <w:numPr>
          <w:numId w:val="1026"/>
          <w:ilvl w:val="0"/>
        </w:numPr>
      </w:pPr>
      <w:r>
        <w:t xml:space="preserve">needs time getting used to it and</w:t>
      </w:r>
    </w:p>
    <w:p>
      <w:pPr>
        <w:numPr>
          <w:numId w:val="1026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27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27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27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6" w:name="automatically"/>
      <w:bookmarkEnd w:id="56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28"/>
          <w:ilvl w:val="0"/>
        </w:numPr>
      </w:pPr>
      <w:hyperlink r:id="rId59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29"/>
          <w:ilvl w:val="1"/>
        </w:numPr>
      </w:pPr>
      <w:r>
        <w:t xml:space="preserve">the installation of the client software</w:t>
      </w:r>
      <w:r>
        <w:t xml:space="preserve"> 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29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28"/>
          <w:ilvl w:val="0"/>
        </w:numPr>
      </w:pPr>
      <w:hyperlink r:id="rId61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3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0"/>
          <w:ilvl w:val="0"/>
        </w:numPr>
      </w:pPr>
      <w:r>
        <w:t xml:space="preserve">Special software (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0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1"/>
          <w:ilvl w:val="1"/>
        </w:numPr>
      </w:pPr>
      <w:r>
        <w:t xml:space="preserve">timely check in of code changes to the central server,</w:t>
      </w:r>
    </w:p>
    <w:p>
      <w:pPr>
        <w:numPr>
          <w:numId w:val="1031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2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2"/>
          <w:ilvl w:val="0"/>
        </w:numPr>
      </w:pPr>
      <w:r>
        <w:t xml:space="preserve">Old versions of scripts can be restored easily</w:t>
      </w:r>
    </w:p>
    <w:p>
      <w:pPr>
        <w:numPr>
          <w:numId w:val="1032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4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5" w:name="organising-your-e-mail-account"/>
      <w:bookmarkEnd w:id="65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6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6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33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33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33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33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7" w:name="managing-references"/>
      <w:bookmarkEnd w:id="67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8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69">
        <w:r>
          <w:rPr>
            <w:rStyle w:val="Hyperlink"/>
          </w:rPr>
          <w:t xml:space="preserve">KWB-EndNote-Guideline-v02.pdf</w:t>
        </w:r>
      </w:hyperlink>
      <w:r>
        <w:t xml:space="preserve">, link only</w:t>
      </w:r>
      <w:r>
        <w:t xml:space="preserve"> </w:t>
      </w:r>
      <w:r>
        <w:t xml:space="preserve">accessible within KWB intranet)) was developed.</w:t>
      </w:r>
    </w:p>
    <w:p>
      <w:pPr>
        <w:pStyle w:val="Heading3"/>
      </w:pPr>
      <w:bookmarkStart w:id="70" w:name="data-preservation"/>
      <w:bookmarkEnd w:id="70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1" w:name="data-collection"/>
      <w:bookmarkEnd w:id="71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2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3" w:name="logger-devices"/>
      <w:bookmarkEnd w:id="73"/>
      <w:r>
        <w:t xml:space="preserve">Logger devices</w:t>
      </w:r>
    </w:p>
    <w:p>
      <w:pPr>
        <w:pStyle w:val="Heading3"/>
      </w:pPr>
      <w:bookmarkStart w:id="74" w:name="spreadsheets"/>
      <w:bookmarkEnd w:id="74"/>
      <w:r>
        <w:t xml:space="preserve">Spreadsheets</w:t>
      </w:r>
    </w:p>
    <w:p>
      <w:pPr>
        <w:pStyle w:val="Heading1"/>
      </w:pPr>
      <w:bookmarkStart w:id="75" w:name="case-studies"/>
      <w:bookmarkEnd w:id="75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76" w:name="geogenic-salination"/>
      <w:bookmarkEnd w:id="76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34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34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34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7" w:name="lca-modelling"/>
      <w:bookmarkEnd w:id="77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8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9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35"/>
          <w:ilvl w:val="0"/>
        </w:numPr>
      </w:pPr>
      <w:r>
        <w:t xml:space="preserve">data import the Umberto model results,</w:t>
      </w:r>
    </w:p>
    <w:p>
      <w:pPr>
        <w:numPr>
          <w:numId w:val="1035"/>
          <w:ilvl w:val="0"/>
        </w:numPr>
      </w:pPr>
      <w:r>
        <w:t xml:space="preserve">performing data aggregating to the user needs and finally</w:t>
      </w:r>
    </w:p>
    <w:p>
      <w:pPr>
        <w:numPr>
          <w:numId w:val="1035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80" w:name="aquanes"/>
      <w:bookmarkEnd w:id="80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81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36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36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82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37"/>
          <w:ilvl w:val="0"/>
        </w:numPr>
      </w:pPr>
      <w:r>
        <w:t xml:space="preserve">import operational and lab data for each pilot site,</w:t>
      </w:r>
    </w:p>
    <w:p>
      <w:pPr>
        <w:numPr>
          <w:numId w:val="1037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37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37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38"/>
          <w:ilvl w:val="0"/>
        </w:numPr>
      </w:pPr>
      <w:hyperlink r:id="rId83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84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38"/>
          <w:ilvl w:val="0"/>
        </w:numPr>
      </w:pPr>
      <w:hyperlink r:id="rId85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38"/>
          <w:ilvl w:val="0"/>
        </w:numPr>
      </w:pPr>
      <w:hyperlink r:id="rId86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38"/>
          <w:ilvl w:val="0"/>
        </w:numPr>
      </w:pPr>
      <w:hyperlink r:id="rId87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86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7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83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8" w:name="other-projects"/>
      <w:bookmarkEnd w:id="88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9" w:name="spree2011-2007"/>
      <w:bookmarkEnd w:id="89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39"/>
          <w:ilvl w:val="0"/>
        </w:numPr>
      </w:pPr>
      <w:r>
        <w:t xml:space="preserve">KWB:</w:t>
      </w:r>
    </w:p>
    <w:p>
      <w:pPr>
        <w:pStyle w:val="Compact"/>
        <w:numPr>
          <w:numId w:val="1040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40"/>
          <w:ilvl w:val="1"/>
        </w:numPr>
      </w:pPr>
      <w:r>
        <w:t xml:space="preserve">rain (Text/CSV)</w:t>
      </w:r>
    </w:p>
    <w:p>
      <w:pPr>
        <w:pStyle w:val="Compact"/>
        <w:numPr>
          <w:numId w:val="1039"/>
          <w:ilvl w:val="0"/>
        </w:numPr>
      </w:pPr>
      <w:r>
        <w:t xml:space="preserve">BWB:</w:t>
      </w:r>
    </w:p>
    <w:p>
      <w:pPr>
        <w:pStyle w:val="Compact"/>
        <w:numPr>
          <w:numId w:val="1041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41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41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42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43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43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44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44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44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90" w:name="miacso"/>
      <w:bookmarkEnd w:id="90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45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45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45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46"/>
          <w:ilvl w:val="0"/>
        </w:numPr>
      </w:pPr>
      <w:r>
        <w:t xml:space="preserve">Sewerage: Infoworks</w:t>
      </w:r>
    </w:p>
    <w:p>
      <w:pPr>
        <w:pStyle w:val="Compact"/>
        <w:numPr>
          <w:numId w:val="1046"/>
          <w:ilvl w:val="0"/>
        </w:numPr>
      </w:pPr>
      <w:r>
        <w:t xml:space="preserve">River hydraulics: Hydrax</w:t>
      </w:r>
    </w:p>
    <w:p>
      <w:pPr>
        <w:pStyle w:val="Compact"/>
        <w:numPr>
          <w:numId w:val="1046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47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47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47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47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48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49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49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49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49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50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0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1"/>
          <w:ilvl w:val="0"/>
        </w:numPr>
      </w:pPr>
      <w:r>
        <w:t xml:space="preserve">MS Access Applications</w:t>
      </w:r>
    </w:p>
    <w:p>
      <w:pPr>
        <w:pStyle w:val="Compact"/>
        <w:numPr>
          <w:numId w:val="1052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52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52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51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51"/>
          <w:ilvl w:val="0"/>
        </w:numPr>
      </w:pPr>
      <w:r>
        <w:t xml:space="preserve">R packages</w:t>
      </w:r>
    </w:p>
    <w:p>
      <w:pPr>
        <w:pStyle w:val="Compact"/>
        <w:numPr>
          <w:numId w:val="1053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53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53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91" w:name="kuras"/>
      <w:bookmarkEnd w:id="91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4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54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92" w:name="ogre"/>
      <w:bookmarkEnd w:id="92"/>
      <w:r>
        <w:t xml:space="preserve">OGRE</w:t>
      </w:r>
    </w:p>
    <w:p>
      <w:pPr>
        <w:pStyle w:val="Compact"/>
        <w:numPr>
          <w:numId w:val="1055"/>
          <w:ilvl w:val="0"/>
        </w:numPr>
      </w:pPr>
      <w:r>
        <w:t xml:space="preserve">Decision to use</w:t>
      </w:r>
      <w:r>
        <w:t xml:space="preserve"> </w:t>
      </w:r>
      <w:hyperlink r:id="rId93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55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6"/>
          <w:ilvl w:val="0"/>
        </w:numPr>
      </w:pPr>
      <w:r>
        <w:t xml:space="preserve">R packages</w:t>
      </w:r>
    </w:p>
    <w:p>
      <w:pPr>
        <w:pStyle w:val="Compact"/>
        <w:numPr>
          <w:numId w:val="1057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57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57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57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94" w:name="flusshygiene"/>
      <w:bookmarkEnd w:id="94"/>
      <w:r>
        <w:t xml:space="preserve">Flusshygiene</w:t>
      </w:r>
    </w:p>
    <w:p>
      <w:pPr>
        <w:pStyle w:val="Compact"/>
        <w:numPr>
          <w:numId w:val="1058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95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58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96" w:name="demoware"/>
      <w:bookmarkEnd w:id="96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59"/>
          <w:ilvl w:val="0"/>
        </w:numPr>
      </w:pPr>
      <w:r>
        <w:t xml:space="preserve">Grundwassermodellierung</w:t>
      </w:r>
    </w:p>
    <w:p>
      <w:pPr>
        <w:numPr>
          <w:numId w:val="1060"/>
          <w:ilvl w:val="1"/>
        </w:numPr>
      </w:pPr>
      <w:hyperlink r:id="rId97">
        <w:r>
          <w:rPr>
            <w:rStyle w:val="Hyperlink"/>
          </w:rPr>
          <w:t xml:space="preserve">kwb.hantush</w:t>
        </w:r>
      </w:hyperlink>
    </w:p>
    <w:p>
      <w:pPr>
        <w:numPr>
          <w:numId w:val="1060"/>
          <w:ilvl w:val="1"/>
        </w:numPr>
      </w:pPr>
      <w:r>
        <w:t xml:space="preserve">kwb.vs2dh</w:t>
      </w:r>
    </w:p>
    <w:p>
      <w:pPr>
        <w:numPr>
          <w:numId w:val="1060"/>
          <w:ilvl w:val="1"/>
        </w:numPr>
      </w:pPr>
      <w:r>
        <w:t xml:space="preserve">kwb.demoware</w:t>
      </w:r>
    </w:p>
    <w:p>
      <w:pPr>
        <w:numPr>
          <w:numId w:val="1059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61"/>
          <w:ilvl w:val="1"/>
        </w:numPr>
      </w:pPr>
      <w:hyperlink r:id="rId98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9" w:name="optiwells"/>
      <w:bookmarkEnd w:id="99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62"/>
          <w:ilvl w:val="0"/>
        </w:numPr>
      </w:pPr>
      <w:hyperlink r:id="rId100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62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01" w:name="rwe"/>
      <w:bookmarkEnd w:id="101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02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03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04" w:name="faq"/>
      <w:bookmarkEnd w:id="104"/>
      <w:r>
        <w:t xml:space="preserve">FAQs</w:t>
      </w:r>
    </w:p>
    <w:p>
      <w:pPr>
        <w:pStyle w:val="Heading2"/>
      </w:pPr>
      <w:bookmarkStart w:id="105" w:name="excel"/>
      <w:bookmarkEnd w:id="105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63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63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64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64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64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64"/>
          <w:ilvl w:val="0"/>
        </w:numPr>
      </w:pPr>
      <w:r>
        <w:t xml:space="preserve">Ein Tabellenblatt pro Tabelle</w:t>
      </w:r>
    </w:p>
    <w:p>
      <w:pPr>
        <w:numPr>
          <w:numId w:val="1064"/>
          <w:ilvl w:val="0"/>
        </w:numPr>
      </w:pPr>
      <w:r>
        <w:t xml:space="preserve">Genau eine Headerzeile pro Tabelle mit eindeutigen Spaltennamen</w:t>
      </w:r>
    </w:p>
    <w:p>
      <w:pPr>
        <w:numPr>
          <w:numId w:val="1064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65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06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07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8" w:name="heterogenous-software-versions-on-kwb-computers"/>
      <w:bookmarkEnd w:id="108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9" w:name="r-packageversion-dependency-of-r-scripts"/>
      <w:bookmarkEnd w:id="109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10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11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12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13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15" w:name="complex-r-script-dependencies"/>
      <w:bookmarkEnd w:id="115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16" w:name="heterogenous-r-coding-styles"/>
      <w:bookmarkEnd w:id="116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66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17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8" w:name="collaborative-version-control"/>
      <w:bookmarkEnd w:id="118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67"/>
          <w:ilvl w:val="0"/>
        </w:numPr>
      </w:pPr>
      <w:r>
        <w:t xml:space="preserve">Miteinander sprechen,</w:t>
      </w:r>
    </w:p>
    <w:p>
      <w:pPr>
        <w:numPr>
          <w:numId w:val="1067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67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9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20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21" w:name="encoding"/>
      <w:bookmarkEnd w:id="121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22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23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24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24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25" w:name="glossary"/>
      <w:bookmarkEnd w:id="125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26" w:name="reproducibility"/>
      <w:bookmarkEnd w:id="126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7" w:name="provenance"/>
      <w:bookmarkEnd w:id="127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8" w:name="techniques"/>
      <w:bookmarkEnd w:id="128"/>
      <w:r>
        <w:t xml:space="preserve">Techniques</w:t>
      </w:r>
    </w:p>
    <w:p>
      <w:pPr>
        <w:numPr>
          <w:numId w:val="1068"/>
          <w:ilvl w:val="0"/>
        </w:numPr>
      </w:pPr>
      <w:r>
        <w:t xml:space="preserve">Version control</w:t>
      </w:r>
    </w:p>
    <w:p>
      <w:pPr>
        <w:numPr>
          <w:numId w:val="1068"/>
          <w:ilvl w:val="0"/>
        </w:numPr>
      </w:pPr>
      <w:r>
        <w:t xml:space="preserve">Literate Programming</w:t>
      </w:r>
    </w:p>
    <w:p>
      <w:pPr>
        <w:numPr>
          <w:numId w:val="1068"/>
          <w:ilvl w:val="0"/>
        </w:numPr>
      </w:pPr>
      <w:r>
        <w:t xml:space="preserve">Data Publication</w:t>
      </w:r>
    </w:p>
    <w:p>
      <w:pPr>
        <w:numPr>
          <w:numId w:val="1068"/>
          <w:ilvl w:val="0"/>
        </w:numPr>
      </w:pPr>
      <w:r>
        <w:t xml:space="preserve">Munging (i.e. data cleaning)</w:t>
      </w:r>
    </w:p>
    <w:p>
      <w:pPr>
        <w:numPr>
          <w:numId w:val="1068"/>
          <w:ilvl w:val="0"/>
        </w:numPr>
      </w:pPr>
      <w:r>
        <w:t xml:space="preserve">Software Testing</w:t>
      </w:r>
    </w:p>
    <w:p>
      <w:pPr>
        <w:numPr>
          <w:numId w:val="1068"/>
          <w:ilvl w:val="0"/>
        </w:numPr>
      </w:pPr>
      <w:r>
        <w:t xml:space="preserve">Continuous Integration</w:t>
      </w:r>
    </w:p>
    <w:p>
      <w:pPr>
        <w:numPr>
          <w:numId w:val="1068"/>
          <w:ilvl w:val="0"/>
        </w:numPr>
      </w:pPr>
      <w:r>
        <w:t xml:space="preserve">Workflow Management</w:t>
      </w:r>
    </w:p>
    <w:p>
      <w:pPr>
        <w:numPr>
          <w:numId w:val="1068"/>
          <w:ilvl w:val="0"/>
        </w:numPr>
      </w:pPr>
      <w:r>
        <w:t xml:space="preserve">File Format Standards</w:t>
      </w:r>
    </w:p>
    <w:p>
      <w:pPr>
        <w:numPr>
          <w:numId w:val="1068"/>
          <w:ilvl w:val="0"/>
        </w:numPr>
      </w:pPr>
      <w:r>
        <w:t xml:space="preserve">Licensing</w:t>
      </w:r>
    </w:p>
    <w:p>
      <w:pPr>
        <w:numPr>
          <w:numId w:val="1068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9" w:name="tools"/>
      <w:bookmarkEnd w:id="129"/>
      <w:r>
        <w:t xml:space="preserve">Tools</w:t>
      </w:r>
    </w:p>
    <w:p>
      <w:pPr>
        <w:numPr>
          <w:numId w:val="1069"/>
          <w:ilvl w:val="0"/>
        </w:numPr>
      </w:pPr>
      <w:r>
        <w:t xml:space="preserve">Programming Language and Related Tools</w:t>
      </w:r>
    </w:p>
    <w:p>
      <w:pPr>
        <w:numPr>
          <w:numId w:val="1069"/>
          <w:ilvl w:val="0"/>
        </w:numPr>
      </w:pPr>
      <w:r>
        <w:t xml:space="preserve">Documentation Generators</w:t>
      </w:r>
    </w:p>
    <w:p>
      <w:pPr>
        <w:numPr>
          <w:numId w:val="1069"/>
          <w:ilvl w:val="0"/>
        </w:numPr>
      </w:pPr>
      <w:r>
        <w:t xml:space="preserve">Version Control</w:t>
      </w:r>
    </w:p>
    <w:p>
      <w:pPr>
        <w:numPr>
          <w:numId w:val="1069"/>
          <w:ilvl w:val="0"/>
        </w:numPr>
      </w:pPr>
      <w:r>
        <w:t xml:space="preserve">Data Munging and Analysis</w:t>
      </w:r>
    </w:p>
    <w:p>
      <w:pPr>
        <w:numPr>
          <w:numId w:val="1069"/>
          <w:ilvl w:val="0"/>
        </w:numPr>
      </w:pPr>
      <w:r>
        <w:t xml:space="preserve">Data Visualization</w:t>
      </w:r>
    </w:p>
    <w:p>
      <w:pPr>
        <w:numPr>
          <w:numId w:val="1069"/>
          <w:ilvl w:val="0"/>
        </w:numPr>
      </w:pPr>
      <w:r>
        <w:t xml:space="preserve">Software Testing and Continuous Integration</w:t>
      </w:r>
    </w:p>
    <w:p>
      <w:pPr>
        <w:numPr>
          <w:numId w:val="1069"/>
          <w:ilvl w:val="0"/>
        </w:numPr>
      </w:pPr>
      <w:r>
        <w:t xml:space="preserve">Virtualization and Environment Isolation</w:t>
      </w:r>
    </w:p>
    <w:p>
      <w:pPr>
        <w:numPr>
          <w:numId w:val="1069"/>
          <w:ilvl w:val="0"/>
        </w:numPr>
      </w:pPr>
      <w:r>
        <w:t xml:space="preserve">Data Sharing and Repositories</w:t>
      </w:r>
    </w:p>
    <w:p>
      <w:pPr>
        <w:numPr>
          <w:numId w:val="1069"/>
          <w:ilvl w:val="0"/>
        </w:numPr>
      </w:pPr>
      <w:r>
        <w:t xml:space="preserve">Document Authoring</w:t>
      </w:r>
    </w:p>
    <w:p>
      <w:pPr>
        <w:numPr>
          <w:numId w:val="1069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30" w:name="references"/>
      <w:bookmarkEnd w:id="130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31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32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33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34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fbf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ac56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1fb019b3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f936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1b5b82f9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9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2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0" Target="http://o2r.info/" TargetMode="External" /><Relationship Type="http://schemas.openxmlformats.org/officeDocument/2006/relationships/hyperlink" Id="rId114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7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6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7" Target="https://datacarpentry.org" TargetMode="External" /><Relationship Type="http://schemas.openxmlformats.org/officeDocument/2006/relationships/hyperlink" Id="rId123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1" Target="https://doi.org/10.1007/978-3-319-00026-8_8" TargetMode="External" /><Relationship Type="http://schemas.openxmlformats.org/officeDocument/2006/relationships/hyperlink" Id="rId134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1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4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3" Target="https://mybinder.org/" TargetMode="External" /><Relationship Type="http://schemas.openxmlformats.org/officeDocument/2006/relationships/hyperlink" Id="rId112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0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2" Target="https://www.practicereproducibleresearch.org/" TargetMode="External" /><Relationship Type="http://schemas.openxmlformats.org/officeDocument/2006/relationships/hyperlink" Id="rId133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2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0" Target="http://o2r.info/" TargetMode="External" /><Relationship Type="http://schemas.openxmlformats.org/officeDocument/2006/relationships/hyperlink" Id="rId114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7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6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7" Target="https://datacarpentry.org" TargetMode="External" /><Relationship Type="http://schemas.openxmlformats.org/officeDocument/2006/relationships/hyperlink" Id="rId123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1" Target="https://doi.org/10.1007/978-3-319-00026-8_8" TargetMode="External" /><Relationship Type="http://schemas.openxmlformats.org/officeDocument/2006/relationships/hyperlink" Id="rId134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1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4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3" Target="https://mybinder.org/" TargetMode="External" /><Relationship Type="http://schemas.openxmlformats.org/officeDocument/2006/relationships/hyperlink" Id="rId112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0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2" Target="https://www.practicereproducibleresearch.org/" TargetMode="External" /><Relationship Type="http://schemas.openxmlformats.org/officeDocument/2006/relationships/hyperlink" Id="rId133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2018-06-26T13:14:58Z</dcterms:created>
  <dcterms:modified xsi:type="dcterms:W3CDTF">2018-06-26T13:14:58Z</dcterms:modified>
</cp:coreProperties>
</file>