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2018-06-11</w:t>
      </w:r>
      <w:r>
        <w:t xml:space="preserve"> </w:t>
      </w:r>
      <w:r>
        <w:t xml:space="preserve">20:12:04</w:t>
      </w:r>
    </w:p>
    <w:p>
      <w:pPr>
        <w:pStyle w:val="Heading1"/>
      </w:pPr>
      <w:bookmarkStart w:id="21" w:name="index"/>
      <w:bookmarkEnd w:id="21"/>
      <w:r>
        <w:t xml:space="preserve">Introduction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r>
        <w:t xml:space="preserve">This document is the outcome of the KWB project</w:t>
      </w:r>
      <w:r>
        <w:t xml:space="preserve"> </w:t>
      </w:r>
      <w:hyperlink r:id="rId23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pStyle w:val="Compact"/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pStyle w:val="Compact"/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overviews about KWB projects and lists how different data related tasks have been solved within these projects.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Heading1"/>
      </w:pPr>
      <w:bookmarkStart w:id="24" w:name="data-related-project-controlling"/>
      <w:bookmarkEnd w:id="24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2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2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3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4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1"/>
      </w:pPr>
      <w:bookmarkStart w:id="25" w:name="naming-conventions"/>
      <w:bookmarkEnd w:id="25"/>
      <w:r>
        <w:t xml:space="preserve">Naming Conventions</w:t>
      </w:r>
    </w:p>
    <w:p>
      <w:pPr>
        <w:pStyle w:val="Heading2"/>
      </w:pPr>
      <w:bookmarkStart w:id="26" w:name="acronyms"/>
      <w:bookmarkEnd w:id="26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5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5"/>
          <w:ilvl w:val="0"/>
        </w:numPr>
      </w:pPr>
      <w:r>
        <w:t xml:space="preserve">be all lowercase,</w:t>
      </w:r>
    </w:p>
    <w:p>
      <w:pPr>
        <w:pStyle w:val="Compact"/>
        <w:numPr>
          <w:numId w:val="1005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3"/>
      </w:pPr>
      <w:bookmarkStart w:id="27" w:name="project-acronyms"/>
      <w:bookmarkEnd w:id="27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3"/>
      </w:pPr>
      <w:bookmarkStart w:id="28" w:name="acronyms-for-organisations"/>
      <w:bookmarkEnd w:id="28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1"/>
      </w:pPr>
      <w:bookmarkStart w:id="29" w:name="folder-structures"/>
      <w:bookmarkEnd w:id="29"/>
      <w:r>
        <w:t xml:space="preserve">Folder Structures</w:t>
      </w:r>
    </w:p>
    <w:p>
      <w:pPr>
        <w:pStyle w:val="Heading2"/>
      </w:pPr>
      <w:bookmarkStart w:id="30" w:name="project-folder-structure"/>
      <w:bookmarkEnd w:id="30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6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6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6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6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2"/>
      </w:pPr>
      <w:bookmarkStart w:id="31" w:name="rawdata-folder-structure"/>
      <w:bookmarkEnd w:id="31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7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The naming convention for the organisations is the same as for projects.</w:t>
      </w:r>
    </w:p>
    <w:p>
      <w:pPr>
        <w:pStyle w:val="Heading1"/>
      </w:pPr>
      <w:bookmarkStart w:id="32" w:name="raw-data"/>
      <w:bookmarkEnd w:id="32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8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8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1"/>
      </w:pPr>
      <w:bookmarkStart w:id="33" w:name="metadata"/>
      <w:bookmarkEnd w:id="33"/>
      <w:r>
        <w:t xml:space="preserve">Metadata</w:t>
      </w:r>
    </w:p>
    <w:p>
      <w:pPr>
        <w:pStyle w:val="Heading2"/>
      </w:pPr>
      <w:bookmarkStart w:id="34" w:name="special-files"/>
      <w:bookmarkEnd w:id="34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3"/>
      </w:pPr>
      <w:bookmarkStart w:id="35" w:name="file-projects"/>
      <w:bookmarkEnd w:id="35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3"/>
      </w:pPr>
      <w:bookmarkStart w:id="36" w:name="file-organisations"/>
      <w:bookmarkEnd w:id="36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1"/>
      </w:pPr>
      <w:bookmarkStart w:id="37" w:name="data-processing"/>
      <w:bookmarkEnd w:id="37"/>
      <w:r>
        <w:t xml:space="preserve">Data Processing</w:t>
      </w:r>
    </w:p>
    <w:p>
      <w:pPr>
        <w:pStyle w:val="Heading2"/>
      </w:pPr>
      <w:bookmarkStart w:id="38" w:name="automatic-data-import-into-r"/>
      <w:bookmarkEnd w:id="38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3"/>
      </w:pPr>
      <w:bookmarkStart w:id="39" w:name="import-data-from-one-excel-file"/>
      <w:bookmarkEnd w:id="39"/>
      <w:r>
        <w:t xml:space="preserve">Import Data From One Excel File</w:t>
      </w:r>
    </w:p>
    <w:p>
      <w:pPr>
        <w:pStyle w:val="Compact"/>
        <w:numPr>
          <w:numId w:val="1009"/>
          <w:ilvl w:val="0"/>
        </w:numPr>
      </w:pPr>
      <w:r>
        <w:t xml:space="preserve">Save the original file in the rawdata zone.</w:t>
      </w:r>
    </w:p>
    <w:p>
      <w:pPr>
        <w:pStyle w:val="Heading3"/>
      </w:pPr>
      <w:bookmarkStart w:id="40" w:name="import-data-from-many-excel-files"/>
      <w:bookmarkEnd w:id="40"/>
      <w:r>
        <w:t xml:space="preserve">Import Data From Many Excel Files</w:t>
      </w:r>
    </w:p>
    <w:p>
      <w:pPr>
        <w:pStyle w:val="Heading4"/>
      </w:pPr>
      <w:bookmarkStart w:id="41" w:name="files-are-in-the-same-format"/>
      <w:bookmarkEnd w:id="41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10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10"/>
          <w:ilvl w:val="0"/>
        </w:numPr>
      </w:pPr>
      <w:r>
        <w:t xml:space="preserve">calling this function in a loop for each file to import.</w:t>
      </w:r>
    </w:p>
    <w:p>
      <w:pPr>
        <w:pStyle w:val="Heading4"/>
      </w:pPr>
      <w:bookmarkStart w:id="42" w:name="files-are-in-different-formats"/>
      <w:bookmarkEnd w:id="42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p>
      <w:pPr>
        <w:pStyle w:val="Heading1"/>
      </w:pPr>
      <w:bookmarkStart w:id="43" w:name="spree2011-2007"/>
      <w:bookmarkEnd w:id="43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1"/>
          <w:ilvl w:val="0"/>
        </w:numPr>
      </w:pPr>
      <w:r>
        <w:t xml:space="preserve">KWB:</w:t>
      </w:r>
    </w:p>
    <w:p>
      <w:pPr>
        <w:pStyle w:val="Compact"/>
        <w:numPr>
          <w:numId w:val="1012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2"/>
          <w:ilvl w:val="1"/>
        </w:numPr>
      </w:pPr>
      <w:r>
        <w:t xml:space="preserve">rain (Text/CSV)</w:t>
      </w:r>
    </w:p>
    <w:p>
      <w:pPr>
        <w:pStyle w:val="Compact"/>
        <w:numPr>
          <w:numId w:val="1011"/>
          <w:ilvl w:val="0"/>
        </w:numPr>
      </w:pPr>
      <w:r>
        <w:t xml:space="preserve">BWB:</w:t>
      </w:r>
    </w:p>
    <w:p>
      <w:pPr>
        <w:pStyle w:val="Compact"/>
        <w:numPr>
          <w:numId w:val="1013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3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4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5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5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6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6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6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1"/>
      </w:pPr>
      <w:bookmarkStart w:id="44" w:name="miacso"/>
      <w:bookmarkEnd w:id="44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7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7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7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18"/>
          <w:ilvl w:val="0"/>
        </w:numPr>
      </w:pPr>
      <w:r>
        <w:t xml:space="preserve">Sewerage: Infoworks</w:t>
      </w:r>
    </w:p>
    <w:p>
      <w:pPr>
        <w:pStyle w:val="Compact"/>
        <w:numPr>
          <w:numId w:val="1018"/>
          <w:ilvl w:val="0"/>
        </w:numPr>
      </w:pPr>
      <w:r>
        <w:t xml:space="preserve">River hydraulics: Hydrax</w:t>
      </w:r>
    </w:p>
    <w:p>
      <w:pPr>
        <w:pStyle w:val="Compact"/>
        <w:numPr>
          <w:numId w:val="1018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19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19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19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20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1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1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1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1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2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2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3"/>
          <w:ilvl w:val="0"/>
        </w:numPr>
      </w:pPr>
      <w:r>
        <w:t xml:space="preserve">MS Access Applications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3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3"/>
          <w:ilvl w:val="0"/>
        </w:numPr>
      </w:pPr>
      <w:r>
        <w:t xml:space="preserve">R packages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1"/>
      </w:pPr>
      <w:bookmarkStart w:id="45" w:name="kuras"/>
      <w:bookmarkEnd w:id="45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6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6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1"/>
      </w:pPr>
      <w:bookmarkStart w:id="46" w:name="ogre"/>
      <w:bookmarkEnd w:id="46"/>
      <w:r>
        <w:t xml:space="preserve">OGRE</w:t>
      </w:r>
    </w:p>
    <w:p>
      <w:pPr>
        <w:pStyle w:val="Compact"/>
        <w:numPr>
          <w:numId w:val="1027"/>
          <w:ilvl w:val="0"/>
        </w:numPr>
      </w:pPr>
      <w:r>
        <w:t xml:space="preserve">Decision to use</w:t>
      </w:r>
      <w:r>
        <w:t xml:space="preserve"> </w:t>
      </w:r>
      <w:hyperlink r:id="rId47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7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8"/>
          <w:ilvl w:val="0"/>
        </w:numPr>
      </w:pPr>
      <w:r>
        <w:t xml:space="preserve">R packages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1"/>
      </w:pPr>
      <w:bookmarkStart w:id="48" w:name="flusshygiene"/>
      <w:bookmarkEnd w:id="48"/>
      <w:r>
        <w:t xml:space="preserve">Flusshygiene</w:t>
      </w:r>
    </w:p>
    <w:p>
      <w:pPr>
        <w:pStyle w:val="Compact"/>
        <w:numPr>
          <w:numId w:val="1030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49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30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1"/>
      </w:pPr>
      <w:bookmarkStart w:id="50" w:name="demoware"/>
      <w:bookmarkEnd w:id="50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1"/>
          <w:ilvl w:val="0"/>
        </w:numPr>
      </w:pPr>
      <w:r>
        <w:t xml:space="preserve">Grundwassermodellierung</w:t>
      </w:r>
    </w:p>
    <w:p>
      <w:pPr>
        <w:numPr>
          <w:numId w:val="1032"/>
          <w:ilvl w:val="1"/>
        </w:numPr>
      </w:pPr>
      <w:hyperlink r:id="rId51">
        <w:r>
          <w:rPr>
            <w:rStyle w:val="Hyperlink"/>
          </w:rPr>
          <w:t xml:space="preserve">kwb.hantush</w:t>
        </w:r>
      </w:hyperlink>
    </w:p>
    <w:p>
      <w:pPr>
        <w:numPr>
          <w:numId w:val="1032"/>
          <w:ilvl w:val="1"/>
        </w:numPr>
      </w:pPr>
      <w:r>
        <w:t xml:space="preserve">kwb.vs2dh</w:t>
      </w:r>
    </w:p>
    <w:p>
      <w:pPr>
        <w:numPr>
          <w:numId w:val="1032"/>
          <w:ilvl w:val="1"/>
        </w:numPr>
      </w:pPr>
      <w:r>
        <w:t xml:space="preserve">kwb.demoware</w:t>
      </w:r>
    </w:p>
    <w:p>
      <w:pPr>
        <w:numPr>
          <w:numId w:val="1031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3"/>
          <w:ilvl w:val="1"/>
        </w:numPr>
      </w:pPr>
      <w:hyperlink r:id="rId52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1"/>
      </w:pPr>
      <w:bookmarkStart w:id="53" w:name="optiwells"/>
      <w:bookmarkEnd w:id="53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4"/>
          <w:ilvl w:val="0"/>
        </w:numPr>
      </w:pPr>
      <w:hyperlink r:id="rId54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4"/>
          <w:ilvl w:val="0"/>
        </w:numPr>
      </w:pPr>
      <w:r>
        <w:t xml:space="preserve">kwb.epanet: (Pressure)Pipe Network Simulation (EPANET)</w:t>
      </w:r>
    </w:p>
    <w:p>
      <w:pPr>
        <w:pStyle w:val="Heading1"/>
      </w:pPr>
      <w:bookmarkStart w:id="55" w:name="rwe"/>
      <w:bookmarkEnd w:id="55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56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57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58" w:name="aquanes"/>
      <w:bookmarkEnd w:id="58"/>
      <w:r>
        <w:t xml:space="preserve">Projekt: AQUANES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35"/>
          <w:ilvl w:val="0"/>
        </w:numPr>
      </w:pPr>
      <w:hyperlink r:id="rId59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36"/>
          <w:ilvl w:val="0"/>
        </w:numPr>
      </w:pPr>
      <w:hyperlink r:id="rId60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36"/>
          <w:ilvl w:val="0"/>
        </w:numPr>
      </w:pPr>
      <w:hyperlink r:id="rId61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36"/>
          <w:ilvl w:val="0"/>
        </w:numPr>
      </w:pPr>
      <w:hyperlink r:id="rId62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36"/>
          <w:ilvl w:val="0"/>
        </w:numPr>
      </w:pPr>
      <w:hyperlink r:id="rId63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37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37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679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5038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c9e7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0" Target="http://aquanes-h2020.eu/Default.aspx?t=1576" TargetMode="External" /><Relationship Type="http://schemas.openxmlformats.org/officeDocument/2006/relationships/hyperlink" Id="rId62" Target="http://aquanes-h2020.eu/Default.aspx?t=1663" TargetMode="External" /><Relationship Type="http://schemas.openxmlformats.org/officeDocument/2006/relationships/hyperlink" Id="rId61" Target="http://aquanes-h2020.eu/Default.aspx?t=1666" TargetMode="External" /><Relationship Type="http://schemas.openxmlformats.org/officeDocument/2006/relationships/hyperlink" Id="rId63" Target="http://aquanes-h2020.eu/Default.aspx?t=1668" TargetMode="External" /><Relationship Type="http://schemas.openxmlformats.org/officeDocument/2006/relationships/hyperlink" Id="rId56" Target="http://modflowpy.github.io/flopydoc/" TargetMode="External" /><Relationship Type="http://schemas.openxmlformats.org/officeDocument/2006/relationships/hyperlink" Id="rId23" Target="http://www.kompetenz-wasser.de/en/project/fakin-research-data-management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49" Target="https://github.com/KWB-R/HydroServerLite" TargetMode="External" /><Relationship Type="http://schemas.openxmlformats.org/officeDocument/2006/relationships/hyperlink" Id="rId57" Target="https://github.com/chmenz/Maxflow" TargetMode="External" /><Relationship Type="http://schemas.openxmlformats.org/officeDocument/2006/relationships/hyperlink" Id="rId59" Target="https://github.com/kwb-r/aquanes.report" TargetMode="External" /><Relationship Type="http://schemas.openxmlformats.org/officeDocument/2006/relationships/hyperlink" Id="rId51" Target="https://github.com/kwb-r/kwb.hantush" TargetMode="External" /><Relationship Type="http://schemas.openxmlformats.org/officeDocument/2006/relationships/hyperlink" Id="rId52" Target="https://github.com/kwb-r/kwb.qrma" TargetMode="External" /><Relationship Type="http://schemas.openxmlformats.org/officeDocument/2006/relationships/hyperlink" Id="rId54" Target="https://github.com/kwb-r/kwb.wtaq" TargetMode="External" /><Relationship Type="http://schemas.openxmlformats.org/officeDocument/2006/relationships/hyperlink" Id="rId47" Target="https://www.cuahsi.org/uploads/pages/img/ODM1.1DesignSpecifications_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aquanes-h2020.eu/Default.aspx?t=1576" TargetMode="External" /><Relationship Type="http://schemas.openxmlformats.org/officeDocument/2006/relationships/hyperlink" Id="rId62" Target="http://aquanes-h2020.eu/Default.aspx?t=1663" TargetMode="External" /><Relationship Type="http://schemas.openxmlformats.org/officeDocument/2006/relationships/hyperlink" Id="rId61" Target="http://aquanes-h2020.eu/Default.aspx?t=1666" TargetMode="External" /><Relationship Type="http://schemas.openxmlformats.org/officeDocument/2006/relationships/hyperlink" Id="rId63" Target="http://aquanes-h2020.eu/Default.aspx?t=1668" TargetMode="External" /><Relationship Type="http://schemas.openxmlformats.org/officeDocument/2006/relationships/hyperlink" Id="rId56" Target="http://modflowpy.github.io/flopydoc/" TargetMode="External" /><Relationship Type="http://schemas.openxmlformats.org/officeDocument/2006/relationships/hyperlink" Id="rId23" Target="http://www.kompetenz-wasser.de/en/project/fakin-research-data-management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49" Target="https://github.com/KWB-R/HydroServerLite" TargetMode="External" /><Relationship Type="http://schemas.openxmlformats.org/officeDocument/2006/relationships/hyperlink" Id="rId57" Target="https://github.com/chmenz/Maxflow" TargetMode="External" /><Relationship Type="http://schemas.openxmlformats.org/officeDocument/2006/relationships/hyperlink" Id="rId59" Target="https://github.com/kwb-r/aquanes.report" TargetMode="External" /><Relationship Type="http://schemas.openxmlformats.org/officeDocument/2006/relationships/hyperlink" Id="rId51" Target="https://github.com/kwb-r/kwb.hantush" TargetMode="External" /><Relationship Type="http://schemas.openxmlformats.org/officeDocument/2006/relationships/hyperlink" Id="rId52" Target="https://github.com/kwb-r/kwb.qrma" TargetMode="External" /><Relationship Type="http://schemas.openxmlformats.org/officeDocument/2006/relationships/hyperlink" Id="rId54" Target="https://github.com/kwb-r/kwb.wtaq" TargetMode="External" /><Relationship Type="http://schemas.openxmlformats.org/officeDocument/2006/relationships/hyperlink" Id="rId47" Target="https://www.cuahsi.org/uploads/pages/img/ODM1.1DesignSpecifications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2018-06-11T20:12:05Z</dcterms:created>
  <dcterms:modified xsi:type="dcterms:W3CDTF">2018-06-11T20:12:05Z</dcterms:modified>
</cp:coreProperties>
</file>