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2018-06-08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document describes best practices in research data managment.</w:t>
      </w:r>
    </w:p>
    <w:p>
      <w:pPr>
        <w:pStyle w:val="BodyText"/>
      </w:pPr>
      <w:r>
        <w:t xml:space="preserve">It is the outcome of the FAKIN project.</w:t>
      </w:r>
    </w:p>
    <w:p>
      <w:pPr>
        <w:pStyle w:val="BodyText"/>
      </w:pPr>
      <w:r>
        <w:t xml:space="preserve">It is mainly based on the experiences of the authors.</w:t>
      </w:r>
    </w:p>
    <w:p>
      <w:pPr>
        <w:pStyle w:val="Heading1"/>
      </w:pPr>
      <w:bookmarkStart w:id="22" w:name="data-related-project-controlling"/>
      <w:bookmarkEnd w:id="22"/>
      <w:r>
        <w:t xml:space="preserve">Data-Related Project Controlling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1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1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2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3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1"/>
      </w:pPr>
      <w:bookmarkStart w:id="23" w:name="naming-conventions"/>
      <w:bookmarkEnd w:id="23"/>
      <w:r>
        <w:t xml:space="preserve">Naming Conventions</w:t>
      </w:r>
    </w:p>
    <w:p>
      <w:pPr>
        <w:pStyle w:val="Heading2"/>
      </w:pPr>
      <w:bookmarkStart w:id="24" w:name="acronyms"/>
      <w:bookmarkEnd w:id="24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04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04"/>
          <w:ilvl w:val="0"/>
        </w:numPr>
      </w:pPr>
      <w:r>
        <w:t xml:space="preserve">be all lowercase,</w:t>
      </w:r>
    </w:p>
    <w:p>
      <w:pPr>
        <w:pStyle w:val="Compact"/>
        <w:numPr>
          <w:numId w:val="1004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3"/>
      </w:pPr>
      <w:bookmarkStart w:id="25" w:name="project-acronyms"/>
      <w:bookmarkEnd w:id="25"/>
      <w:r>
        <w:t xml:space="preserve">Acronyms for Projects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3"/>
      </w:pPr>
      <w:bookmarkStart w:id="26" w:name="acronyms-for-organisations"/>
      <w:bookmarkEnd w:id="26"/>
      <w:r>
        <w:t xml:space="preserve">Acronyms for 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1"/>
      </w:pPr>
      <w:bookmarkStart w:id="27" w:name="folder-structures"/>
      <w:bookmarkEnd w:id="27"/>
      <w:r>
        <w:t xml:space="preserve">Folder Structures</w:t>
      </w:r>
    </w:p>
    <w:p>
      <w:pPr>
        <w:pStyle w:val="Heading2"/>
      </w:pPr>
      <w:bookmarkStart w:id="28" w:name="project-folder-structure"/>
      <w:bookmarkEnd w:id="28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05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05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05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05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2"/>
      </w:pPr>
      <w:bookmarkStart w:id="29" w:name="rawdata-folder-structure"/>
      <w:bookmarkEnd w:id="29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06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The naming convention for the organisations is the same as for projects.</w:t>
      </w:r>
    </w:p>
    <w:p>
      <w:pPr>
        <w:pStyle w:val="Heading1"/>
      </w:pPr>
      <w:bookmarkStart w:id="30" w:name="raw-data"/>
      <w:bookmarkEnd w:id="30"/>
      <w:r>
        <w:t xml:space="preserve">Raw Data</w:t>
      </w:r>
    </w:p>
    <w:p>
      <w:pPr>
        <w:pStyle w:val="FirstParagraph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pStyle w:val="Compact"/>
        <w:numPr>
          <w:numId w:val="1007"/>
          <w:ilvl w:val="0"/>
        </w:numPr>
      </w:pPr>
      <w:r>
        <w:t xml:space="preserve">storing then in a special place where it is specially secured</w:t>
      </w:r>
    </w:p>
    <w:p>
      <w:pPr>
        <w:pStyle w:val="Compact"/>
        <w:numPr>
          <w:numId w:val="1007"/>
          <w:ilvl w:val="0"/>
        </w:numPr>
      </w:pPr>
      <w:r>
        <w:t xml:space="preserve">describing them with metadata</w:t>
      </w:r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1"/>
      </w:pPr>
      <w:bookmarkStart w:id="31" w:name="metadata"/>
      <w:bookmarkEnd w:id="31"/>
      <w:r>
        <w:t xml:space="preserve">Metadata</w:t>
      </w:r>
    </w:p>
    <w:p>
      <w:pPr>
        <w:pStyle w:val="Heading2"/>
      </w:pPr>
      <w:bookmarkStart w:id="32" w:name="special-files"/>
      <w:bookmarkEnd w:id="32"/>
      <w:r>
        <w:t xml:space="preserve">Special Files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3"/>
      </w:pPr>
      <w:bookmarkStart w:id="33" w:name="file-projects"/>
      <w:bookmarkEnd w:id="33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3"/>
      </w:pPr>
      <w:bookmarkStart w:id="34" w:name="file-organisations"/>
      <w:bookmarkEnd w:id="34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1"/>
      </w:pPr>
      <w:bookmarkStart w:id="35" w:name="data-processing"/>
      <w:bookmarkEnd w:id="35"/>
      <w:r>
        <w:t xml:space="preserve">Data Processing</w:t>
      </w:r>
    </w:p>
    <w:p>
      <w:pPr>
        <w:pStyle w:val="Heading2"/>
      </w:pPr>
      <w:bookmarkStart w:id="36" w:name="automatic-data-import-into-r"/>
      <w:bookmarkEnd w:id="36"/>
      <w:r>
        <w:t xml:space="preserve">Automatic Data Import into R</w:t>
      </w:r>
    </w:p>
    <w:p>
      <w:pPr>
        <w:pStyle w:val="FirstParagraph"/>
      </w:pPr>
      <w:r>
        <w:t xml:space="preserve">In the following we describe how data can be imported into the R-Programming</w:t>
      </w:r>
      <w:r>
        <w:t xml:space="preserve"> </w:t>
      </w:r>
      <w:r>
        <w:t xml:space="preserve">Environment</w:t>
      </w:r>
    </w:p>
    <w:p>
      <w:pPr>
        <w:pStyle w:val="Heading3"/>
      </w:pPr>
      <w:bookmarkStart w:id="37" w:name="import-data-from-one-excel-file"/>
      <w:bookmarkEnd w:id="37"/>
      <w:r>
        <w:t xml:space="preserve">Import Data From One Excel File</w:t>
      </w:r>
    </w:p>
    <w:p>
      <w:pPr>
        <w:pStyle w:val="Compact"/>
        <w:numPr>
          <w:numId w:val="1008"/>
          <w:ilvl w:val="0"/>
        </w:numPr>
      </w:pPr>
      <w:r>
        <w:t xml:space="preserve">Save the original file in the rawdata zone.</w:t>
      </w:r>
    </w:p>
    <w:p>
      <w:pPr>
        <w:pStyle w:val="Heading3"/>
      </w:pPr>
      <w:bookmarkStart w:id="38" w:name="import-data-from-many-excel-files"/>
      <w:bookmarkEnd w:id="38"/>
      <w:r>
        <w:t xml:space="preserve">Import Data From Many Excel Files</w:t>
      </w:r>
    </w:p>
    <w:p>
      <w:pPr>
        <w:pStyle w:val="Heading4"/>
      </w:pPr>
      <w:bookmarkStart w:id="39" w:name="files-are-in-the-same-format"/>
      <w:bookmarkEnd w:id="39"/>
      <w:r>
        <w:t xml:space="preserve">Files Are In the Same Format</w:t>
      </w:r>
    </w:p>
    <w:p>
      <w:pPr>
        <w:pStyle w:val="FirstParagraph"/>
      </w:pPr>
      <w:r>
        <w:t xml:space="preserve">Import Excel files of the same format by</w:t>
      </w:r>
    </w:p>
    <w:p>
      <w:pPr>
        <w:pStyle w:val="Compact"/>
        <w:numPr>
          <w:numId w:val="1009"/>
          <w:ilvl w:val="0"/>
        </w:numPr>
      </w:pPr>
      <w:r>
        <w:t xml:space="preserve">defining a function that is able to read the data from that file</w:t>
      </w:r>
    </w:p>
    <w:p>
      <w:pPr>
        <w:pStyle w:val="Compact"/>
        <w:numPr>
          <w:numId w:val="1009"/>
          <w:ilvl w:val="0"/>
        </w:numPr>
      </w:pPr>
      <w:r>
        <w:t xml:space="preserve">calling this function in a loop for each file to import.</w:t>
      </w:r>
    </w:p>
    <w:p>
      <w:pPr>
        <w:pStyle w:val="Heading4"/>
      </w:pPr>
      <w:bookmarkStart w:id="40" w:name="files-are-in-different-formats"/>
      <w:bookmarkEnd w:id="40"/>
      <w:r>
        <w:t xml:space="preserve">Files Are In Different Formats</w:t>
      </w:r>
    </w:p>
    <w:p>
      <w:pPr>
        <w:pStyle w:val="FirstParagraph"/>
      </w:pPr>
      <w:r>
        <w:t xml:space="preserve">We developed a general approach of importing data from many Excel files in which</w:t>
      </w:r>
      <w:r>
        <w:t xml:space="preserve"> </w:t>
      </w:r>
      <w:r>
        <w:t xml:space="preserve">the formats (e.g. more than one table area within one sheet, differing numbers</w:t>
      </w:r>
      <w:r>
        <w:t xml:space="preserve"> </w:t>
      </w:r>
      <w:r>
        <w:t xml:space="preserve">of header rows) differ from file to file.</w:t>
      </w:r>
    </w:p>
    <w:p>
      <w:pPr>
        <w:pStyle w:val="Heading1"/>
      </w:pPr>
      <w:bookmarkStart w:id="41" w:name="spree2011-2007"/>
      <w:bookmarkEnd w:id="41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10"/>
          <w:ilvl w:val="0"/>
        </w:numPr>
      </w:pPr>
      <w:r>
        <w:t xml:space="preserve">KWB:</w:t>
      </w:r>
    </w:p>
    <w:p>
      <w:pPr>
        <w:pStyle w:val="Compact"/>
        <w:numPr>
          <w:numId w:val="1011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11"/>
          <w:ilvl w:val="1"/>
        </w:numPr>
      </w:pPr>
      <w:r>
        <w:t xml:space="preserve">rain (Text/CSV)</w:t>
      </w:r>
    </w:p>
    <w:p>
      <w:pPr>
        <w:pStyle w:val="Compact"/>
        <w:numPr>
          <w:numId w:val="1010"/>
          <w:ilvl w:val="0"/>
        </w:numPr>
      </w:pPr>
      <w:r>
        <w:t xml:space="preserve">BWB:</w:t>
      </w:r>
    </w:p>
    <w:p>
      <w:pPr>
        <w:pStyle w:val="Compact"/>
        <w:numPr>
          <w:numId w:val="1012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12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12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13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14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14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15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15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15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1"/>
      </w:pPr>
      <w:bookmarkStart w:id="42" w:name="miacso"/>
      <w:bookmarkEnd w:id="42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16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16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16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17"/>
          <w:ilvl w:val="0"/>
        </w:numPr>
      </w:pPr>
      <w:r>
        <w:t xml:space="preserve">Sewerage: Infoworks</w:t>
      </w:r>
    </w:p>
    <w:p>
      <w:pPr>
        <w:pStyle w:val="Compact"/>
        <w:numPr>
          <w:numId w:val="1017"/>
          <w:ilvl w:val="0"/>
        </w:numPr>
      </w:pPr>
      <w:r>
        <w:t xml:space="preserve">River hydraulics: Hydrax</w:t>
      </w:r>
    </w:p>
    <w:p>
      <w:pPr>
        <w:pStyle w:val="Compact"/>
        <w:numPr>
          <w:numId w:val="1017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18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18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18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19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20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20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20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0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21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21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2"/>
          <w:ilvl w:val="0"/>
        </w:numPr>
      </w:pPr>
      <w:r>
        <w:t xml:space="preserve">MS Access Applications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22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22"/>
          <w:ilvl w:val="0"/>
        </w:numPr>
      </w:pPr>
      <w:r>
        <w:t xml:space="preserve">R packages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24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1"/>
      </w:pPr>
      <w:bookmarkStart w:id="43" w:name="kuras"/>
      <w:bookmarkEnd w:id="43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5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25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1"/>
      </w:pPr>
      <w:bookmarkStart w:id="44" w:name="ogre"/>
      <w:bookmarkEnd w:id="44"/>
      <w:r>
        <w:t xml:space="preserve">OGRE</w:t>
      </w:r>
    </w:p>
    <w:p>
      <w:pPr>
        <w:pStyle w:val="Compact"/>
        <w:numPr>
          <w:numId w:val="1026"/>
          <w:ilvl w:val="0"/>
        </w:numPr>
      </w:pPr>
      <w:r>
        <w:t xml:space="preserve">Decision to use</w:t>
      </w:r>
      <w:r>
        <w:t xml:space="preserve"> </w:t>
      </w:r>
      <w:hyperlink r:id="rId45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26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27"/>
          <w:ilvl w:val="0"/>
        </w:numPr>
      </w:pPr>
      <w:r>
        <w:t xml:space="preserve">R packages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28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1"/>
      </w:pPr>
      <w:bookmarkStart w:id="46" w:name="flusshygiene"/>
      <w:bookmarkEnd w:id="46"/>
      <w:r>
        <w:t xml:space="preserve">Flusshygiene</w:t>
      </w:r>
    </w:p>
    <w:p>
      <w:pPr>
        <w:pStyle w:val="Compact"/>
        <w:numPr>
          <w:numId w:val="1029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47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29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1"/>
      </w:pPr>
      <w:bookmarkStart w:id="48" w:name="demoware"/>
      <w:bookmarkEnd w:id="48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30"/>
          <w:ilvl w:val="0"/>
        </w:numPr>
      </w:pPr>
      <w:r>
        <w:t xml:space="preserve">Grundwassermodellierung</w:t>
      </w:r>
    </w:p>
    <w:p>
      <w:pPr>
        <w:numPr>
          <w:numId w:val="1031"/>
          <w:ilvl w:val="1"/>
        </w:numPr>
      </w:pPr>
      <w:hyperlink r:id="rId49">
        <w:r>
          <w:rPr>
            <w:rStyle w:val="Hyperlink"/>
          </w:rPr>
          <w:t xml:space="preserve">kwb.hantush</w:t>
        </w:r>
      </w:hyperlink>
    </w:p>
    <w:p>
      <w:pPr>
        <w:numPr>
          <w:numId w:val="1031"/>
          <w:ilvl w:val="1"/>
        </w:numPr>
      </w:pPr>
      <w:r>
        <w:t xml:space="preserve">kwb.vs2dh</w:t>
      </w:r>
    </w:p>
    <w:p>
      <w:pPr>
        <w:numPr>
          <w:numId w:val="1031"/>
          <w:ilvl w:val="1"/>
        </w:numPr>
      </w:pPr>
      <w:r>
        <w:t xml:space="preserve">kwb.demoware</w:t>
      </w:r>
    </w:p>
    <w:p>
      <w:pPr>
        <w:numPr>
          <w:numId w:val="1030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32"/>
          <w:ilvl w:val="1"/>
        </w:numPr>
      </w:pPr>
      <w:hyperlink r:id="rId50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1"/>
      </w:pPr>
      <w:bookmarkStart w:id="51" w:name="optiwells"/>
      <w:bookmarkEnd w:id="51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33"/>
          <w:ilvl w:val="0"/>
        </w:numPr>
      </w:pPr>
      <w:hyperlink r:id="rId52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33"/>
          <w:ilvl w:val="0"/>
        </w:numPr>
      </w:pPr>
      <w:r>
        <w:t xml:space="preserve">kwb.epanet: (Pressure)Pipe Network Simulation (EPANET)</w:t>
      </w:r>
    </w:p>
    <w:p>
      <w:pPr>
        <w:pStyle w:val="Heading1"/>
      </w:pPr>
      <w:bookmarkStart w:id="53" w:name="rwe"/>
      <w:bookmarkEnd w:id="53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54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55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56" w:name="aquanes"/>
      <w:bookmarkEnd w:id="56"/>
      <w:r>
        <w:t xml:space="preserve">Projekt: AQUANES</w:t>
      </w:r>
    </w:p>
    <w:p>
      <w:pPr>
        <w:pStyle w:val="FirstParagraph"/>
      </w:pPr>
      <w:r>
        <w:t xml:space="preserve">Created R package:</w:t>
      </w:r>
    </w:p>
    <w:p>
      <w:pPr>
        <w:pStyle w:val="Compact"/>
        <w:numPr>
          <w:numId w:val="1034"/>
          <w:ilvl w:val="0"/>
        </w:numPr>
      </w:pPr>
      <w:hyperlink r:id="rId57">
        <w:r>
          <w:rPr>
            <w:rStyle w:val="Hyperlink"/>
          </w:rPr>
          <w:t xml:space="preserve">aquanes.report</w:t>
        </w:r>
      </w:hyperlink>
      <w:r>
        <w:t xml:space="preserve">: data import,</w:t>
      </w:r>
      <w:r>
        <w:t xml:space="preserve"> </w:t>
      </w:r>
      <w:r>
        <w:t xml:space="preserve">temporal aggregation, interactive visualisation of operational data of</w:t>
      </w:r>
      <w:r>
        <w:t xml:space="preserve"> </w:t>
      </w:r>
      <w:r>
        <w:t xml:space="preserve">pilot facilities and joining with lab data</w:t>
      </w:r>
    </w:p>
    <w:p>
      <w:pPr>
        <w:pStyle w:val="FirstParagraph"/>
      </w:pPr>
      <w:r>
        <w:t xml:space="preserve">Sites (among others):</w:t>
      </w:r>
    </w:p>
    <w:p>
      <w:pPr>
        <w:pStyle w:val="Compact"/>
        <w:numPr>
          <w:numId w:val="1035"/>
          <w:ilvl w:val="0"/>
        </w:numPr>
      </w:pPr>
      <w:hyperlink r:id="rId58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35"/>
          <w:ilvl w:val="0"/>
        </w:numPr>
      </w:pPr>
      <w:hyperlink r:id="rId59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35"/>
          <w:ilvl w:val="0"/>
        </w:numPr>
      </w:pPr>
      <w:hyperlink r:id="rId60">
        <w:r>
          <w:rPr>
            <w:rStyle w:val="Hyperlink"/>
          </w:rPr>
          <w:t xml:space="preserve">Basel Lange-Erlen</w:t>
        </w:r>
      </w:hyperlink>
    </w:p>
    <w:p>
      <w:pPr>
        <w:pStyle w:val="Compact"/>
        <w:numPr>
          <w:numId w:val="1035"/>
          <w:ilvl w:val="0"/>
        </w:numPr>
      </w:pPr>
      <w:hyperlink r:id="rId61">
        <w:r>
          <w:rPr>
            <w:rStyle w:val="Hyperlink"/>
          </w:rPr>
          <w:t xml:space="preserve">Haridwar</w:t>
        </w:r>
      </w:hyperlink>
    </w:p>
    <w:p>
      <w:pPr>
        <w:pStyle w:val="FirstParagraph"/>
      </w:pPr>
      <w:r>
        <w:t xml:space="preserve">Challenges:</w:t>
      </w:r>
    </w:p>
    <w:p>
      <w:pPr>
        <w:numPr>
          <w:numId w:val="1036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36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72b9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48aa4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c59a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8" Target="http://aquanes-h2020.eu/Default.aspx?t=1576" TargetMode="External" /><Relationship Type="http://schemas.openxmlformats.org/officeDocument/2006/relationships/hyperlink" Id="rId60" Target="http://aquanes-h2020.eu/Default.aspx?t=1663" TargetMode="External" /><Relationship Type="http://schemas.openxmlformats.org/officeDocument/2006/relationships/hyperlink" Id="rId59" Target="http://aquanes-h2020.eu/Default.aspx?t=1666" TargetMode="External" /><Relationship Type="http://schemas.openxmlformats.org/officeDocument/2006/relationships/hyperlink" Id="rId61" Target="http://aquanes-h2020.eu/Default.aspx?t=1668" TargetMode="External" /><Relationship Type="http://schemas.openxmlformats.org/officeDocument/2006/relationships/hyperlink" Id="rId54" Target="http://modflowpy.github.io/flopydoc/" TargetMode="External" /><Relationship Type="http://schemas.openxmlformats.org/officeDocument/2006/relationships/hyperlink" Id="rId47" Target="https://github.com/KWB-R/HydroServerLite" TargetMode="External" /><Relationship Type="http://schemas.openxmlformats.org/officeDocument/2006/relationships/hyperlink" Id="rId55" Target="https://github.com/chmenz/Maxflow" TargetMode="External" /><Relationship Type="http://schemas.openxmlformats.org/officeDocument/2006/relationships/hyperlink" Id="rId57" Target="https://github.com/kwb-r/aquanes.report" TargetMode="External" /><Relationship Type="http://schemas.openxmlformats.org/officeDocument/2006/relationships/hyperlink" Id="rId49" Target="https://github.com/kwb-r/kwb.hantush" TargetMode="External" /><Relationship Type="http://schemas.openxmlformats.org/officeDocument/2006/relationships/hyperlink" Id="rId50" Target="https://github.com/kwb-r/kwb.qrma" TargetMode="External" /><Relationship Type="http://schemas.openxmlformats.org/officeDocument/2006/relationships/hyperlink" Id="rId52" Target="https://github.com/kwb-r/kwb.wtaq" TargetMode="External" /><Relationship Type="http://schemas.openxmlformats.org/officeDocument/2006/relationships/hyperlink" Id="rId45" Target="https://www.cuahsi.org/uploads/pages/img/ODM1.1DesignSpecifications_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://aquanes-h2020.eu/Default.aspx?t=1576" TargetMode="External" /><Relationship Type="http://schemas.openxmlformats.org/officeDocument/2006/relationships/hyperlink" Id="rId60" Target="http://aquanes-h2020.eu/Default.aspx?t=1663" TargetMode="External" /><Relationship Type="http://schemas.openxmlformats.org/officeDocument/2006/relationships/hyperlink" Id="rId59" Target="http://aquanes-h2020.eu/Default.aspx?t=1666" TargetMode="External" /><Relationship Type="http://schemas.openxmlformats.org/officeDocument/2006/relationships/hyperlink" Id="rId61" Target="http://aquanes-h2020.eu/Default.aspx?t=1668" TargetMode="External" /><Relationship Type="http://schemas.openxmlformats.org/officeDocument/2006/relationships/hyperlink" Id="rId54" Target="http://modflowpy.github.io/flopydoc/" TargetMode="External" /><Relationship Type="http://schemas.openxmlformats.org/officeDocument/2006/relationships/hyperlink" Id="rId47" Target="https://github.com/KWB-R/HydroServerLite" TargetMode="External" /><Relationship Type="http://schemas.openxmlformats.org/officeDocument/2006/relationships/hyperlink" Id="rId55" Target="https://github.com/chmenz/Maxflow" TargetMode="External" /><Relationship Type="http://schemas.openxmlformats.org/officeDocument/2006/relationships/hyperlink" Id="rId57" Target="https://github.com/kwb-r/aquanes.report" TargetMode="External" /><Relationship Type="http://schemas.openxmlformats.org/officeDocument/2006/relationships/hyperlink" Id="rId49" Target="https://github.com/kwb-r/kwb.hantush" TargetMode="External" /><Relationship Type="http://schemas.openxmlformats.org/officeDocument/2006/relationships/hyperlink" Id="rId50" Target="https://github.com/kwb-r/kwb.qrma" TargetMode="External" /><Relationship Type="http://schemas.openxmlformats.org/officeDocument/2006/relationships/hyperlink" Id="rId52" Target="https://github.com/kwb-r/kwb.wtaq" TargetMode="External" /><Relationship Type="http://schemas.openxmlformats.org/officeDocument/2006/relationships/hyperlink" Id="rId45" Target="https://www.cuahsi.org/uploads/pages/img/ODM1.1DesignSpecifications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2018-06-11T17:58:07Z</dcterms:created>
  <dcterms:modified xsi:type="dcterms:W3CDTF">2018-06-11T17:58:07Z</dcterms:modified>
</cp:coreProperties>
</file>