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2018-06-25</w:t>
      </w:r>
      <w:r>
        <w:t xml:space="preserve"> </w:t>
      </w:r>
      <w:r>
        <w:t xml:space="preserve">10:52:01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 as</w:t>
      </w:r>
      <w:r>
        <w:t xml:space="preserve"> </w:t>
      </w:r>
      <w:r>
        <w:t xml:space="preserve">well as</w:t>
      </w:r>
      <w:r>
        <w:t xml:space="preserve"> </w:t>
      </w:r>
      <w:hyperlink w:anchor="other-projects">
        <w:r>
          <w:rPr>
            <w:rStyle w:val="Hyperlink"/>
          </w:rPr>
          <w:t xml:space="preserve">other projects</w:t>
        </w:r>
      </w:hyperlink>
      <w:r>
        <w:t xml:space="preserve"> </w:t>
      </w:r>
      <w:r>
        <w:t xml:space="preserve">for listing what data challenges occured</w:t>
      </w:r>
      <w:r>
        <w:t xml:space="preserve"> </w:t>
      </w:r>
      <w:r>
        <w:t xml:space="preserve">in the past and how they were solved in order to increase our awareness at KWB</w:t>
      </w:r>
      <w:r>
        <w:t xml:space="preserve"> </w:t>
      </w:r>
      <w:r>
        <w:t xml:space="preserve">and finally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provides FAQs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projects"/>
      <w:bookmarkEnd w:id="68"/>
      <w:r>
        <w:t xml:space="preserve">Projects</w:t>
      </w:r>
    </w:p>
    <w:p>
      <w:pPr>
        <w:pStyle w:val="FirstParagraph"/>
      </w:pPr>
      <w:r>
        <w:t xml:space="preserve">In general the projects can be divided into two groups:</w:t>
      </w:r>
    </w:p>
    <w:p>
      <w:pPr>
        <w:numPr>
          <w:numId w:val="1019"/>
          <w:ilvl w:val="0"/>
        </w:numPr>
      </w:pPr>
      <w:hyperlink w:anchor="case-studies">
        <w:r>
          <w:rPr>
            <w:rStyle w:val="Hyperlink"/>
          </w:rPr>
          <w:t xml:space="preserve">Case studies</w:t>
        </w:r>
      </w:hyperlink>
      <w:r>
        <w:t xml:space="preserve">: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</w:t>
      </w:r>
    </w:p>
    <w:p>
      <w:pPr>
        <w:numPr>
          <w:numId w:val="1019"/>
          <w:ilvl w:val="0"/>
        </w:numPr>
      </w:pPr>
      <w:hyperlink w:anchor="other-projects">
        <w:r>
          <w:rPr>
            <w:rStyle w:val="Hyperlink"/>
          </w:rPr>
          <w:t xml:space="preserve">Others</w:t>
        </w:r>
      </w:hyperlink>
      <w:r>
        <w:t xml:space="preserve">: just suming up the data workflows and created tools</w:t>
      </w:r>
      <w:r>
        <w:t xml:space="preserve"> </w:t>
      </w:r>
      <w:r>
        <w:t xml:space="preserve">for enlarging the KWB internal knowledge what has already been done.</w:t>
      </w:r>
    </w:p>
    <w:p>
      <w:pPr>
        <w:pStyle w:val="Heading2"/>
      </w:pPr>
      <w:bookmarkStart w:id="69" w:name="case-studies"/>
      <w:bookmarkEnd w:id="69"/>
      <w:r>
        <w:t xml:space="preserve">Case studies</w:t>
      </w:r>
    </w:p>
    <w:p>
      <w:pPr>
        <w:pStyle w:val="Heading3"/>
      </w:pPr>
      <w:bookmarkStart w:id="70" w:name="geogenic-salination"/>
      <w:bookmarkEnd w:id="70"/>
      <w:r>
        <w:t xml:space="preserve">Geogenic salination</w:t>
      </w:r>
    </w:p>
    <w:p>
      <w:pPr>
        <w:pStyle w:val="Heading3"/>
      </w:pPr>
      <w:bookmarkStart w:id="71" w:name="lca-modelling"/>
      <w:bookmarkEnd w:id="71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2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are sometimes are even</w:t>
      </w:r>
      <w:r>
        <w:t xml:space="preserve"> </w:t>
      </w:r>
      <w:r>
        <w:t xml:space="preserve">to big for EXCEL 2010 (&gt; 1 millions) and but need to be aggregated (e.g. grouped</w:t>
      </w:r>
      <w:r>
        <w:t xml:space="preserve"> </w:t>
      </w:r>
      <w:r>
        <w:t xml:space="preserve">by specific criteria). This was usually performed manually within EXCEL.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3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programmed for automating:</w:t>
      </w:r>
    </w:p>
    <w:p>
      <w:pPr>
        <w:numPr>
          <w:numId w:val="1020"/>
          <w:ilvl w:val="0"/>
        </w:numPr>
      </w:pPr>
      <w:r>
        <w:t xml:space="preserve">data import the Umberto model results,</w:t>
      </w:r>
    </w:p>
    <w:p>
      <w:pPr>
        <w:numPr>
          <w:numId w:val="1020"/>
          <w:ilvl w:val="0"/>
        </w:numPr>
      </w:pPr>
      <w:r>
        <w:t xml:space="preserve">performing data aggregating to the user needs and finally</w:t>
      </w:r>
    </w:p>
    <w:p>
      <w:pPr>
        <w:numPr>
          <w:numId w:val="1020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3"/>
      </w:pPr>
      <w:bookmarkStart w:id="74" w:name="aquanes"/>
      <w:bookmarkEnd w:id="74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Basel Lange-Erlen</w:t>
        </w:r>
      </w:hyperlink>
    </w:p>
    <w:p>
      <w:pPr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Haridwar</w:t>
        </w:r>
      </w:hyperlink>
    </w:p>
    <w:p>
      <w:pPr>
        <w:numPr>
          <w:numId w:val="1021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1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2"/>
          <w:ilvl w:val="0"/>
        </w:numPr>
      </w:pPr>
      <w:r>
        <w:t xml:space="preserve">import operational and lab data for each pilot site,</w:t>
      </w:r>
    </w:p>
    <w:p>
      <w:pPr>
        <w:numPr>
          <w:numId w:val="1022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2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2"/>
          <w:ilvl w:val="0"/>
        </w:numPr>
      </w:pPr>
      <w:r>
        <w:t xml:space="preserve">creating a standardised report (e.g. monthly) in html, pdf or docx</w:t>
      </w:r>
    </w:p>
    <w:p>
      <w:pPr>
        <w:pStyle w:val="Heading2"/>
      </w:pPr>
      <w:bookmarkStart w:id="80" w:name="other-projects"/>
      <w:bookmarkEnd w:id="80"/>
      <w:r>
        <w:t xml:space="preserve">Others</w:t>
      </w:r>
    </w:p>
    <w:p>
      <w:pPr>
        <w:pStyle w:val="Heading3"/>
      </w:pPr>
      <w:bookmarkStart w:id="81" w:name="spree2011-2007"/>
      <w:bookmarkEnd w:id="8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3"/>
          <w:ilvl w:val="0"/>
        </w:numPr>
      </w:pPr>
      <w:r>
        <w:t xml:space="preserve">KWB:</w:t>
      </w:r>
    </w:p>
    <w:p>
      <w:pPr>
        <w:pStyle w:val="Compact"/>
        <w:numPr>
          <w:numId w:val="1024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4"/>
          <w:ilvl w:val="1"/>
        </w:numPr>
      </w:pPr>
      <w:r>
        <w:t xml:space="preserve">rain (Text/CSV)</w:t>
      </w:r>
    </w:p>
    <w:p>
      <w:pPr>
        <w:pStyle w:val="Compact"/>
        <w:numPr>
          <w:numId w:val="1023"/>
          <w:ilvl w:val="0"/>
        </w:numPr>
      </w:pPr>
      <w:r>
        <w:t xml:space="preserve">BWB:</w:t>
      </w:r>
    </w:p>
    <w:p>
      <w:pPr>
        <w:pStyle w:val="Compact"/>
        <w:numPr>
          <w:numId w:val="1025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5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6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7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7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8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8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8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3"/>
      </w:pPr>
      <w:bookmarkStart w:id="82" w:name="miacso"/>
      <w:bookmarkEnd w:id="8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9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9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9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30"/>
          <w:ilvl w:val="0"/>
        </w:numPr>
      </w:pPr>
      <w:r>
        <w:t xml:space="preserve">Sewerage: Infoworks</w:t>
      </w:r>
    </w:p>
    <w:p>
      <w:pPr>
        <w:pStyle w:val="Compact"/>
        <w:numPr>
          <w:numId w:val="1030"/>
          <w:ilvl w:val="0"/>
        </w:numPr>
      </w:pPr>
      <w:r>
        <w:t xml:space="preserve">River hydraulics: Hydrax</w:t>
      </w:r>
    </w:p>
    <w:p>
      <w:pPr>
        <w:pStyle w:val="Compact"/>
        <w:numPr>
          <w:numId w:val="1030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1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1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1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2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3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3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3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4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4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5"/>
          <w:ilvl w:val="0"/>
        </w:numPr>
      </w:pPr>
      <w:r>
        <w:t xml:space="preserve">MS Access Applications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5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5"/>
          <w:ilvl w:val="0"/>
        </w:numPr>
      </w:pPr>
      <w:r>
        <w:t xml:space="preserve">R packages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3"/>
      </w:pPr>
      <w:bookmarkStart w:id="83" w:name="kuras"/>
      <w:bookmarkEnd w:id="8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8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8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3"/>
      </w:pPr>
      <w:bookmarkStart w:id="84" w:name="ogre"/>
      <w:bookmarkEnd w:id="84"/>
      <w:r>
        <w:t xml:space="preserve">OGRE</w:t>
      </w:r>
    </w:p>
    <w:p>
      <w:pPr>
        <w:pStyle w:val="Compact"/>
        <w:numPr>
          <w:numId w:val="1039"/>
          <w:ilvl w:val="0"/>
        </w:numPr>
      </w:pPr>
      <w:r>
        <w:t xml:space="preserve">Decision to use</w:t>
      </w:r>
      <w:r>
        <w:t xml:space="preserve"> </w:t>
      </w:r>
      <w:hyperlink r:id="rId8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9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40"/>
          <w:ilvl w:val="0"/>
        </w:numPr>
      </w:pPr>
      <w:r>
        <w:t xml:space="preserve">R packages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3"/>
      </w:pPr>
      <w:bookmarkStart w:id="86" w:name="flusshygiene"/>
      <w:bookmarkEnd w:id="86"/>
      <w:r>
        <w:t xml:space="preserve">Flusshygiene</w:t>
      </w:r>
    </w:p>
    <w:p>
      <w:pPr>
        <w:pStyle w:val="Compact"/>
        <w:numPr>
          <w:numId w:val="1042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2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3"/>
      </w:pPr>
      <w:bookmarkStart w:id="88" w:name="demoware"/>
      <w:bookmarkEnd w:id="8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3"/>
          <w:ilvl w:val="0"/>
        </w:numPr>
      </w:pPr>
      <w:r>
        <w:t xml:space="preserve">Grundwassermodellierung</w:t>
      </w:r>
    </w:p>
    <w:p>
      <w:pPr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kwb.hantush</w:t>
        </w:r>
      </w:hyperlink>
    </w:p>
    <w:p>
      <w:pPr>
        <w:numPr>
          <w:numId w:val="1044"/>
          <w:ilvl w:val="1"/>
        </w:numPr>
      </w:pPr>
      <w:r>
        <w:t xml:space="preserve">kwb.vs2dh</w:t>
      </w:r>
    </w:p>
    <w:p>
      <w:pPr>
        <w:numPr>
          <w:numId w:val="1044"/>
          <w:ilvl w:val="1"/>
        </w:numPr>
      </w:pPr>
      <w:r>
        <w:t xml:space="preserve">kwb.demoware</w:t>
      </w:r>
    </w:p>
    <w:p>
      <w:pPr>
        <w:numPr>
          <w:numId w:val="1043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5"/>
          <w:ilvl w:val="1"/>
        </w:numPr>
      </w:pPr>
      <w:hyperlink r:id="rId9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3"/>
      </w:pPr>
      <w:bookmarkStart w:id="91" w:name="optiwells"/>
      <w:bookmarkEnd w:id="9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6"/>
          <w:ilvl w:val="0"/>
        </w:numPr>
      </w:pPr>
      <w:r>
        <w:t xml:space="preserve">kwb.epanet: (Pressure)Pipe Network Simulation (EPANET)</w:t>
      </w:r>
    </w:p>
    <w:p>
      <w:pPr>
        <w:pStyle w:val="Heading3"/>
      </w:pPr>
      <w:bookmarkStart w:id="93" w:name="rwe"/>
      <w:bookmarkEnd w:id="9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6" w:name="faq"/>
      <w:bookmarkEnd w:id="96"/>
      <w:r>
        <w:t xml:space="preserve">FAQs</w:t>
      </w:r>
    </w:p>
    <w:p>
      <w:pPr>
        <w:pStyle w:val="Heading2"/>
      </w:pPr>
      <w:bookmarkStart w:id="97" w:name="excel"/>
      <w:bookmarkEnd w:id="97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7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7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8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8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8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8"/>
          <w:ilvl w:val="0"/>
        </w:numPr>
      </w:pPr>
      <w:r>
        <w:t xml:space="preserve">Ein Tabellenblatt pro Tabelle</w:t>
      </w:r>
    </w:p>
    <w:p>
      <w:pPr>
        <w:numPr>
          <w:numId w:val="1048"/>
          <w:ilvl w:val="0"/>
        </w:numPr>
      </w:pPr>
      <w:r>
        <w:t xml:space="preserve">Genau eine Headerzeile pro Tabelle mit eindeutigen Spaltennamen</w:t>
      </w:r>
    </w:p>
    <w:p>
      <w:pPr>
        <w:numPr>
          <w:numId w:val="1048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9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8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9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0" w:name="heterogenous-software-versions-on-kwb-computers"/>
      <w:bookmarkEnd w:id="100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1" w:name="r-packageversion-dependency-of-r-scripts"/>
      <w:bookmarkEnd w:id="101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2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3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4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5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7" w:name="complex-r-script-dependencies"/>
      <w:bookmarkEnd w:id="107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8" w:name="heterogenous-r-coding-styles"/>
      <w:bookmarkEnd w:id="108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50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9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0" w:name="collaborative-version-control"/>
      <w:bookmarkEnd w:id="110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1"/>
          <w:ilvl w:val="0"/>
        </w:numPr>
      </w:pPr>
      <w:r>
        <w:t xml:space="preserve">Miteinander sprechen,</w:t>
      </w:r>
    </w:p>
    <w:p>
      <w:pPr>
        <w:numPr>
          <w:numId w:val="1051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1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1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2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3" w:name="encoding"/>
      <w:bookmarkEnd w:id="113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4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5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6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6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7" w:name="glossary"/>
      <w:bookmarkEnd w:id="117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8" w:name="reproducibility"/>
      <w:bookmarkEnd w:id="118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provenance"/>
      <w:bookmarkEnd w:id="119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echniques"/>
      <w:bookmarkEnd w:id="120"/>
      <w:r>
        <w:t xml:space="preserve">Techniques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Literate Programming</w:t>
      </w:r>
    </w:p>
    <w:p>
      <w:pPr>
        <w:numPr>
          <w:numId w:val="1052"/>
          <w:ilvl w:val="0"/>
        </w:numPr>
      </w:pPr>
      <w:r>
        <w:t xml:space="preserve">Data Publication</w:t>
      </w:r>
    </w:p>
    <w:p>
      <w:pPr>
        <w:numPr>
          <w:numId w:val="1052"/>
          <w:ilvl w:val="0"/>
        </w:numPr>
      </w:pPr>
      <w:r>
        <w:t xml:space="preserve">Munging (i.e. data cleaning)</w:t>
      </w:r>
    </w:p>
    <w:p>
      <w:pPr>
        <w:numPr>
          <w:numId w:val="1052"/>
          <w:ilvl w:val="0"/>
        </w:numPr>
      </w:pPr>
      <w:r>
        <w:t xml:space="preserve">Software Testing</w:t>
      </w:r>
    </w:p>
    <w:p>
      <w:pPr>
        <w:numPr>
          <w:numId w:val="1052"/>
          <w:ilvl w:val="0"/>
        </w:numPr>
      </w:pPr>
      <w:r>
        <w:t xml:space="preserve">Continuous Integration</w:t>
      </w:r>
    </w:p>
    <w:p>
      <w:pPr>
        <w:numPr>
          <w:numId w:val="1052"/>
          <w:ilvl w:val="0"/>
        </w:numPr>
      </w:pPr>
      <w:r>
        <w:t xml:space="preserve">Workflow Management</w:t>
      </w:r>
    </w:p>
    <w:p>
      <w:pPr>
        <w:numPr>
          <w:numId w:val="1052"/>
          <w:ilvl w:val="0"/>
        </w:numPr>
      </w:pPr>
      <w:r>
        <w:t xml:space="preserve">File Format Standards</w:t>
      </w:r>
    </w:p>
    <w:p>
      <w:pPr>
        <w:numPr>
          <w:numId w:val="1052"/>
          <w:ilvl w:val="0"/>
        </w:numPr>
      </w:pPr>
      <w:r>
        <w:t xml:space="preserve">Licensing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1" w:name="tools"/>
      <w:bookmarkEnd w:id="121"/>
      <w:r>
        <w:t xml:space="preserve">Tools</w:t>
      </w:r>
    </w:p>
    <w:p>
      <w:pPr>
        <w:numPr>
          <w:numId w:val="1053"/>
          <w:ilvl w:val="0"/>
        </w:numPr>
      </w:pPr>
      <w:r>
        <w:t xml:space="preserve">Programming Language and Related Tools</w:t>
      </w:r>
    </w:p>
    <w:p>
      <w:pPr>
        <w:numPr>
          <w:numId w:val="1053"/>
          <w:ilvl w:val="0"/>
        </w:numPr>
      </w:pPr>
      <w:r>
        <w:t xml:space="preserve">Documentation Generators</w:t>
      </w:r>
    </w:p>
    <w:p>
      <w:pPr>
        <w:numPr>
          <w:numId w:val="1053"/>
          <w:ilvl w:val="0"/>
        </w:numPr>
      </w:pPr>
      <w:r>
        <w:t xml:space="preserve">Version Control</w:t>
      </w:r>
    </w:p>
    <w:p>
      <w:pPr>
        <w:numPr>
          <w:numId w:val="1053"/>
          <w:ilvl w:val="0"/>
        </w:numPr>
      </w:pPr>
      <w:r>
        <w:t xml:space="preserve">Data Munging and Analysis</w:t>
      </w:r>
    </w:p>
    <w:p>
      <w:pPr>
        <w:numPr>
          <w:numId w:val="1053"/>
          <w:ilvl w:val="0"/>
        </w:numPr>
      </w:pPr>
      <w:r>
        <w:t xml:space="preserve">Data Visualization</w:t>
      </w:r>
    </w:p>
    <w:p>
      <w:pPr>
        <w:numPr>
          <w:numId w:val="1053"/>
          <w:ilvl w:val="0"/>
        </w:numPr>
      </w:pPr>
      <w:r>
        <w:t xml:space="preserve">Software Testing and Continuous Integration</w:t>
      </w:r>
    </w:p>
    <w:p>
      <w:pPr>
        <w:numPr>
          <w:numId w:val="1053"/>
          <w:ilvl w:val="0"/>
        </w:numPr>
      </w:pPr>
      <w:r>
        <w:t xml:space="preserve">Virtualization and Environment Isolation</w:t>
      </w:r>
    </w:p>
    <w:p>
      <w:pPr>
        <w:numPr>
          <w:numId w:val="1053"/>
          <w:ilvl w:val="0"/>
        </w:numPr>
      </w:pPr>
      <w:r>
        <w:t xml:space="preserve">Data Sharing and Repositories</w:t>
      </w:r>
    </w:p>
    <w:p>
      <w:pPr>
        <w:numPr>
          <w:numId w:val="1053"/>
          <w:ilvl w:val="0"/>
        </w:numPr>
      </w:pPr>
      <w:r>
        <w:t xml:space="preserve">Document Authoring</w:t>
      </w:r>
    </w:p>
    <w:p>
      <w:pPr>
        <w:numPr>
          <w:numId w:val="1053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2" w:name="references"/>
      <w:bookmarkEnd w:id="122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3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Sönke Bartling and Sascha Friesike. Oakland, CA: University of California Press.</w:t>
      </w:r>
      <w:r>
        <w:t xml:space="preserve"> </w:t>
      </w:r>
      <w:hyperlink r:id="rId125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6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b50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73ff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adfd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b68f817e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5" Target="http://aquanes-h2020.eu/Default.aspx?t=1576" TargetMode="External" /><Relationship Type="http://schemas.openxmlformats.org/officeDocument/2006/relationships/hyperlink" Id="rId77" Target="http://aquanes-h2020.eu/Default.aspx?t=1663" TargetMode="External" /><Relationship Type="http://schemas.openxmlformats.org/officeDocument/2006/relationships/hyperlink" Id="rId76" Target="http://aquanes-h2020.eu/Default.aspx?t=1666" TargetMode="External" /><Relationship Type="http://schemas.openxmlformats.org/officeDocument/2006/relationships/hyperlink" Id="rId78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4" Target="http://javawiki.sowas.com/doku.php?id=java:unicode" TargetMode="External" /><Relationship Type="http://schemas.openxmlformats.org/officeDocument/2006/relationships/hyperlink" Id="rId94" Target="http://modflowpy.github.io/flopydoc/" TargetMode="External" /><Relationship Type="http://schemas.openxmlformats.org/officeDocument/2006/relationships/hyperlink" Id="rId102" Target="http://o2r.info/" TargetMode="External" /><Relationship Type="http://schemas.openxmlformats.org/officeDocument/2006/relationships/hyperlink" Id="rId106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9" Target="http://style.tidyverse.org" TargetMode="External" /><Relationship Type="http://schemas.openxmlformats.org/officeDocument/2006/relationships/hyperlink" Id="rId98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9" Target="https://datacarpentry.org" TargetMode="External" /><Relationship Type="http://schemas.openxmlformats.org/officeDocument/2006/relationships/hyperlink" Id="rId115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3" Target="https://doi.org/10.1007/978-3-319-00026-8_8" TargetMode="External" /><Relationship Type="http://schemas.openxmlformats.org/officeDocument/2006/relationships/hyperlink" Id="rId126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7" Target="https://github.com/KWB-R/HydroServerLite" TargetMode="External" /><Relationship Type="http://schemas.openxmlformats.org/officeDocument/2006/relationships/hyperlink" Id="rId95" Target="https://github.com/chmenz/Maxflow" TargetMode="External" /><Relationship Type="http://schemas.openxmlformats.org/officeDocument/2006/relationships/hyperlink" Id="rId89" Target="https://github.com/kwb-r/kwb.hantush" TargetMode="External" /><Relationship Type="http://schemas.openxmlformats.org/officeDocument/2006/relationships/hyperlink" Id="rId90" Target="https://github.com/kwb-r/kwb.qrma" TargetMode="External" /><Relationship Type="http://schemas.openxmlformats.org/officeDocument/2006/relationships/hyperlink" Id="rId92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3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6" Target="https://kevinushey.github.io/blog/2018/02/21/string-encoding-and-r/" TargetMode="External" /><Relationship Type="http://schemas.openxmlformats.org/officeDocument/2006/relationships/hyperlink" Id="rId79" Target="https://kwb-r.github.io/aquanes.report" TargetMode="External" /><Relationship Type="http://schemas.openxmlformats.org/officeDocument/2006/relationships/hyperlink" Id="rId73" Target="https://kwb-r.github.io/kwb.umberto" TargetMode="External" /><Relationship Type="http://schemas.openxmlformats.org/officeDocument/2006/relationships/hyperlink" Id="rId105" Target="https://mybinder.org/" TargetMode="External" /><Relationship Type="http://schemas.openxmlformats.org/officeDocument/2006/relationships/hyperlink" Id="rId104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5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2" Target="https://www.fosteropenscience.eu/node/597" TargetMode="External" /><Relationship Type="http://schemas.openxmlformats.org/officeDocument/2006/relationships/hyperlink" Id="rId7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4" Target="https://www.practicereproducibleresearch.org/" TargetMode="External" /><Relationship Type="http://schemas.openxmlformats.org/officeDocument/2006/relationships/hyperlink" Id="rId125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5" Target="http://aquanes-h2020.eu/Default.aspx?t=1576" TargetMode="External" /><Relationship Type="http://schemas.openxmlformats.org/officeDocument/2006/relationships/hyperlink" Id="rId77" Target="http://aquanes-h2020.eu/Default.aspx?t=1663" TargetMode="External" /><Relationship Type="http://schemas.openxmlformats.org/officeDocument/2006/relationships/hyperlink" Id="rId76" Target="http://aquanes-h2020.eu/Default.aspx?t=1666" TargetMode="External" /><Relationship Type="http://schemas.openxmlformats.org/officeDocument/2006/relationships/hyperlink" Id="rId78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4" Target="http://javawiki.sowas.com/doku.php?id=java:unicode" TargetMode="External" /><Relationship Type="http://schemas.openxmlformats.org/officeDocument/2006/relationships/hyperlink" Id="rId94" Target="http://modflowpy.github.io/flopydoc/" TargetMode="External" /><Relationship Type="http://schemas.openxmlformats.org/officeDocument/2006/relationships/hyperlink" Id="rId102" Target="http://o2r.info/" TargetMode="External" /><Relationship Type="http://schemas.openxmlformats.org/officeDocument/2006/relationships/hyperlink" Id="rId106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9" Target="http://style.tidyverse.org" TargetMode="External" /><Relationship Type="http://schemas.openxmlformats.org/officeDocument/2006/relationships/hyperlink" Id="rId98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9" Target="https://datacarpentry.org" TargetMode="External" /><Relationship Type="http://schemas.openxmlformats.org/officeDocument/2006/relationships/hyperlink" Id="rId115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3" Target="https://doi.org/10.1007/978-3-319-00026-8_8" TargetMode="External" /><Relationship Type="http://schemas.openxmlformats.org/officeDocument/2006/relationships/hyperlink" Id="rId126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7" Target="https://github.com/KWB-R/HydroServerLite" TargetMode="External" /><Relationship Type="http://schemas.openxmlformats.org/officeDocument/2006/relationships/hyperlink" Id="rId95" Target="https://github.com/chmenz/Maxflow" TargetMode="External" /><Relationship Type="http://schemas.openxmlformats.org/officeDocument/2006/relationships/hyperlink" Id="rId89" Target="https://github.com/kwb-r/kwb.hantush" TargetMode="External" /><Relationship Type="http://schemas.openxmlformats.org/officeDocument/2006/relationships/hyperlink" Id="rId90" Target="https://github.com/kwb-r/kwb.qrma" TargetMode="External" /><Relationship Type="http://schemas.openxmlformats.org/officeDocument/2006/relationships/hyperlink" Id="rId92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3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6" Target="https://kevinushey.github.io/blog/2018/02/21/string-encoding-and-r/" TargetMode="External" /><Relationship Type="http://schemas.openxmlformats.org/officeDocument/2006/relationships/hyperlink" Id="rId79" Target="https://kwb-r.github.io/aquanes.report" TargetMode="External" /><Relationship Type="http://schemas.openxmlformats.org/officeDocument/2006/relationships/hyperlink" Id="rId73" Target="https://kwb-r.github.io/kwb.umberto" TargetMode="External" /><Relationship Type="http://schemas.openxmlformats.org/officeDocument/2006/relationships/hyperlink" Id="rId105" Target="https://mybinder.org/" TargetMode="External" /><Relationship Type="http://schemas.openxmlformats.org/officeDocument/2006/relationships/hyperlink" Id="rId104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5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2" Target="https://www.fosteropenscience.eu/node/597" TargetMode="External" /><Relationship Type="http://schemas.openxmlformats.org/officeDocument/2006/relationships/hyperlink" Id="rId7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4" Target="https://www.practicereproducibleresearch.org/" TargetMode="External" /><Relationship Type="http://schemas.openxmlformats.org/officeDocument/2006/relationships/hyperlink" Id="rId125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2018-06-25T10:52:02Z</dcterms:created>
  <dcterms:modified xsi:type="dcterms:W3CDTF">2018-06-25T10:52:02Z</dcterms:modified>
</cp:coreProperties>
</file>