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Annex: algorithm of the treatment failure approach</w:t>
      </w:r>
    </w:p>
    <w:p>
      <w:pPr>
        <w:pStyle w:val="Subtitle"/>
      </w:pPr>
      <w:r>
        <w:t xml:space="preserve">Annex text for the report (draft, 2026-10-17)</w:t>
      </w:r>
    </w:p>
    <w:bookmarkStart w:id="9" w:name="overview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Overview</w:t>
      </w:r>
    </w:p>
    <w:p>
      <w:pPr>
        <w:pStyle w:val="FirstParagraph"/>
      </w:pPr>
      <w:r>
        <w:t xml:space="preserve">This annex describes the algorithm the QMRA tool uses to include treatment failures. It</w:t>
      </w:r>
      <w:r>
        <w:t xml:space="preserve"> </w:t>
      </w:r>
      <w:r>
        <w:t xml:space="preserve">gives all equations and simulation settings needed to rebuild a comparable calculation, for</w:t>
      </w:r>
      <w:r>
        <w:t xml:space="preserve"> </w:t>
      </w:r>
      <w:r>
        <w:t xml:space="preserve">example in a spreadsheet or in R. A worked hand calculation (section 9) and a short R script</w:t>
      </w:r>
      <w:r>
        <w:t xml:space="preserve"> </w:t>
      </w:r>
      <w:r>
        <w:t xml:space="preserve">(section 10) are included. Numbers in brackets refer to the equations.</w:t>
      </w:r>
    </w:p>
    <w:p>
      <w:pPr>
        <w:pStyle w:val="BodyText"/>
      </w:pPr>
      <w:r>
        <w:t xml:space="preserve">The algorithm has two parts:</w:t>
      </w:r>
    </w:p>
    <w:p>
      <w:pPr>
        <w:pStyle w:val="Compact"/>
        <w:numPr>
          <w:ilvl w:val="0"/>
          <w:numId w:val="1001"/>
        </w:numPr>
      </w:pPr>
      <w:r>
        <w:t xml:space="preserve">the QMRA Monte Carlo simulation without failures (sections 2 to 4), and</w:t>
      </w:r>
    </w:p>
    <w:p>
      <w:pPr>
        <w:pStyle w:val="Compact"/>
        <w:numPr>
          <w:ilvl w:val="0"/>
          <w:numId w:val="1001"/>
        </w:numPr>
      </w:pPr>
      <w:r>
        <w:t xml:space="preserve">the failure extension, which changes the LRV of the treatment train for the exposure</w:t>
      </w:r>
      <w:r>
        <w:t xml:space="preserve"> </w:t>
      </w:r>
      <w:r>
        <w:t xml:space="preserve">events that fall on a failure day (sections 5 to 7).</w:t>
      </w:r>
    </w:p>
    <w:p>
      <w:pPr>
        <w:pStyle w:val="FirstParagraph"/>
      </w:pPr>
      <w:r>
        <w:t xml:space="preserve">Everything is calculated separately for each reference pathogen and for the two cases:</w:t>
      </w:r>
      <w:r>
        <w:t xml:space="preserve"> </w:t>
      </w:r>
      <w:r>
        <w:t xml:space="preserve">best-case uses the maximum LRV of every treatment step, worst-case the minimum LRV.</w:t>
      </w:r>
    </w:p>
    <w:bookmarkEnd w:id="9"/>
    <w:bookmarkStart w:id="10" w:name="input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Range, default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minimum and maximum pathogen concentration in the source water</w:t>
            </w:r>
          </w:p>
        </w:tc>
        <w:tc>
          <w:tcPr/>
          <w:p>
            <w:pPr>
              <w:pStyle w:val="Compact"/>
            </w:pPr>
            <w:r>
              <w:t xml:space="preserve">pathogens per 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t xml:space="preserve">exposure events per year</w:t>
            </w:r>
          </w:p>
        </w:tc>
        <w:tc>
          <w:tcPr/>
          <w:p>
            <w:pPr>
              <w:pStyle w:val="Compact"/>
            </w:pPr>
            <w:r>
              <w:t xml:space="preserve">1/year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volume ingested per exposure event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t>R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LRV of treatment step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pathogen group: maximum (best-case) or minimum (worst-case)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  <w:r>
              <w:rPr>
                <w:vertAlign w:val="subscript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may be 0 or negative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failure frequency of step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t xml:space="preserve">failure days per year</w:t>
            </w:r>
          </w:p>
        </w:tc>
        <w:tc>
          <w:tcPr/>
          <w:p>
            <w:pPr>
              <w:pStyle w:val="Compact"/>
            </w:pPr>
            <w:r>
              <w:t xml:space="preserve">0–365, default 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failure duration of step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1–1,440, default 30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number of parallel units of step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whole number ≥ 1, default 1</w:t>
            </w:r>
          </w:p>
        </w:tc>
      </w:tr>
    </w:tbl>
    <w:p>
      <w:pPr>
        <w:pStyle w:val="BodyText"/>
      </w:pPr>
      <w:r>
        <w:t xml:space="preserve">The failure inputs belong to the treatment step and apply to all three pathogen groups.</w:t>
      </w:r>
    </w:p>
    <w:bookmarkEnd w:id="10"/>
    <w:bookmarkStart w:id="11" w:name="Xc9a28ea37a5b066a257b4e5e3c20b929498594f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Pathogen concentration and exposure events</w:t>
      </w:r>
    </w:p>
    <w:p>
      <w:pPr>
        <w:pStyle w:val="FirstParagraph"/>
      </w:pPr>
      <w:r>
        <w:t xml:space="preserve">The log</w:t>
      </w:r>
      <w:r>
        <w:rPr>
          <w:vertAlign w:val="subscript"/>
        </w:rPr>
        <w:t xml:space="preserve">10</w:t>
      </w:r>
      <w:r>
        <w:t xml:space="preserve"> </w:t>
      </w:r>
      <w:r>
        <w:t xml:space="preserve">concentration in the source water is normally distributed. The minimum and</w:t>
      </w:r>
      <w:r>
        <w:t xml:space="preserve"> </w:t>
      </w:r>
      <w:r>
        <w:t xml:space="preserve">maximum concentration are read as the limits of the range mean ± 2 standard deviations</w:t>
      </w:r>
      <w:r>
        <w:t xml:space="preserve"> </w:t>
      </w:r>
      <w:r>
        <w:t xml:space="preserve">(about the 2.5 % and 97.5 % percentiles):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only prevents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a minimum concentration of 0.</w:t>
      </w:r>
    </w:p>
    <w:p>
      <w:pPr>
        <w:pStyle w:val="BodyText"/>
      </w:pPr>
      <w:r>
        <w:t xml:space="preserve">The tool draws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10,000 log</w:t>
      </w:r>
      <w:r>
        <w:rPr>
          <w:vertAlign w:val="subscript"/>
        </w:rPr>
        <w:t xml:space="preserve">10</w:t>
      </w:r>
      <w:r>
        <w:t xml:space="preserve"> </w:t>
      </w:r>
      <w:r>
        <w:t xml:space="preserve">concentrations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 It simulates</w:t>
      </w:r>
      <w:r>
        <w:t xml:space="preserve"> </w:t>
      </w:r>
      <m:oMath>
        <m:sSub>
          <m:e>
            <m:r>
              <m:t>n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1,000 years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exposure events</w:t>
      </w:r>
      <w:r>
        <w:t xml:space="preserve"> </w:t>
      </w:r>
      <w:r>
        <w:t xml:space="preserve">each. Every exposure event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of year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one of the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concentrations,</w:t>
      </w:r>
      <w:r>
        <w:t xml:space="preserve"> </w:t>
      </w:r>
      <w:r>
        <w:t xml:space="preserve">drawn at random with replacement,</w:t>
      </w:r>
      <w:r>
        <w:t xml:space="preserve"> </w:t>
      </w:r>
      <m:oMath>
        <m:sSub>
          <m:e>
            <m:r>
              <m:t>x</m:t>
            </m:r>
          </m:e>
          <m:sub>
            <m:r>
              <m:t>y</m:t>
            </m:r>
            <m:r>
              <m:rPr>
                <m:sty m:val="p"/>
              </m:rPr>
              <m:t>,</m:t>
            </m:r>
            <m:r>
              <m:t>e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Both cases use the same concentrations and exposure events, so they differ only in their</w:t>
      </w:r>
      <w:r>
        <w:t xml:space="preserve"> </w:t>
      </w:r>
      <w:r>
        <w:t xml:space="preserve">LRVs.</w:t>
      </w:r>
    </w:p>
    <w:bookmarkEnd w:id="11"/>
    <w:bookmarkStart w:id="12" w:name="dose-infection-and-annual-risk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Dose, infection and annual risk</w:t>
      </w:r>
    </w:p>
    <w:p>
      <w:pPr>
        <w:pStyle w:val="FirstParagraph"/>
      </w:pPr>
      <w:r>
        <w:t xml:space="preserve">The dose of exposure event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train LRV</w:t>
      </w:r>
      <w:r>
        <w:t xml:space="preserve"> </w:t>
      </w:r>
      <m:oMath>
        <m:r>
          <m:t>L</m:t>
        </m:r>
        <m:r>
          <m:t>R</m:t>
        </m:r>
        <m:sSub>
          <m:e>
            <m:r>
              <m:t>V</m:t>
            </m:r>
          </m:e>
          <m:sub>
            <m:r>
              <m:t>y</m:t>
            </m:r>
            <m:r>
              <m:rPr>
                <m:sty m:val="p"/>
              </m:rPr>
              <m:t>,</m:t>
            </m:r>
            <m:r>
              <m:t>e</m:t>
            </m:r>
          </m:sub>
        </m:sSub>
      </m:oMath>
      <w:r>
        <w:t xml:space="preserve"> </w:t>
      </w:r>
      <w:r>
        <w:t xml:space="preserve">(section 7)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y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  <m:r>
                <m:t>R</m:t>
              </m:r>
              <m:sSub>
                <m:e>
                  <m:r>
                    <m:t>V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</m:sup>
          </m:sSup>
          <m:r>
            <m:rPr>
              <m:sty m:val="p"/>
            </m:rPr>
            <m:t>⋅</m:t>
          </m:r>
          <m:r>
            <m:t>V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probability of infection per exposure event follows the dose-response model of the</w:t>
      </w:r>
      <w:r>
        <w:t xml:space="preserve"> </w:t>
      </w:r>
      <w:r>
        <w:t xml:space="preserve">pathogen, exponential (3a) or beta-Poisson (3b):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y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y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sub>
                  </m:sSub>
                  <m:r>
                    <m:t> 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α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50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t>b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pathogen</w:t>
            </w:r>
          </w:p>
        </w:tc>
        <w:tc>
          <w:tcPr/>
          <w:p>
            <w:pPr>
              <w:pStyle w:val="Compact"/>
            </w:pPr>
            <w:r>
              <w:t xml:space="preserve">Pathogen group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Illness per infection</w:t>
            </w:r>
          </w:p>
        </w:tc>
        <w:tc>
          <w:tcPr/>
          <w:p>
            <w:pPr>
              <w:pStyle w:val="Compact"/>
            </w:pPr>
            <w:r>
              <w:t xml:space="preserve">DALYs per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Rotavirus</w:t>
            </w:r>
          </w:p>
        </w:tc>
        <w:tc>
          <w:tcPr/>
          <w:p>
            <w:pPr>
              <w:pStyle w:val="Compact"/>
            </w:pPr>
            <w:r>
              <w:t xml:space="preserve">viruses</w:t>
            </w:r>
          </w:p>
        </w:tc>
        <w:tc>
          <w:tcPr/>
          <w:p>
            <w:pPr>
              <w:pStyle w:val="Compact"/>
            </w:pPr>
            <w:r>
              <w:t xml:space="preserve">beta-Poisson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0.253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50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6.17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Campylobacter jejuni</w:t>
            </w:r>
          </w:p>
        </w:tc>
        <w:tc>
          <w:tcPr/>
          <w:p>
            <w:pPr>
              <w:pStyle w:val="Compact"/>
            </w:pPr>
            <w:r>
              <w:t xml:space="preserve">bacteria</w:t>
            </w:r>
          </w:p>
        </w:tc>
        <w:tc>
          <w:tcPr/>
          <w:p>
            <w:pPr>
              <w:pStyle w:val="Compact"/>
            </w:pPr>
            <w:r>
              <w:t xml:space="preserve">beta-Poisson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0.144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50</m:t>
                  </m:r>
                </m:sub>
              </m:sSub>
              <m:r>
                <m:rPr>
                  <m:sty m:val="p"/>
                </m:rPr>
                <m:t>=</m:t>
              </m:r>
              <m:r>
                <m:t>890</m:t>
              </m:r>
            </m:oMath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0.0046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Cryptosporidium parvum</w:t>
            </w:r>
          </w:p>
        </w:tc>
        <w:tc>
          <w:tcPr/>
          <w:p>
            <w:pPr>
              <w:pStyle w:val="Compact"/>
            </w:pPr>
            <w:r>
              <w:t xml:space="preserve">protozoa</w:t>
            </w:r>
          </w:p>
        </w:tc>
        <w:tc>
          <w:tcPr/>
          <w:p>
            <w:pPr>
              <w:pStyle w:val="Compact"/>
            </w:pPr>
            <w:r>
              <w:t xml:space="preserve">exponential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0.0572</m:t>
              </m:r>
            </m:oMath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</w:tr>
    </w:tbl>
    <w:p>
      <w:pPr>
        <w:pStyle w:val="BodyText"/>
      </w:pPr>
      <w:r>
        <w:t xml:space="preserve">The annual probability of infection of year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combines its exposure events: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E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sub>
                  </m:sSub>
                </m:e>
              </m:d>
            </m:e>
          </m:nary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disease burden in DALYs per person per year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A</m:t>
          </m:r>
          <m:r>
            <m:t>L</m:t>
          </m:r>
          <m:sSub>
            <m:e>
              <m:r>
                <m:t>Y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l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t>i</m:t>
              </m:r>
              <m:r>
                <m:t>n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D</m:t>
          </m:r>
          <m:r>
            <m:t>A</m:t>
          </m:r>
          <m:r>
            <m:t>L</m:t>
          </m:r>
          <m:sSub>
            <m:e>
              <m:r>
                <m:t>Y</m:t>
              </m:r>
            </m:e>
            <m:sub>
              <m:r>
                <m:t>c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From the 1,000 annual values, the tool reports the minimum, 25 % percentile, median, 75 %</w:t>
      </w:r>
      <w:r>
        <w:t xml:space="preserve"> </w:t>
      </w:r>
      <w:r>
        <w:t xml:space="preserve">percentile and maximum for each case. A case exceeds the tolerable risk level if the mean</w:t>
      </w:r>
      <w:r>
        <w:t xml:space="preserve"> </w:t>
      </w:r>
      <w:r>
        <w:t xml:space="preserve">of its annual values exceeds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infections 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DALYs per person per year.</w:t>
      </w:r>
    </w:p>
    <w:bookmarkEnd w:id="12"/>
    <w:bookmarkStart w:id="13" w:name="failure-day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Failure days</w:t>
      </w:r>
    </w:p>
    <w:p>
      <w:pPr>
        <w:pStyle w:val="FirstParagraph"/>
      </w:pPr>
      <w:r>
        <w:t xml:space="preserve">For each treatment step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each exposure event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falls on a failure</w:t>
      </w:r>
      <w:r>
        <w:t xml:space="preserve"> </w:t>
      </w:r>
      <w:r>
        <w:t xml:space="preserve">day of that step with probability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365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independently for each step and each exposure event (a Bernoulli draw,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a failure day). The same failure days are used for both cases and for all three reference</w:t>
      </w:r>
      <w:r>
        <w:t xml:space="preserve"> </w:t>
      </w:r>
      <w:r>
        <w:t xml:space="preserve">pathogens.</w:t>
      </w:r>
    </w:p>
    <w:p>
      <w:pPr>
        <w:pStyle w:val="BodyText"/>
      </w:pPr>
      <w:r>
        <w:t xml:space="preserve">Over many years, a step has on average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⋅</m:t>
        </m:r>
        <m:r>
          <m:t>E</m:t>
        </m:r>
      </m:oMath>
      <w:r>
        <w:t xml:space="preserve"> </w:t>
      </w:r>
      <w:r>
        <w:t xml:space="preserve">failure events per year, but the</w:t>
      </w:r>
      <w:r>
        <w:t xml:space="preserve"> </w:t>
      </w:r>
      <w:r>
        <w:t xml:space="preserve">number varies from year to year.</w:t>
      </w:r>
    </w:p>
    <w:bookmarkEnd w:id="13"/>
    <w:bookmarkStart w:id="14" w:name="failure-lrv-and-daily-lrv-of-one-step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Failure LRV and daily LRV of one step</w:t>
      </w:r>
    </w:p>
    <w:p>
      <w:pPr>
        <w:pStyle w:val="FirstParagraph"/>
      </w:pPr>
      <w:r>
        <w:rPr>
          <w:b/>
          <w:bCs/>
        </w:rPr>
        <w:t xml:space="preserve">Failure LRV.</w:t>
      </w:r>
      <w:r>
        <w:t xml:space="preserve"> </w:t>
      </w:r>
      <w:r>
        <w:t xml:space="preserve">During a failure event, one 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parallel units is stopped. Its</w:t>
      </w:r>
      <w:r>
        <w:t xml:space="preserve"> </w:t>
      </w:r>
      <w:r>
        <w:t xml:space="preserve">share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water is not treated; the share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treated with the</w:t>
      </w:r>
      <w:r>
        <w:t xml:space="preserve"> </w:t>
      </w:r>
      <w:r>
        <w:t xml:space="preserve">step’s LRV. Mixed by concentration: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R</m:t>
          </m:r>
          <m:sSub>
            <m:e>
              <m:r>
                <m:t>V</m:t>
              </m:r>
            </m:e>
            <m:sub>
              <m:r>
                <m:t>f</m:t>
              </m:r>
              <m:r>
                <m:t>a</m:t>
              </m:r>
              <m:r>
                <m:t>i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L</m:t>
                  </m:r>
                  <m:r>
                    <m:t>R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L</m:t>
        </m:r>
        <m:r>
          <m:t>R</m:t>
        </m:r>
        <m:sSub>
          <m:e>
            <m:r>
              <m:t>V</m:t>
            </m:r>
          </m:e>
          <m:sub>
            <m:r>
              <m:t>f</m:t>
            </m:r>
            <m:r>
              <m:t>a</m:t>
            </m:r>
            <m:r>
              <m:t>i</m:t>
            </m:r>
            <m:r>
              <m:t>l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For any LRV,</w:t>
      </w:r>
      <w:r>
        <w:t xml:space="preserve"> </w:t>
      </w:r>
      <m:oMath>
        <m:r>
          <m:t>L</m:t>
        </m:r>
        <m:r>
          <m:t>R</m:t>
        </m:r>
        <m:sSub>
          <m:e>
            <m:r>
              <m:t>V</m:t>
            </m:r>
          </m:e>
          <m:sub>
            <m:r>
              <m:t>f</m:t>
            </m:r>
            <m:r>
              <m:t>a</m:t>
            </m:r>
            <m:r>
              <m:t>i</m:t>
            </m:r>
            <m:r>
              <m:t>l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TableCaption"/>
      </w:pPr>
      <w:r>
        <w:t xml:space="preserve">Failure LRV (7) for selected LRVs and numbers of parallel units.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ailure LRV (7) for selected LRVs and numbers of parallel unit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LRV 1</w:t>
            </w:r>
          </w:p>
        </w:tc>
        <w:tc>
          <w:tcPr/>
          <w:p>
            <w:pPr>
              <w:pStyle w:val="Compact"/>
            </w:pPr>
            <w:r>
              <w:t xml:space="preserve">LRV 2</w:t>
            </w:r>
          </w:p>
        </w:tc>
        <w:tc>
          <w:tcPr/>
          <w:p>
            <w:pPr>
              <w:pStyle w:val="Compact"/>
            </w:pPr>
            <w:r>
              <w:t xml:space="preserve">LRV 4</w:t>
            </w:r>
          </w:p>
        </w:tc>
        <w:tc>
          <w:tcPr/>
          <w:p>
            <w:pPr>
              <w:pStyle w:val="Compact"/>
            </w:pPr>
            <w:r>
              <w:t xml:space="preserve">LRV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Daily LRV.</w:t>
      </w:r>
      <w:r>
        <w:t xml:space="preserve"> </w:t>
      </w:r>
      <w:r>
        <w:t xml:space="preserve">The water used on a failure day is a mixture of water treated during the</w:t>
      </w:r>
      <w:r>
        <w:t xml:space="preserve"> </w:t>
      </w:r>
      <w:r>
        <w:t xml:space="preserve">failure (share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) and in normal operation (share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), 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1440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daily LRV of the failing step, again mixed by concentration,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R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L</m:t>
                  </m:r>
                  <m:r>
                    <m:t>R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f</m:t>
                      </m:r>
                      <m:r>
                        <m:t>a</m:t>
                      </m:r>
                      <m:r>
                        <m:t>i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L</m:t>
                  </m:r>
                  <m:r>
                    <m:t>R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e>
          </m:d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the LRV the step loses on a failure day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R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r>
            <m:t>L</m:t>
          </m:r>
          <m:r>
            <m:t>R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Equations (7) to (10) are applied with the maximum LRV in best-case and the minimum LRV in</w:t>
      </w:r>
      <w:r>
        <w:t xml:space="preserve"> </w:t>
      </w:r>
      <w:r>
        <w:t xml:space="preserve">worst-case. They are applied only to a positive LRV: if</w:t>
      </w:r>
      <w:r>
        <w:t xml:space="preserve"> </w:t>
      </w:r>
      <m:oMath>
        <m:r>
          <m:t>L</m:t>
        </m:r>
        <m:r>
          <m:t>R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failure frequency above 0 is only accepted for a step with at least one positive LRV.</w:t>
      </w:r>
    </w:p>
    <w:p>
      <w:pPr>
        <w:pStyle w:val="BodyText"/>
      </w:pPr>
      <w:r>
        <w:t xml:space="preserve">Never average LRVs directly: for</w:t>
      </w:r>
      <w:r>
        <w:t xml:space="preserve"> </w:t>
      </w:r>
      <m:oMath>
        <m:r>
          <m:t>L</m:t>
        </m:r>
        <m:r>
          <m:t>R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240</m:t>
        </m:r>
      </m:oMath>
      <w:r>
        <w:t xml:space="preserve"> </w:t>
      </w:r>
      <w:r>
        <w:t xml:space="preserve">min, (9) gives 0.78,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L</m:t>
        </m:r>
        <m:r>
          <m:t>R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would give 2.5.</w:t>
      </w:r>
    </w:p>
    <w:bookmarkEnd w:id="14"/>
    <w:bookmarkStart w:id="15" w:name="train-lrv-of-an-exposure-event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Train LRV of an exposure event</w:t>
      </w:r>
    </w:p>
    <w:p>
      <w:pPr>
        <w:pStyle w:val="FirstParagraph"/>
      </w:pPr>
      <w:r>
        <w:t xml:space="preserve">The LRV of the treatment train for exposure event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sum of the steps’ LRVs,</w:t>
      </w:r>
      <w:r>
        <w:t xml:space="preserve"> </w:t>
      </w:r>
      <w:r>
        <w:t xml:space="preserve">minus the loss of every step that fails on that day: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R</m:t>
          </m:r>
          <m:sSub>
            <m:e>
              <m:r>
                <m:t>V</m:t>
              </m:r>
            </m:e>
            <m:sub>
              <m:r>
                <m:t>y</m:t>
              </m:r>
              <m:r>
                <m:rPr>
                  <m:sty m:val="p"/>
                </m:rPr>
                <m:t>,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R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 a day with one failing step, the train LRV is the sum of the step’s daily LRV and the</w:t>
      </w:r>
      <w:r>
        <w:t xml:space="preserve"> </w:t>
      </w:r>
      <w:r>
        <w:t xml:space="preserve">LRVs of the other steps. On a day with several failing steps (combined failure), the</w:t>
      </w:r>
      <w:r>
        <w:t xml:space="preserve"> </w:t>
      </w:r>
      <w:r>
        <w:t xml:space="preserve">losses add up. This equals placing each failure event at a random time of day,</w:t>
      </w:r>
      <w:r>
        <w:t xml:space="preserve"> </w:t>
      </w:r>
      <w:r>
        <w:t xml:space="preserve">independently of the other steps; no rules for overlapping failures are needed.</w:t>
      </w:r>
    </w:p>
    <w:p>
      <w:pPr>
        <w:pStyle w:val="BodyText"/>
      </w:pPr>
      <w:r>
        <w:t xml:space="preserve">Equation (11) replaces</w:t>
      </w:r>
      <w:r>
        <w:t xml:space="preserve"> </w:t>
      </w:r>
      <m:oMath>
        <m:r>
          <m:t>L</m:t>
        </m:r>
        <m:r>
          <m:t>R</m:t>
        </m:r>
        <m:sSub>
          <m:e>
            <m:r>
              <m:t>V</m:t>
            </m:r>
          </m:e>
          <m:sub>
            <m:r>
              <m:t>y</m:t>
            </m:r>
            <m:r>
              <m:rPr>
                <m:sty m:val="p"/>
              </m:rPr>
              <m:t>,</m:t>
            </m:r>
            <m:r>
              <m:t>e</m:t>
            </m:r>
          </m:sub>
        </m:sSub>
      </m:oMath>
      <w:r>
        <w:t xml:space="preserve"> </w:t>
      </w:r>
      <w:r>
        <w:t xml:space="preserve">in the dose (2); everything else stays as without</w:t>
      </w:r>
      <w:r>
        <w:t xml:space="preserve"> </w:t>
      </w:r>
      <w:r>
        <w:t xml:space="preserve">failures.</w:t>
      </w:r>
    </w:p>
    <w:bookmarkEnd w:id="15"/>
    <w:bookmarkStart w:id="16" w:name="algorithm-in-step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Algorithm in steps</w:t>
      </w:r>
    </w:p>
    <w:p>
      <w:pPr>
        <w:pStyle w:val="FirstParagraph"/>
      </w:pPr>
      <w:r>
        <w:t xml:space="preserve">For each reference pathogen:</w:t>
      </w:r>
    </w:p>
    <w:p>
      <w:pPr>
        <w:pStyle w:val="Compact"/>
        <w:numPr>
          <w:ilvl w:val="0"/>
          <w:numId w:val="1002"/>
        </w:numPr>
      </w:pPr>
      <w:r>
        <w:t xml:space="preserve">Calculate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(1) and draw 10,000 log</w:t>
      </w:r>
      <w:r>
        <w:rPr>
          <w:vertAlign w:val="subscript"/>
        </w:rPr>
        <w:t xml:space="preserve">10</w:t>
      </w:r>
      <w:r>
        <w:t xml:space="preserve"> </w:t>
      </w:r>
      <w:r>
        <w:t xml:space="preserve">concentrations.</w:t>
      </w:r>
    </w:p>
    <w:p>
      <w:pPr>
        <w:pStyle w:val="Compact"/>
        <w:numPr>
          <w:ilvl w:val="0"/>
          <w:numId w:val="1002"/>
        </w:numPr>
      </w:pPr>
      <w:r>
        <w:t xml:space="preserve">For 1,000 years ×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events, draw which concentration each event uses.</w:t>
      </w:r>
    </w:p>
    <w:p>
      <w:pPr>
        <w:pStyle w:val="Compact"/>
        <w:numPr>
          <w:ilvl w:val="0"/>
          <w:numId w:val="1002"/>
        </w:numPr>
      </w:pPr>
      <w:r>
        <w:t xml:space="preserve">For each step with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draw the failure days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e</m:t>
            </m:r>
          </m:sub>
        </m:sSub>
      </m:oMath>
      <w:r>
        <w:t xml:space="preserve"> </w:t>
      </w:r>
      <w:r>
        <w:t xml:space="preserve">(6), once for all</w:t>
      </w:r>
      <w:r>
        <w:t xml:space="preserve"> </w:t>
      </w:r>
      <w:r>
        <w:t xml:space="preserve">pathogens and both cases.</w:t>
      </w:r>
    </w:p>
    <w:p>
      <w:pPr>
        <w:pStyle w:val="Compact"/>
        <w:numPr>
          <w:ilvl w:val="0"/>
          <w:numId w:val="1002"/>
        </w:numPr>
      </w:pPr>
      <w:r>
        <w:t xml:space="preserve">For each case (maximum LRVs, minimum LRVs):</w:t>
      </w:r>
    </w:p>
    <w:p>
      <w:pPr>
        <w:pStyle w:val="Compact"/>
        <w:numPr>
          <w:ilvl w:val="1"/>
          <w:numId w:val="1003"/>
        </w:numPr>
      </w:pPr>
      <w:r>
        <w:t xml:space="preserve">calculate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every step (7)–(10);</w:t>
      </w:r>
    </w:p>
    <w:p>
      <w:pPr>
        <w:pStyle w:val="Compact"/>
        <w:numPr>
          <w:ilvl w:val="1"/>
          <w:numId w:val="1003"/>
        </w:numPr>
      </w:pPr>
      <w:r>
        <w:t xml:space="preserve">calculate the train LRV of every event (11);</w:t>
      </w:r>
    </w:p>
    <w:p>
      <w:pPr>
        <w:pStyle w:val="Compact"/>
        <w:numPr>
          <w:ilvl w:val="1"/>
          <w:numId w:val="1003"/>
        </w:numPr>
      </w:pPr>
      <w:r>
        <w:t xml:space="preserve">calculate dose (2), probability of infection (3) and annual risk (4) and DALYs (5);</w:t>
      </w:r>
    </w:p>
    <w:p>
      <w:pPr>
        <w:pStyle w:val="Compact"/>
        <w:numPr>
          <w:ilvl w:val="1"/>
          <w:numId w:val="1003"/>
        </w:numPr>
      </w:pPr>
      <w:r>
        <w:t xml:space="preserve">summarise the 1,000 annual values and compare their mean with the tolerable risk</w:t>
      </w:r>
      <w:r>
        <w:t xml:space="preserve"> </w:t>
      </w:r>
      <w:r>
        <w:t xml:space="preserve">levels.</w:t>
      </w:r>
    </w:p>
    <w:p>
      <w:pPr>
        <w:pStyle w:val="FirstParagraph"/>
      </w:pPr>
      <w:r>
        <w:t xml:space="preserve">The tool uses fixed random seeds, so a calculation can be repeated with the same result.</w:t>
      </w:r>
      <w:r>
        <w:t xml:space="preserve"> </w:t>
      </w:r>
      <w:r>
        <w:t xml:space="preserve">A rebuilt calculation with other random numbers gives results that agree within the Monte</w:t>
      </w:r>
      <w:r>
        <w:t xml:space="preserve"> </w:t>
      </w:r>
      <w:r>
        <w:t xml:space="preserve">Carlo variation (a few per cent for the median with 1,000 years).</w:t>
      </w:r>
    </w:p>
    <w:bookmarkEnd w:id="16"/>
    <w:bookmarkStart w:id="17" w:name="worked-hand-calcula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Worked hand calculation</w:t>
      </w:r>
    </w:p>
    <w:p>
      <w:pPr>
        <w:pStyle w:val="FirstParagraph"/>
      </w:pPr>
      <w:r>
        <w:t xml:space="preserve">This example can be rebuilt in a spreadsheet. It uses a fixed concentration of 1</w:t>
      </w:r>
      <w:r>
        <w:t xml:space="preserve"> </w:t>
      </w:r>
      <w:r>
        <w:rPr>
          <w:i/>
          <w:iCs/>
        </w:rPr>
        <w:t xml:space="preserve">Cryptosporidium</w:t>
      </w:r>
      <w:r>
        <w:t xml:space="preserve"> </w:t>
      </w:r>
      <w:r>
        <w:t xml:space="preserve">oocyst per litre instead of the random draw, and exactly 10 failure days</w:t>
      </w:r>
      <w:r>
        <w:t xml:space="preserve"> </w:t>
      </w:r>
      <w:r>
        <w:t xml:space="preserve">per year instead of the random draw of failure days, so it shows only the failure part.</w:t>
      </w:r>
    </w:p>
    <w:p>
      <w:pPr>
        <w:pStyle w:val="BodyText"/>
      </w:pPr>
      <w:r>
        <w:t xml:space="preserve">Inputs: drinking water,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365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L; step A filtration, protozoa LRV 3 (best-case),</w:t>
      </w:r>
      <w:r>
        <w:t xml:space="preserve"> </w:t>
      </w:r>
      <w:r>
        <w:t xml:space="preserve">no failures; step B UV disinfection, protozoa LRV 3 (best-case),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days per year,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240</m:t>
        </m:r>
      </m:oMath>
      <w:r>
        <w:t xml:space="preserve"> </w:t>
      </w:r>
      <w:r>
        <w:t xml:space="preserve">min;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0.0572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Equation</w:t>
            </w:r>
          </w:p>
        </w:tc>
        <w:tc>
          <w:tcPr/>
          <w:p>
            <w:pPr>
              <w:pStyle w:val="Compact"/>
            </w:pPr>
            <w:r>
              <w:t xml:space="preserve">1 unit</w:t>
            </w:r>
          </w:p>
        </w:tc>
        <w:tc>
          <w:tcPr/>
          <w:p>
            <w:pPr>
              <w:pStyle w:val="Compact"/>
            </w:pPr>
            <w:r>
              <w:t xml:space="preserve">2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of a failure day per event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0.0274</w:t>
            </w:r>
          </w:p>
        </w:tc>
        <w:tc>
          <w:tcPr/>
          <w:p>
            <w:pPr>
              <w:pStyle w:val="Compact"/>
            </w:pPr>
            <w:r>
              <w:t xml:space="preserve">0.0274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LRV of UV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Failing share of the day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  <w:tc>
          <w:tcPr/>
          <w:p>
            <w:pPr>
              <w:pStyle w:val="Compact"/>
            </w:pPr>
            <w:r>
              <w:t xml:space="preserve">0.1667</w:t>
            </w:r>
          </w:p>
        </w:tc>
        <w:tc>
          <w:tcPr/>
          <w:p>
            <w:pPr>
              <w:pStyle w:val="Compact"/>
            </w:pPr>
            <w:r>
              <w:t xml:space="preserve">0.1667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LRV of UV</w:t>
            </w:r>
          </w:p>
        </w:tc>
        <w:tc>
          <w:tcPr/>
          <w:p>
            <w:pPr>
              <w:pStyle w:val="Compact"/>
            </w:pPr>
            <w:r>
              <w:t xml:space="preserve">(9)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1.074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LRV, normal day</w:t>
            </w:r>
          </w:p>
        </w:tc>
        <w:tc>
          <w:tcPr/>
          <w:p>
            <w:pPr>
              <w:pStyle w:val="Compact"/>
            </w:pPr>
            <w:r>
              <w:t xml:space="preserve">(11)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LRV, failure day</w:t>
            </w:r>
          </w:p>
        </w:tc>
        <w:tc>
          <w:tcPr/>
          <w:p>
            <w:pPr>
              <w:pStyle w:val="Compact"/>
            </w:pPr>
            <w:r>
              <w:t xml:space="preserve">(11)</w:t>
            </w:r>
          </w:p>
        </w:tc>
        <w:tc>
          <w:tcPr/>
          <w:p>
            <w:pPr>
              <w:pStyle w:val="Compact"/>
            </w:pPr>
            <w:r>
              <w:t xml:space="preserve">3.776</w:t>
            </w:r>
          </w:p>
        </w:tc>
        <w:tc>
          <w:tcPr/>
          <w:p>
            <w:pPr>
              <w:pStyle w:val="Compact"/>
            </w:pPr>
            <w:r>
              <w:t xml:space="preserve">4.074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Dose, normal day (oocysts)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1.00 × 10</w:t>
            </w:r>
            <w:r>
              <w:rPr>
                <w:vertAlign w:val="superscript"/>
              </w:rPr>
              <w:t xml:space="preserve">-6</w:t>
            </w:r>
          </w:p>
        </w:tc>
        <w:tc>
          <w:tcPr/>
          <w:p>
            <w:pPr>
              <w:pStyle w:val="Compact"/>
            </w:pPr>
            <w:r>
              <w:t xml:space="preserve">1.00 × 10</w:t>
            </w:r>
            <w:r>
              <w:rPr>
                <w:vertAlign w:val="superscript"/>
              </w:rPr>
              <w:t xml:space="preserve">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Dose, failure day (oocysts)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1.68 × 10</w:t>
            </w:r>
            <w:r>
              <w:rPr>
                <w:vertAlign w:val="superscript"/>
              </w:rP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8.42 × 10</w:t>
            </w:r>
            <w:r>
              <w:rPr>
                <w:vertAlign w:val="superscript"/>
              </w:rPr>
              <w:t xml:space="preserve">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of infection, normal day</w:t>
            </w:r>
          </w:p>
        </w:tc>
        <w:tc>
          <w:tcPr/>
          <w:p>
            <w:pPr>
              <w:pStyle w:val="Compact"/>
            </w:pPr>
            <w:r>
              <w:t xml:space="preserve">(3a)</w:t>
            </w:r>
          </w:p>
        </w:tc>
        <w:tc>
          <w:tcPr/>
          <w:p>
            <w:pPr>
              <w:pStyle w:val="Compact"/>
            </w:pPr>
            <w:r>
              <w:t xml:space="preserve">5.72 × 10</w:t>
            </w:r>
            <w:r>
              <w:rPr>
                <w:vertAlign w:val="superscript"/>
              </w:rPr>
              <w:t xml:space="preserve">-8</w:t>
            </w:r>
          </w:p>
        </w:tc>
        <w:tc>
          <w:tcPr/>
          <w:p>
            <w:pPr>
              <w:pStyle w:val="Compact"/>
            </w:pPr>
            <w:r>
              <w:t xml:space="preserve">5.72 × 10</w:t>
            </w:r>
            <w:r>
              <w:rPr>
                <w:vertAlign w:val="superscript"/>
              </w:rPr>
              <w:t xml:space="preserve">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of infection, failure day</w:t>
            </w:r>
          </w:p>
        </w:tc>
        <w:tc>
          <w:tcPr/>
          <w:p>
            <w:pPr>
              <w:pStyle w:val="Compact"/>
            </w:pPr>
            <w:r>
              <w:t xml:space="preserve">(3a)</w:t>
            </w:r>
          </w:p>
        </w:tc>
        <w:tc>
          <w:tcPr/>
          <w:p>
            <w:pPr>
              <w:pStyle w:val="Compact"/>
            </w:pPr>
            <w:r>
              <w:t xml:space="preserve">9.58 × 10</w:t>
            </w:r>
            <w:r>
              <w:rPr>
                <w:vertAlign w:val="superscript"/>
              </w:rPr>
              <w:t xml:space="preserve">-6</w:t>
            </w:r>
          </w:p>
        </w:tc>
        <w:tc>
          <w:tcPr/>
          <w:p>
            <w:pPr>
              <w:pStyle w:val="Compact"/>
            </w:pPr>
            <w:r>
              <w:t xml:space="preserve">4.82 × 10</w:t>
            </w:r>
            <w:r>
              <w:rPr>
                <w:vertAlign w:val="superscript"/>
              </w:rPr>
              <w:t xml:space="preserve">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probability, 355 normal and 10 failure days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1.16 × 10</w:t>
            </w:r>
            <w:r>
              <w:rPr>
                <w:vertAlign w:val="superscript"/>
              </w:rPr>
              <w:t xml:space="preserve">-4</w:t>
            </w:r>
          </w:p>
        </w:tc>
        <w:tc>
          <w:tcPr/>
          <w:p>
            <w:pPr>
              <w:pStyle w:val="Compact"/>
            </w:pPr>
            <w:r>
              <w:t xml:space="preserve">6.85 × 10</w:t>
            </w:r>
            <w:r>
              <w:rPr>
                <w:vertAlign w:val="superscript"/>
              </w:rPr>
              <w:t xml:space="preserve">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probability without failures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2.09 × 10</w:t>
            </w:r>
            <w:r>
              <w:rPr>
                <w:vertAlign w:val="superscript"/>
              </w:rPr>
              <w:t xml:space="preserve">-5</w:t>
            </w:r>
          </w:p>
        </w:tc>
        <w:tc>
          <w:tcPr/>
          <w:p>
            <w:pPr>
              <w:pStyle w:val="Compact"/>
            </w:pPr>
            <w:r>
              <w:t xml:space="preserve">2.09 × 10</w:t>
            </w:r>
            <w:r>
              <w:rPr>
                <w:vertAlign w:val="superscript"/>
              </w:rPr>
              <w:t xml:space="preserve">-5</w:t>
            </w:r>
          </w:p>
        </w:tc>
      </w:tr>
    </w:tbl>
    <w:p>
      <w:pPr>
        <w:pStyle w:val="BodyText"/>
      </w:pPr>
      <w:r>
        <w:t xml:space="preserve">With exactly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failure days, (4) becomes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n</m:t>
            </m:r>
            <m:r>
              <m:t>o</m:t>
            </m:r>
            <m:r>
              <m:t>r</m:t>
            </m:r>
            <m:r>
              <m:t>m</m:t>
            </m:r>
            <m:r>
              <m:t>a</m:t>
            </m:r>
            <m:r>
              <m:t>l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365</m:t>
            </m:r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f</m:t>
            </m:r>
            <m:r>
              <m:t>a</m:t>
            </m:r>
            <m:r>
              <m:t>i</m:t>
            </m:r>
            <m:r>
              <m:t>l</m:t>
            </m:r>
            <m:r>
              <m:t>u</m:t>
            </m:r>
            <m:r>
              <m:t>r</m:t>
            </m:r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, which is Eq. 6 of</w:t>
      </w:r>
      <w:r>
        <w:t xml:space="preserve"> </w:t>
      </w:r>
      <w:r>
        <w:t xml:space="preserve">Hambsch et al. (2019). The tool draws the failure days instead, so its results agree with</w:t>
      </w:r>
      <w:r>
        <w:t xml:space="preserve"> </w:t>
      </w:r>
      <w:r>
        <w:t xml:space="preserve">this formula only on average.</w:t>
      </w:r>
    </w:p>
    <w:p>
      <w:pPr>
        <w:pStyle w:val="BodyText"/>
      </w:pPr>
      <w:r>
        <w:t xml:space="preserve">For a spreadsheet Monte Carlo version: one row per exposure event and one block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rows</w:t>
      </w:r>
      <w:r>
        <w:t xml:space="preserve"> </w:t>
      </w:r>
      <w:r>
        <w:t xml:space="preserve">per simulated year; columns for the random concentration (</w:t>
      </w:r>
      <w:r>
        <w:rPr>
          <w:rStyle w:val="VerbatimChar"/>
        </w:rPr>
        <w:t xml:space="preserve">NORM.INV(RAND(); μ; σ)</w:t>
      </w:r>
      <w:r>
        <w:t xml:space="preserve">), one</w:t>
      </w:r>
      <w:r>
        <w:t xml:space="preserve"> </w:t>
      </w:r>
      <w:r>
        <w:t xml:space="preserve">column per failing step with</w:t>
      </w:r>
      <w:r>
        <w:t xml:space="preserve"> </w:t>
      </w:r>
      <w:r>
        <w:rPr>
          <w:rStyle w:val="VerbatimChar"/>
        </w:rPr>
        <w:t xml:space="preserve">RAND() &lt; f/365</w:t>
      </w:r>
      <w:r>
        <w:t xml:space="preserve">, the train LRV (11), the dose (2) and the</w:t>
      </w:r>
      <w:r>
        <w:t xml:space="preserve"> </w:t>
      </w:r>
      <w:r>
        <w:t xml:space="preserve">probability (3); then (4) per year as</w:t>
      </w:r>
      <w:r>
        <w:t xml:space="preserve"> </w:t>
      </w:r>
      <w:r>
        <w:rPr>
          <w:rStyle w:val="VerbatimChar"/>
        </w:rPr>
        <w:t xml:space="preserve">1 - PRODUCT(1 - p)</w:t>
      </w:r>
      <w:r>
        <w:t xml:space="preserve"> </w:t>
      </w:r>
      <w:r>
        <w:t xml:space="preserve">over the year’s rows. Fewer years</w:t>
      </w:r>
      <w:r>
        <w:t xml:space="preserve"> </w:t>
      </w:r>
      <w:r>
        <w:t xml:space="preserve">than 1,000 give a rougher distribution.</w:t>
      </w:r>
    </w:p>
    <w:bookmarkEnd w:id="17"/>
    <w:bookmarkStart w:id="18" w:name="r-scrip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R script</w:t>
      </w:r>
    </w:p>
    <w:p>
      <w:pPr>
        <w:pStyle w:val="FirstParagraph"/>
      </w:pPr>
      <w:r>
        <w:t xml:space="preserve">The following script rebuilds the calculation for one pathogen with an exponential</w:t>
      </w:r>
      <w:r>
        <w:t xml:space="preserve"> </w:t>
      </w:r>
      <w:r>
        <w:t xml:space="preserve">dose-response model. It uses R’s own random numbers, so results differ from the tool within</w:t>
      </w:r>
      <w:r>
        <w:t xml:space="preserve"> </w:t>
      </w:r>
      <w:r>
        <w:t xml:space="preserve">the Monte Carlo variation.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 n_samples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;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exposure events per year, litres per event</w:t>
      </w:r>
      <w:r>
        <w:br/>
      </w:r>
      <w:r>
        <w:rPr>
          <w:rStyle w:val="NormalTok"/>
        </w:rPr>
        <w:t xml:space="preserve">c_min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; c_max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pathogens per litre</w:t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0.0572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exponential dose-response (Cryptosporidium parvum)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             </w:t>
      </w:r>
      <w:r>
        <w:rPr>
          <w:rStyle w:val="CommentTok"/>
        </w:rPr>
        <w:t xml:space="preserve"># one row per treatment step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lrv_max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lrv_min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duration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mu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(c_min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(c_max))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(1)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(c_max)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(c_min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log_c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(n_samples, mu, sigma)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(log_c[</w:t>
      </w:r>
      <w:r>
        <w:rPr>
          <w:rStyle w:val="FunctionTok"/>
        </w:rPr>
        <w:t xml:space="preserve">sample.int</w:t>
      </w:r>
      <w:r>
        <w:rPr>
          <w:rStyle w:val="NormalTok"/>
        </w:rPr>
        <w:t xml:space="preserve">(n_samples, n_years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)], n_years, E)</w:t>
      </w:r>
      <w:r>
        <w:br/>
      </w:r>
      <w:r>
        <w:br/>
      </w:r>
      <w:r>
        <w:rPr>
          <w:rStyle w:val="NormalTok"/>
        </w:rPr>
        <w:t xml:space="preserve">failing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(steps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(f)                     </w:t>
      </w:r>
      <w:r>
        <w:rPr>
          <w:rStyle w:val="CommentTok"/>
        </w:rPr>
        <w:t xml:space="preserve"># (6), shared by both cases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(n_years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, n_years, E))</w:t>
      </w:r>
      <w:r>
        <w:br/>
      </w:r>
      <w:r>
        <w:br/>
      </w:r>
      <w:r>
        <w:rPr>
          <w:rStyle w:val="NormalTok"/>
        </w:rPr>
        <w:t xml:space="preserve">failure_lrv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(lrv, n)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^-</w:t>
      </w:r>
      <w:r>
        <w:rPr>
          <w:rStyle w:val="NormalTok"/>
        </w:rPr>
        <w:t xml:space="preserve">lrv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          </w:t>
      </w:r>
      <w:r>
        <w:rPr>
          <w:rStyle w:val="CommentTok"/>
        </w:rPr>
        <w:t xml:space="preserve"># (7)</w:t>
      </w:r>
      <w:r>
        <w:br/>
      </w:r>
      <w:r>
        <w:rPr>
          <w:rStyle w:val="NormalTok"/>
        </w:rPr>
        <w:t xml:space="preserve">daily_lrv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(lrv, duration, n) {                                       </w:t>
      </w:r>
      <w:r>
        <w:rPr>
          <w:rStyle w:val="CommentTok"/>
        </w:rPr>
        <w:t xml:space="preserve"># (8), (9)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duration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^-</w:t>
      </w:r>
      <w:r>
        <w:rPr>
          <w:rStyle w:val="FunctionTok"/>
        </w:rPr>
        <w:t xml:space="preserve">failure_lrv</w:t>
      </w:r>
      <w:r>
        <w:rPr>
          <w:rStyle w:val="NormalTok"/>
        </w:rPr>
        <w:t xml:space="preserve">(lrv, 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^-</w:t>
      </w:r>
      <w:r>
        <w:rPr>
          <w:rStyle w:val="NormalTok"/>
        </w:rPr>
        <w:t xml:space="preserve">lrv)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annual_risk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(lrv) {   </w:t>
      </w:r>
      <w:r>
        <w:rPr>
          <w:rStyle w:val="CommentTok"/>
        </w:rPr>
        <w:t xml:space="preserve"># lrv: each step's maximum or minimum LRV</w:t>
      </w:r>
      <w:r>
        <w:br/>
      </w:r>
      <w:r>
        <w:rPr>
          <w:rStyle w:val="NormalTok"/>
        </w:rPr>
        <w:t xml:space="preserve">  train_lrv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(lrv), n_years, 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(steps)))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freq[j]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lrv[j]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lrv[j]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daily_lrv</w:t>
      </w:r>
      <w:r>
        <w:rPr>
          <w:rStyle w:val="NormalTok"/>
        </w:rPr>
        <w:t xml:space="preserve">(lrv[j], steps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duration[j], steps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units[j])     </w:t>
      </w:r>
      <w:r>
        <w:rPr>
          <w:rStyle w:val="CommentTok"/>
        </w:rPr>
        <w:t xml:space="preserve"># (10)</w:t>
      </w:r>
      <w:r>
        <w:br/>
      </w:r>
      <w:r>
        <w:rPr>
          <w:rStyle w:val="NormalTok"/>
        </w:rPr>
        <w:t xml:space="preserve">      train_lrv[failing[[j]]]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train_lrv[failing[[j]]]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loss                 </w:t>
      </w:r>
      <w:r>
        <w:rPr>
          <w:rStyle w:val="CommentTok"/>
        </w:rPr>
        <w:t xml:space="preserve"># (11)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train_lrv)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                                                </w:t>
      </w:r>
      <w:r>
        <w:rPr>
          <w:rStyle w:val="CommentTok"/>
        </w:rPr>
        <w:t xml:space="preserve"># (2)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dose)                                                       </w:t>
      </w:r>
      <w:r>
        <w:rPr>
          <w:rStyle w:val="CommentTok"/>
        </w:rPr>
        <w:t xml:space="preserve"># (3a)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prod)                                                     </w:t>
      </w:r>
      <w:r>
        <w:rPr>
          <w:rStyle w:val="CommentTok"/>
        </w:rPr>
        <w:t xml:space="preserve"># (4)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annual_risk</w:t>
      </w:r>
      <w:r>
        <w:rPr>
          <w:rStyle w:val="NormalTok"/>
        </w:rPr>
        <w:t xml:space="preserve">(steps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lrv_max)</w:t>
      </w:r>
      <w:r>
        <w:br/>
      </w:r>
      <w:r>
        <w:rPr>
          <w:rStyle w:val="NormalTok"/>
        </w:rPr>
        <w:t xml:space="preserve">worst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annual_risk</w:t>
      </w:r>
      <w:r>
        <w:rPr>
          <w:rStyle w:val="NormalTok"/>
        </w:rPr>
        <w:t xml:space="preserve">(steps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lrv_min)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(best), </w:t>
      </w:r>
      <w:r>
        <w:rPr>
          <w:rStyle w:val="AttributeTok"/>
        </w:rPr>
        <w:t xml:space="preserve">worst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(worst))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(best)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worst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(worst)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exceeds the tolerable risk level</w:t>
      </w:r>
    </w:p>
    <w:p>
      <w:pPr>
        <w:pStyle w:val="FirstParagraph"/>
      </w:pPr>
      <w:r>
        <w:t xml:space="preserve">For these inputs the tool gives a median annual probability of infection of about</w:t>
      </w:r>
      <w:r>
        <w:t xml:space="preserve"> </w:t>
      </w:r>
      <w:r>
        <w:t xml:space="preserve">2.0 × 10</w:t>
      </w:r>
      <w:r>
        <w:rPr>
          <w:vertAlign w:val="superscript"/>
        </w:rPr>
        <w:t xml:space="preserve">-4</w:t>
      </w:r>
      <w:r>
        <w:t xml:space="preserve"> </w:t>
      </w:r>
      <w:r>
        <w:t xml:space="preserve">(best-case) and 2.9 × 10</w:t>
      </w:r>
      <w:r>
        <w:rPr>
          <w:vertAlign w:val="superscript"/>
        </w:rPr>
        <w:t xml:space="preserve">-3</w:t>
      </w:r>
      <w:r>
        <w:t xml:space="preserve"> </w:t>
      </w:r>
      <w:r>
        <w:t xml:space="preserve">(worst-case).</w:t>
      </w:r>
    </w:p>
    <w:bookmarkEnd w:id="18"/>
    <w:bookmarkStart w:id="19" w:name="differences-from-hambsch-et-al.-2019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Differences from Hambsch et al. (2019)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Hambsch et al. (2019)</w:t>
            </w:r>
          </w:p>
        </w:tc>
        <w:tc>
          <w:tcPr/>
          <w:p>
            <w:pPr>
              <w:pStyle w:val="Compact"/>
            </w:pPr>
            <w:r>
              <w:t xml:space="preserve">QMRA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days</w:t>
            </w:r>
          </w:p>
        </w:tc>
        <w:tc>
          <w:tcPr/>
          <w:p>
            <w:pPr>
              <w:pStyle w:val="Compact"/>
            </w:pPr>
            <w:r>
              <w:t xml:space="preserve">365 days per year; Eq. 6 for one failing step, random 365-day sequence for several</w:t>
            </w:r>
          </w:p>
        </w:tc>
        <w:tc>
          <w:tcPr/>
          <w:p>
            <w:pPr>
              <w:pStyle w:val="Compact"/>
            </w:pPr>
            <w:r>
              <w:t xml:space="preserve">random draw per exposure event 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Worst-case on a failure day</w:t>
            </w:r>
          </w:p>
        </w:tc>
        <w:tc>
          <w:tcPr/>
          <w:p>
            <w:pPr>
              <w:pStyle w:val="Compact"/>
            </w:pPr>
            <w:r>
              <w:t xml:space="preserve">LRV of the failing step removed for the whole day</w:t>
            </w:r>
          </w:p>
        </w:tc>
        <w:tc>
          <w:tcPr/>
          <w:p>
            <w:pPr>
              <w:pStyle w:val="Compact"/>
            </w:pPr>
            <w:r>
              <w:t xml:space="preserve">daily LRV (9) with the failure duration, as in best-case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Best-case on a failure day</w:t>
            </w:r>
          </w:p>
        </w:tc>
        <w:tc>
          <w:tcPr/>
          <w:p>
            <w:pPr>
              <w:pStyle w:val="Compact"/>
            </w:pPr>
            <w:r>
              <w:t xml:space="preserve">mixed-water assumption (Eq. 5)</w:t>
            </w:r>
          </w:p>
        </w:tc>
        <w:tc>
          <w:tcPr/>
          <w:p>
            <w:pPr>
              <w:pStyle w:val="Compact"/>
            </w:pPr>
            <w:r>
              <w:t xml:space="preserve">daily LRV (9); same result with one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LRV during the failure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failure LRV (7) from the number of parallel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failures</w:t>
            </w:r>
          </w:p>
        </w:tc>
        <w:tc>
          <w:tcPr/>
          <w:p>
            <w:pPr>
              <w:pStyle w:val="Compact"/>
            </w:pPr>
            <w:r>
              <w:t xml:space="preserve">an LRV for each combination of failing steps, not further specified</w:t>
            </w:r>
          </w:p>
        </w:tc>
        <w:tc>
          <w:tcPr/>
          <w:p>
            <w:pPr>
              <w:pStyle w:val="Compact"/>
            </w:pPr>
            <w:r>
              <w:t xml:space="preserve">losses added up (11)</w:t>
            </w:r>
          </w:p>
        </w:tc>
      </w:tr>
    </w:tbl>
    <w:bookmarkEnd w:id="19"/>
    <w:bookmarkStart w:id="20" w:name="reference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Reference</w:t>
      </w:r>
    </w:p>
    <w:p>
      <w:pPr>
        <w:pStyle w:val="FirstParagraph"/>
      </w:pPr>
      <w:r>
        <w:t xml:space="preserve">Hambsch, B., Lipp, P., Ho, J. (2019): Modelhafte Prüfung und Konzeptentwicklung zur</w:t>
      </w:r>
      <w:r>
        <w:t xml:space="preserve"> </w:t>
      </w:r>
      <w:r>
        <w:t xml:space="preserve">quantitativen Risikobewertung der mikrobiellen Rohwasserbelastung für die</w:t>
      </w:r>
      <w:r>
        <w:t xml:space="preserve"> </w:t>
      </w:r>
      <w:r>
        <w:t xml:space="preserve">Trinkwasseraufbereitung (Abschlussbericht). DVGW-Förderkennzeichen W 201808.</w:t>
      </w:r>
      <w:r>
        <w:t xml:space="preserve"> </w:t>
      </w:r>
      <w:r>
        <w:t xml:space="preserve">Technologiezentrum Wasser, Karlsruhe.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Annex: algorithm of the treatment failure approach</dc:title>
  <dc:creator/>
  <cp:keywords/>
  <dcterms:created xsi:type="dcterms:W3CDTF">2026-10-17T14:49:11Z</dcterms:created>
  <dcterms:modified xsi:type="dcterms:W3CDTF">2026-10-17T14:49:11Z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Annex text for the report (draft, 2026-10-17)</vt:lpwstr>
  </property>
</Properties>
</file>