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Treatment failure in the QMRA tool: approach and decisions</w:t>
      </w:r>
    </w:p>
    <w:p>
      <w:pPr>
        <w:pStyle w:val="Subtitle"/>
      </w:pPr>
      <w:r>
        <w:t xml:space="preserve">Text for the main part of the report (draft, 2026-10-17)</w:t>
      </w:r>
    </w:p>
    <w:bookmarkStart w:id="9" w:name="purpos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Purpose</w:t>
      </w:r>
    </w:p>
    <w:p>
      <w:pPr>
        <w:pStyle w:val="FirstParagraph"/>
      </w:pPr>
      <w:r>
        <w:t xml:space="preserve">A quantitative microbial risk assessment (QMRA) usually assumes that every treatment step</w:t>
      </w:r>
      <w:r>
        <w:t xml:space="preserve"> </w:t>
      </w:r>
      <w:r>
        <w:t xml:space="preserve">always reaches its log removal value (LRV). In practice, treatment steps sometimes fail: a</w:t>
      </w:r>
      <w:r>
        <w:t xml:space="preserve"> </w:t>
      </w:r>
      <w:r>
        <w:t xml:space="preserve">UV lamp breaks, a filter is bypassed, a dosing pump stops. Short failures can contribute a</w:t>
      </w:r>
      <w:r>
        <w:t xml:space="preserve"> </w:t>
      </w:r>
      <w:r>
        <w:t xml:space="preserve">large part of the annual infection risk, because a few days with poorly treated water can</w:t>
      </w:r>
      <w:r>
        <w:t xml:space="preserve"> </w:t>
      </w:r>
      <w:r>
        <w:t xml:space="preserve">outweigh many days of normal operation.</w:t>
      </w:r>
    </w:p>
    <w:p>
      <w:pPr>
        <w:pStyle w:val="BodyText"/>
      </w:pPr>
      <w:r>
        <w:t xml:space="preserve">The QMRA tool was therefore extended so that each treatment step can be given failure</w:t>
      </w:r>
      <w:r>
        <w:t xml:space="preserve"> </w:t>
      </w:r>
      <w:r>
        <w:t xml:space="preserve">events. This chapter explains the idea of the approach and the reasons behind its main</w:t>
      </w:r>
      <w:r>
        <w:t xml:space="preserve"> </w:t>
      </w:r>
      <w:r>
        <w:t xml:space="preserve">decisions. The equations and the full algorithm are given in the annex. The approach builds</w:t>
      </w:r>
      <w:r>
        <w:t xml:space="preserve"> </w:t>
      </w:r>
      <w:r>
        <w:t xml:space="preserve">on the failure approach of Hambsch et al. (2019) and departs from it in the points</w:t>
      </w:r>
      <w:r>
        <w:t xml:space="preserve"> </w:t>
      </w:r>
      <w:r>
        <w:t xml:space="preserve">explained below.</w:t>
      </w:r>
    </w:p>
    <w:bookmarkEnd w:id="9"/>
    <w:bookmarkStart w:id="10" w:name="Xa77940e262e4ef199e425f5d74d6247ecaa3587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Starting point: the QMRA tool without failures</w:t>
      </w:r>
    </w:p>
    <w:p>
      <w:pPr>
        <w:pStyle w:val="FirstParagraph"/>
      </w:pPr>
      <w:r>
        <w:t xml:space="preserve">The tool estimates the annual probability of infection and the disease burden (DALYs) for</w:t>
      </w:r>
      <w:r>
        <w:t xml:space="preserve"> </w:t>
      </w:r>
      <w:r>
        <w:t xml:space="preserve">three reference pathogens (Rotavirus,</w:t>
      </w:r>
      <w:r>
        <w:t xml:space="preserve"> </w:t>
      </w:r>
      <w:r>
        <w:rPr>
          <w:i/>
          <w:iCs/>
        </w:rPr>
        <w:t xml:space="preserve">Campylobacter jejuni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Cryptosporidium parvum</w:t>
      </w:r>
      <w:r>
        <w:t xml:space="preserve">).</w:t>
      </w:r>
      <w:r>
        <w:t xml:space="preserve"> </w:t>
      </w:r>
      <w:r>
        <w:t xml:space="preserve">It runs a Monte Carlo simulation: for each simulated year, it draws the pathogen</w:t>
      </w:r>
      <w:r>
        <w:t xml:space="preserve"> </w:t>
      </w:r>
      <w:r>
        <w:t xml:space="preserve">concentration in the source water for every exposure event of the year, reduces it by the</w:t>
      </w:r>
      <w:r>
        <w:t xml:space="preserve"> </w:t>
      </w:r>
      <w:r>
        <w:t xml:space="preserve">LRV of the treatment train, and turns the ingested dose into a probability of infection.</w:t>
      </w:r>
    </w:p>
    <w:p>
      <w:pPr>
        <w:pStyle w:val="BodyText"/>
      </w:pPr>
      <w:r>
        <w:t xml:space="preserve">The uncertainty about the treatment performance is expressed by two cases. Best-case uses</w:t>
      </w:r>
      <w:r>
        <w:t xml:space="preserve"> </w:t>
      </w:r>
      <w:r>
        <w:t xml:space="preserve">the maximum LRV of every treatment step, worst-case uses the minimum LRV. The range between</w:t>
      </w:r>
      <w:r>
        <w:t xml:space="preserve"> </w:t>
      </w:r>
      <w:r>
        <w:t xml:space="preserve">the two cases shows how much the result depends on the treatment performance.</w:t>
      </w:r>
    </w:p>
    <w:bookmarkEnd w:id="10"/>
    <w:bookmarkStart w:id="11" w:name="failure-input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Failure inputs</w:t>
      </w:r>
    </w:p>
    <w:p>
      <w:pPr>
        <w:pStyle w:val="FirstParagraph"/>
      </w:pPr>
      <w:r>
        <w:t xml:space="preserve">Each treatment step has three failure inputs. They apply to all pathogen groups of the</w:t>
      </w:r>
      <w:r>
        <w:t xml:space="preserve"> </w:t>
      </w:r>
      <w:r>
        <w:t xml:space="preserve">step.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frequency:</w:t>
      </w:r>
      <w:r>
        <w:t xml:space="preserve"> </w:t>
      </w:r>
      <w:r>
        <w:t xml:space="preserve">the expected number of failure days per year (0 to 365). With the</w:t>
      </w:r>
      <w:r>
        <w:t xml:space="preserve"> </w:t>
      </w:r>
      <w:r>
        <w:t xml:space="preserve">default of 0, the step never fails.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duration:</w:t>
      </w:r>
      <w:r>
        <w:t xml:space="preserve"> </w:t>
      </w:r>
      <w:r>
        <w:t xml:space="preserve">the average length of one failure event in minutes (1 to 1,440,</w:t>
      </w:r>
      <w:r>
        <w:t xml:space="preserve"> </w:t>
      </w:r>
      <w:r>
        <w:t xml:space="preserve">default 30).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Number of parallel units:</w:t>
      </w:r>
      <w:r>
        <w:t xml:space="preserve"> </w:t>
      </w:r>
      <w:r>
        <w:t xml:space="preserve">how many equal units share the water of the step (a whole</w:t>
      </w:r>
      <w:r>
        <w:t xml:space="preserve"> </w:t>
      </w:r>
      <w:r>
        <w:t xml:space="preserve">number of 1 or more, default 1).</w:t>
      </w:r>
    </w:p>
    <w:p>
      <w:pPr>
        <w:pStyle w:val="FirstParagraph"/>
      </w:pPr>
      <w:r>
        <w:t xml:space="preserve">The inputs were chosen because operators know them or can estimate them from their</w:t>
      </w:r>
      <w:r>
        <w:t xml:space="preserve"> </w:t>
      </w:r>
      <w:r>
        <w:t xml:space="preserve">operating records: on how many days a year something goes wrong, for how long, and how the</w:t>
      </w:r>
      <w:r>
        <w:t xml:space="preserve"> </w:t>
      </w:r>
      <w:r>
        <w:t xml:space="preserve">step is built.</w:t>
      </w:r>
    </w:p>
    <w:bookmarkEnd w:id="11"/>
    <w:bookmarkStart w:id="18" w:name="main-ideas-and-the-reasons-for-them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Main ideas and the reasons for them</w:t>
      </w:r>
    </w:p>
    <w:bookmarkStart w:id="12" w:name="X260724ac693d151468a4ab6fb65807b9608ab7f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Failure days are drawn at random for each exposure event</w:t>
      </w:r>
    </w:p>
    <w:p>
      <w:pPr>
        <w:pStyle w:val="FirstParagraph"/>
      </w:pPr>
      <w:r>
        <w:t xml:space="preserve">The tool builds the annual risk from exposure events, not from calendar days. For drinking</w:t>
      </w:r>
      <w:r>
        <w:t xml:space="preserve"> </w:t>
      </w:r>
      <w:r>
        <w:t xml:space="preserve">water there is one exposure event per day, but for other uses there are far fewer, for</w:t>
      </w:r>
      <w:r>
        <w:t xml:space="preserve"> </w:t>
      </w:r>
      <w:r>
        <w:t xml:space="preserve">example 20 irrigation events per year. For each exposure event, the tool therefore draws at</w:t>
      </w:r>
      <w:r>
        <w:t xml:space="preserve"> </w:t>
      </w:r>
      <w:r>
        <w:t xml:space="preserve">random whether it falls on a failure day of a treatment step, with a probability that</w:t>
      </w:r>
      <w:r>
        <w:t xml:space="preserve"> </w:t>
      </w:r>
      <w:r>
        <w:t xml:space="preserve">follows from the failure frequency. Each treatment step is drawn independently.</w:t>
      </w:r>
    </w:p>
    <w:p>
      <w:pPr>
        <w:pStyle w:val="BodyText"/>
      </w:pPr>
      <w:r>
        <w:rPr>
          <w:i/>
          <w:iCs/>
        </w:rPr>
        <w:t xml:space="preserve">Why:</w:t>
      </w:r>
      <w:r>
        <w:t xml:space="preserve"> </w:t>
      </w:r>
      <w:r>
        <w:t xml:space="preserve">the source method counts 365 days per year. That only fits exposures with one event</w:t>
      </w:r>
      <w:r>
        <w:t xml:space="preserve"> </w:t>
      </w:r>
      <w:r>
        <w:t xml:space="preserve">per day. Drawing per exposure event works for every exposure, uses one calculation for one</w:t>
      </w:r>
      <w:r>
        <w:t xml:space="preserve"> </w:t>
      </w:r>
      <w:r>
        <w:t xml:space="preserve">or several failing steps, and fits the existing simulation. As a consequence, the number of</w:t>
      </w:r>
      <w:r>
        <w:t xml:space="preserve"> </w:t>
      </w:r>
      <w:r>
        <w:t xml:space="preserve">failure events varies between simulated years, as it does in reality. This widens the range</w:t>
      </w:r>
      <w:r>
        <w:t xml:space="preserve"> </w:t>
      </w:r>
      <w:r>
        <w:t xml:space="preserve">of annual risks.</w:t>
      </w:r>
    </w:p>
    <w:bookmarkEnd w:id="12"/>
    <w:bookmarkStart w:id="13" w:name="X9b33586d9627325e56e35dc6b515f0b0e4e1aef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A failure event stops one of the parallel units</w:t>
      </w:r>
    </w:p>
    <w:p>
      <w:pPr>
        <w:pStyle w:val="FirstParagraph"/>
      </w:pPr>
      <w:r>
        <w:t xml:space="preserve">Many treatment steps consist of several parallel units, for example several UV reactors or</w:t>
      </w:r>
      <w:r>
        <w:t xml:space="preserve"> </w:t>
      </w:r>
      <w:r>
        <w:t xml:space="preserve">filters. A failure event is assumed to stop one of these units while the others keep</w:t>
      </w:r>
      <w:r>
        <w:t xml:space="preserve"> </w:t>
      </w:r>
      <w:r>
        <w:t xml:space="preserve">working. The water of the stopped unit passes untreated, the rest is treated as usual. A</w:t>
      </w:r>
      <w:r>
        <w:t xml:space="preserve"> </w:t>
      </w:r>
      <w:r>
        <w:t xml:space="preserve">step with one unit therefore loses its whole LRV during a failure. A step with two units</w:t>
      </w:r>
      <w:r>
        <w:t xml:space="preserve"> </w:t>
      </w:r>
      <w:r>
        <w:t xml:space="preserve">keeps a small LRV, because only half of the water is untreated.</w:t>
      </w:r>
    </w:p>
    <w:p>
      <w:pPr>
        <w:pStyle w:val="BodyText"/>
      </w:pPr>
      <w:r>
        <w:rPr>
          <w:i/>
          <w:iCs/>
        </w:rPr>
        <w:t xml:space="preserve">Why:</w:t>
      </w:r>
      <w:r>
        <w:t xml:space="preserve"> </w:t>
      </w:r>
      <w:r>
        <w:t xml:space="preserve">in most cases a treatment step does not lose all its removal during a failure. A</w:t>
      </w:r>
      <w:r>
        <w:t xml:space="preserve"> </w:t>
      </w:r>
      <w:r>
        <w:t xml:space="preserve">first idea, one reduction percentage for all pathogen groups, was dropped, because the same</w:t>
      </w:r>
      <w:r>
        <w:t xml:space="preserve"> </w:t>
      </w:r>
      <w:r>
        <w:t xml:space="preserve">percentage for viruses, bacteria and protozoa has no physical meaning. The number of</w:t>
      </w:r>
      <w:r>
        <w:t xml:space="preserve"> </w:t>
      </w:r>
      <w:r>
        <w:t xml:space="preserve">parallel units describes how the step is built, and the remaining LRV follows from it for</w:t>
      </w:r>
      <w:r>
        <w:t xml:space="preserve"> </w:t>
      </w:r>
      <w:r>
        <w:t xml:space="preserve">each pathogen group.</w:t>
      </w:r>
    </w:p>
    <w:p>
      <w:pPr>
        <w:pStyle w:val="BodyText"/>
      </w:pPr>
      <w:r>
        <w:t xml:space="preserve">An important property follows from this: the untreated share limits what the step can</w:t>
      </w:r>
      <w:r>
        <w:t xml:space="preserve"> </w:t>
      </w:r>
      <w:r>
        <w:t xml:space="preserve">achieve during a failure. A step with two units keeps at most about 0.3 log, however high</w:t>
      </w:r>
      <w:r>
        <w:t xml:space="preserve"> </w:t>
      </w:r>
      <w:r>
        <w:t xml:space="preserve">its normal LRV is, and a step with ten units at most 1 log. Parallel units therefore help,</w:t>
      </w:r>
      <w:r>
        <w:t xml:space="preserve"> </w:t>
      </w:r>
      <w:r>
        <w:t xml:space="preserve">but they do not replace a working barrier.</w:t>
      </w:r>
    </w:p>
    <w:bookmarkEnd w:id="13"/>
    <w:bookmarkStart w:id="14" w:name="Xf0a8e4ef775314bd46719d4d968a4e23b9f779a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The failure duration counts in both cases</w:t>
      </w:r>
    </w:p>
    <w:p>
      <w:pPr>
        <w:pStyle w:val="FirstParagraph"/>
      </w:pPr>
      <w:r>
        <w:t xml:space="preserve">The water used on a failure day is assumed to be a mixture of water treated during the</w:t>
      </w:r>
      <w:r>
        <w:t xml:space="preserve"> </w:t>
      </w:r>
      <w:r>
        <w:t xml:space="preserve">failure and water treated in normal operation, in proportion to the failure duration (the</w:t>
      </w:r>
      <w:r>
        <w:t xml:space="preserve"> </w:t>
      </w:r>
      <w:r>
        <w:t xml:space="preserve">mixed-water assumption). A failure of 4 hours, for example, affects one sixth of the water</w:t>
      </w:r>
      <w:r>
        <w:t xml:space="preserve"> </w:t>
      </w:r>
      <w:r>
        <w:t xml:space="preserve">of that day. For each failing step, this gives a daily LRV that lies between its LRV during</w:t>
      </w:r>
      <w:r>
        <w:t xml:space="preserve"> </w:t>
      </w:r>
      <w:r>
        <w:t xml:space="preserve">the failure and its normal LRV.</w:t>
      </w:r>
    </w:p>
    <w:p>
      <w:pPr>
        <w:pStyle w:val="BodyText"/>
      </w:pPr>
      <w:r>
        <w:t xml:space="preserve">Best-case and worst-case use the same rule. They differ only in the LRV a step starts from,</w:t>
      </w:r>
      <w:r>
        <w:t xml:space="preserve"> </w:t>
      </w:r>
      <w:r>
        <w:t xml:space="preserve">its maximum or minimum LRV, as in normal operation.</w:t>
      </w:r>
    </w:p>
    <w:p>
      <w:pPr>
        <w:pStyle w:val="BodyText"/>
      </w:pPr>
      <w:r>
        <w:rPr>
          <w:i/>
          <w:iCs/>
        </w:rPr>
        <w:t xml:space="preserve">Why:</w:t>
      </w:r>
      <w:r>
        <w:t xml:space="preserve"> </w:t>
      </w:r>
      <w:r>
        <w:t xml:space="preserve">an earlier version assumed in worst-case that all water used on a failure day had</w:t>
      </w:r>
      <w:r>
        <w:t xml:space="preserve"> </w:t>
      </w:r>
      <w:r>
        <w:t xml:space="preserve">been treated during the failure, so the duration had no effect in worst-case. Consistently,</w:t>
      </w:r>
      <w:r>
        <w:t xml:space="preserve"> </w:t>
      </w:r>
      <w:r>
        <w:t xml:space="preserve">best-case would then have to assume that the water was never treated during the failure,</w:t>
      </w:r>
      <w:r>
        <w:t xml:space="preserve"> </w:t>
      </w:r>
      <w:r>
        <w:t xml:space="preserve">and neither case would depend on the duration. That is not plausible. The duration is</w:t>
      </w:r>
      <w:r>
        <w:t xml:space="preserve"> </w:t>
      </w:r>
      <w:r>
        <w:t xml:space="preserve">better read as the probability that water used on a failure day was treated during the</w:t>
      </w:r>
      <w:r>
        <w:t xml:space="preserve"> </w:t>
      </w:r>
      <w:r>
        <w:t xml:space="preserve">failure: the longer the failure, the more likely this is. Using the same rule in both cases</w:t>
      </w:r>
      <w:r>
        <w:t xml:space="preserve"> </w:t>
      </w:r>
      <w:r>
        <w:t xml:space="preserve">keeps the range between best-case and worst-case a measure of the treatment performance</w:t>
      </w:r>
      <w:r>
        <w:t xml:space="preserve"> </w:t>
      </w:r>
      <w:r>
        <w:t xml:space="preserve">only.</w:t>
      </w:r>
    </w:p>
    <w:bookmarkEnd w:id="14"/>
    <w:bookmarkStart w:id="15" w:name="X842af94cc916be1c3eb42b0883315d5799393f0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Water is mixed by concentration, not by LRV</w:t>
      </w:r>
    </w:p>
    <w:p>
      <w:pPr>
        <w:pStyle w:val="FirstParagraph"/>
      </w:pPr>
      <w:r>
        <w:t xml:space="preserve">The daily LRV is calculated from the mixed pathogen concentrations, not as an average of</w:t>
      </w:r>
      <w:r>
        <w:t xml:space="preserve"> </w:t>
      </w:r>
      <w:r>
        <w:t xml:space="preserve">the LRVs over the day.</w:t>
      </w:r>
    </w:p>
    <w:p>
      <w:pPr>
        <w:pStyle w:val="BodyText"/>
      </w:pPr>
      <w:r>
        <w:rPr>
          <w:i/>
          <w:iCs/>
        </w:rPr>
        <w:t xml:space="preserve">Why:</w:t>
      </w:r>
      <w:r>
        <w:t xml:space="preserve"> </w:t>
      </w:r>
      <w:r>
        <w:t xml:space="preserve">LRVs are logarithms. A small share of untreated water dominates the mixture, so an</w:t>
      </w:r>
      <w:r>
        <w:t xml:space="preserve"> </w:t>
      </w:r>
      <w:r>
        <w:t xml:space="preserve">average of the LRVs is far too optimistic. In the example below, it would give a failing UV</w:t>
      </w:r>
      <w:r>
        <w:t xml:space="preserve"> </w:t>
      </w:r>
      <w:r>
        <w:t xml:space="preserve">disinfection a daily LRV of 2.5 instead of 0.78.</w:t>
      </w:r>
    </w:p>
    <w:bookmarkEnd w:id="15"/>
    <w:bookmarkStart w:id="16" w:name="X735794d6ad310c230f5ebfe0e01e26a03bfaf82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Combined failures add up without further rules</w:t>
      </w:r>
    </w:p>
    <w:p>
      <w:pPr>
        <w:pStyle w:val="FirstParagraph"/>
      </w:pPr>
      <w:r>
        <w:t xml:space="preserve">If several treatment steps fail on the same day, each failing step gets its own daily LRV,</w:t>
      </w:r>
      <w:r>
        <w:t xml:space="preserve"> </w:t>
      </w:r>
      <w:r>
        <w:t xml:space="preserve">and the daily LRVs of all steps are added up. This is the same as if each failure happened</w:t>
      </w:r>
      <w:r>
        <w:t xml:space="preserve"> </w:t>
      </w:r>
      <w:r>
        <w:t xml:space="preserve">at a random time of the day, independently of the other steps.</w:t>
      </w:r>
    </w:p>
    <w:p>
      <w:pPr>
        <w:pStyle w:val="BodyText"/>
      </w:pPr>
      <w:r>
        <w:rPr>
          <w:i/>
          <w:iCs/>
        </w:rPr>
        <w:t xml:space="preserve">Why:</w:t>
      </w:r>
      <w:r>
        <w:t xml:space="preserve"> </w:t>
      </w:r>
      <w:r>
        <w:t xml:space="preserve">the alternative, arranging failures within the day so that they overlap as little or</w:t>
      </w:r>
      <w:r>
        <w:t xml:space="preserve"> </w:t>
      </w:r>
      <w:r>
        <w:t xml:space="preserve">as much as possible, would need extra rules, for example for failures that add up to more</w:t>
      </w:r>
      <w:r>
        <w:t xml:space="preserve"> </w:t>
      </w:r>
      <w:r>
        <w:t xml:space="preserve">than one day. Treating the failures as independent avoids these rules and gives results</w:t>
      </w:r>
      <w:r>
        <w:t xml:space="preserve"> </w:t>
      </w:r>
      <w:r>
        <w:t xml:space="preserve">between the two extremes.</w:t>
      </w:r>
    </w:p>
    <w:bookmarkEnd w:id="16"/>
    <w:bookmarkStart w:id="17" w:name="only-positive-lrvs-are-affected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Only positive LRVs are affected</w:t>
      </w:r>
    </w:p>
    <w:p>
      <w:pPr>
        <w:pStyle w:val="FirstParagraph"/>
      </w:pPr>
      <w:r>
        <w:t xml:space="preserve">A failure removes only the positive LRVs of a step. An LRV of 0 or below, which can be used</w:t>
      </w:r>
      <w:r>
        <w:t xml:space="preserve"> </w:t>
      </w:r>
      <w:r>
        <w:t xml:space="preserve">to describe recontamination, stays unchanged.</w:t>
      </w:r>
    </w:p>
    <w:bookmarkEnd w:id="17"/>
    <w:bookmarkEnd w:id="18"/>
    <w:bookmarkStart w:id="19" w:name="assumptions-and-limitation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Assumptions and limitations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Independent failures.</w:t>
      </w:r>
      <w:r>
        <w:t xml:space="preserve"> </w:t>
      </w:r>
      <w:r>
        <w:t xml:space="preserve">Failure days of different treatment steps are independent.</w:t>
      </w:r>
      <w:r>
        <w:t xml:space="preserve"> </w:t>
      </w:r>
      <w:r>
        <w:t xml:space="preserve">Common causes, such as a power failure that stops several steps, are not modelled.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Units failing together.</w:t>
      </w:r>
      <w:r>
        <w:t xml:space="preserve"> </w:t>
      </w:r>
      <w:r>
        <w:t xml:space="preserve">Parallel units that fail together, for example through a</w:t>
      </w:r>
      <w:r>
        <w:t xml:space="preserve"> </w:t>
      </w:r>
      <w:r>
        <w:t xml:space="preserve">shared power supply, are not modelled. Such a step should be entered with one unit.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Average concentration over the day.</w:t>
      </w:r>
      <w:r>
        <w:t xml:space="preserve"> </w:t>
      </w:r>
      <w:r>
        <w:t xml:space="preserve">The daily LRV uses the average concentration of</w:t>
      </w:r>
      <w:r>
        <w:t xml:space="preserve"> </w:t>
      </w:r>
      <w:r>
        <w:t xml:space="preserve">the water used on a failure day. This is slightly more conservative than drawing for</w:t>
      </w:r>
      <w:r>
        <w:t xml:space="preserve"> </w:t>
      </w:r>
      <w:r>
        <w:t xml:space="preserve">each exposure event whether it falls inside the failure.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Default duration.</w:t>
      </w:r>
      <w:r>
        <w:t xml:space="preserve"> </w:t>
      </w:r>
      <w:r>
        <w:t xml:space="preserve">With the default failure duration of 30 minutes, worst-case results</w:t>
      </w:r>
      <w:r>
        <w:t xml:space="preserve"> </w:t>
      </w:r>
      <w:r>
        <w:t xml:space="preserve">are much less conservative than with a full loss for the whole day. The failure duration</w:t>
      </w:r>
      <w:r>
        <w:t xml:space="preserve"> </w:t>
      </w:r>
      <w:r>
        <w:t xml:space="preserve">should therefore be set from operating experience.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Draft.</w:t>
      </w:r>
      <w:r>
        <w:t xml:space="preserve"> </w:t>
      </w:r>
      <w:r>
        <w:t xml:space="preserve">The approach and this text are to be reviewed by a domain expert before the</w:t>
      </w:r>
      <w:r>
        <w:t xml:space="preserve"> </w:t>
      </w:r>
      <w:r>
        <w:t xml:space="preserve">release of the tool.</w:t>
      </w:r>
    </w:p>
    <w:bookmarkEnd w:id="19"/>
    <w:bookmarkStart w:id="20" w:name="exampl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Example</w:t>
      </w:r>
    </w:p>
    <w:p>
      <w:pPr>
        <w:pStyle w:val="FirstParagraph"/>
      </w:pPr>
      <w:r>
        <w:t xml:space="preserve">The example shows the effect of a failing UV disinfection on the infection risk from</w:t>
      </w:r>
      <w:r>
        <w:t xml:space="preserve"> </w:t>
      </w:r>
      <w:r>
        <w:rPr>
          <w:i/>
          <w:iCs/>
        </w:rPr>
        <w:t xml:space="preserve">Cryptosporidium parvum</w:t>
      </w:r>
      <w:r>
        <w:t xml:space="preserve"> </w:t>
      </w:r>
      <w:r>
        <w:t xml:space="preserve">in drinking water (365 exposure events per year, 1 L per event).</w:t>
      </w:r>
      <w:r>
        <w:t xml:space="preserve"> </w:t>
      </w:r>
      <w:r>
        <w:t xml:space="preserve">The source water contains 0.1 to 10 oocysts per litre. The treatment train has two steps:</w:t>
      </w:r>
      <w:r>
        <w:t xml:space="preserve"> </w:t>
      </w:r>
      <w:r>
        <w:t xml:space="preserve">a filtration with a protozoa LRV of 2 to 3 and a UV disinfection with a protozoa LRV of 2.5</w:t>
      </w:r>
      <w:r>
        <w:t xml:space="preserve"> </w:t>
      </w:r>
      <w:r>
        <w:t xml:space="preserve">to 3. The values are illustrative and are not the default values of the tool. Only the UV</w:t>
      </w:r>
      <w:r>
        <w:t xml:space="preserve"> </w:t>
      </w:r>
      <w:r>
        <w:t xml:space="preserve">disinfection fails, on 10 days per year. The results were calculated with the tool.</w:t>
      </w:r>
    </w:p>
    <w:p>
      <w:pPr>
        <w:pStyle w:val="TableCaption"/>
      </w:pPr>
      <w:r>
        <w:t xml:space="preserve">Median annual probability of infection with</w:t>
      </w:r>
      <w:r>
        <w:t xml:space="preserve"> </w:t>
      </w:r>
      <w:r>
        <w:rPr>
          <w:i/>
          <w:iCs/>
        </w:rPr>
        <w:t xml:space="preserve">Cryptosporidium parvum</w:t>
      </w:r>
      <w:r>
        <w:t xml:space="preserve">. The tolerable risk</w:t>
      </w:r>
      <w:r>
        <w:t xml:space="preserve"> </w:t>
      </w:r>
      <w:r>
        <w:t xml:space="preserve">level is 10</w:t>
      </w:r>
      <w:r>
        <w:rPr>
          <w:vertAlign w:val="superscript"/>
        </w:rPr>
        <w:t xml:space="preserve">-4</w:t>
      </w:r>
      <w:r>
        <w:t xml:space="preserve"> </w:t>
      </w:r>
      <w:r>
        <w:t xml:space="preserve">infections per person per year.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dian annual probability of infection with Cryptosporidium parvum. The tolerable risk level is 10-4 infections per person per yea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UV failure (10 days per year)</w:t>
            </w:r>
          </w:p>
        </w:tc>
        <w:tc>
          <w:tcPr/>
          <w:p>
            <w:pPr>
              <w:pStyle w:val="Compact"/>
            </w:pPr>
            <w:r>
              <w:t xml:space="preserve">Best-case</w:t>
            </w:r>
          </w:p>
        </w:tc>
        <w:tc>
          <w:tcPr/>
          <w:p>
            <w:pPr>
              <w:pStyle w:val="Compact"/>
            </w:pPr>
            <w:r>
              <w:t xml:space="preserve">Worst-case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failures</w:t>
            </w:r>
          </w:p>
        </w:tc>
        <w:tc>
          <w:tcPr/>
          <w:p>
            <w:pPr>
              <w:pStyle w:val="Compact"/>
            </w:pPr>
            <w:r>
              <w:t xml:space="preserve">4.0 × 10</w:t>
            </w:r>
            <w:r>
              <w:rPr>
                <w:vertAlign w:val="superscript"/>
              </w:rP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1.3 × 10</w:t>
            </w:r>
            <w:r>
              <w:rPr>
                <w:vertAlign w:val="superscript"/>
              </w:rPr>
              <w:t xml:space="preserve">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minutes, 1 unit</w:t>
            </w:r>
          </w:p>
        </w:tc>
        <w:tc>
          <w:tcPr/>
          <w:p>
            <w:pPr>
              <w:pStyle w:val="Compact"/>
            </w:pPr>
            <w:r>
              <w:t xml:space="preserve">8.1 × 10</w:t>
            </w:r>
            <w:r>
              <w:rPr>
                <w:vertAlign w:val="superscript"/>
              </w:rP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1.7 × 10</w:t>
            </w:r>
            <w:r>
              <w:rPr>
                <w:vertAlign w:val="superscript"/>
              </w:rPr>
              <w:t xml:space="preserve">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minutes, 2 units</w:t>
            </w:r>
          </w:p>
        </w:tc>
        <w:tc>
          <w:tcPr/>
          <w:p>
            <w:pPr>
              <w:pStyle w:val="Compact"/>
            </w:pPr>
            <w:r>
              <w:t xml:space="preserve">6.1 × 10</w:t>
            </w:r>
            <w:r>
              <w:rPr>
                <w:vertAlign w:val="superscript"/>
              </w:rP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1.5 × 10</w:t>
            </w:r>
            <w:r>
              <w:rPr>
                <w:vertAlign w:val="superscript"/>
              </w:rPr>
              <w:t xml:space="preserve">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hours, 1 unit</w:t>
            </w:r>
          </w:p>
        </w:tc>
        <w:tc>
          <w:tcPr/>
          <w:p>
            <w:pPr>
              <w:pStyle w:val="Compact"/>
            </w:pPr>
            <w:r>
              <w:t xml:space="preserve">2.0 × 10</w:t>
            </w:r>
            <w:r>
              <w:rPr>
                <w:vertAlign w:val="superscript"/>
              </w:rPr>
              <w:t xml:space="preserve">-4</w:t>
            </w:r>
          </w:p>
        </w:tc>
        <w:tc>
          <w:tcPr/>
          <w:p>
            <w:pPr>
              <w:pStyle w:val="Compact"/>
            </w:pPr>
            <w:r>
              <w:t xml:space="preserve">2.9 × 10</w:t>
            </w:r>
            <w:r>
              <w:rPr>
                <w:vertAlign w:val="superscript"/>
              </w:rPr>
              <w:t xml:space="preserve">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hours, 2 units</w:t>
            </w:r>
          </w:p>
        </w:tc>
        <w:tc>
          <w:tcPr/>
          <w:p>
            <w:pPr>
              <w:pStyle w:val="Compact"/>
            </w:pPr>
            <w:r>
              <w:t xml:space="preserve">1.2 × 10</w:t>
            </w:r>
            <w:r>
              <w:rPr>
                <w:vertAlign w:val="superscript"/>
              </w:rPr>
              <w:t xml:space="preserve">-4</w:t>
            </w:r>
          </w:p>
        </w:tc>
        <w:tc>
          <w:tcPr/>
          <w:p>
            <w:pPr>
              <w:pStyle w:val="Compact"/>
            </w:pPr>
            <w:r>
              <w:t xml:space="preserve">2.1 × 10</w:t>
            </w:r>
            <w:r>
              <w:rPr>
                <w:vertAlign w:val="superscript"/>
              </w:rPr>
              <w:t xml:space="preserve">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hours, 1 unit</w:t>
            </w:r>
          </w:p>
        </w:tc>
        <w:tc>
          <w:tcPr/>
          <w:p>
            <w:pPr>
              <w:pStyle w:val="Compact"/>
            </w:pPr>
            <w:r>
              <w:t xml:space="preserve">1.0 × 10</w:t>
            </w:r>
            <w:r>
              <w:rPr>
                <w:vertAlign w:val="superscript"/>
              </w:rPr>
              <w:t xml:space="preserve">-3</w:t>
            </w:r>
          </w:p>
        </w:tc>
        <w:tc>
          <w:tcPr/>
          <w:p>
            <w:pPr>
              <w:pStyle w:val="Compact"/>
            </w:pPr>
            <w:r>
              <w:t xml:space="preserve">1.1 × 10</w:t>
            </w:r>
            <w:r>
              <w:rPr>
                <w:vertAlign w:val="superscript"/>
              </w:rPr>
              <w:t xml:space="preserve">-2</w:t>
            </w:r>
          </w:p>
        </w:tc>
      </w:tr>
    </w:tbl>
    <w:p>
      <w:pPr>
        <w:pStyle w:val="BodyText"/>
      </w:pPr>
      <w:r>
        <w:t xml:space="preserve">Without failures, best-case lies below the tolerable risk level of 10</w:t>
      </w:r>
      <w:r>
        <w:rPr>
          <w:vertAlign w:val="superscript"/>
        </w:rPr>
        <w:t xml:space="preserve">-4</w:t>
      </w:r>
      <w:r>
        <w:t xml:space="preserve"> </w:t>
      </w:r>
      <w:r>
        <w:t xml:space="preserve">per year. Ten</w:t>
      </w:r>
      <w:r>
        <w:t xml:space="preserve"> </w:t>
      </w:r>
      <w:r>
        <w:t xml:space="preserve">failure days of one hour double the best-case risk. With failures of four hours, best-case</w:t>
      </w:r>
      <w:r>
        <w:t xml:space="preserve"> </w:t>
      </w:r>
      <w:r>
        <w:t xml:space="preserve">exceeds the tolerable risk level by a factor of two; a second UV unit reduces this to just</w:t>
      </w:r>
      <w:r>
        <w:t xml:space="preserve"> </w:t>
      </w:r>
      <w:r>
        <w:t xml:space="preserve">above the level. A failure of a whole day on ten days per year raises the best-case risk</w:t>
      </w:r>
      <w:r>
        <w:t xml:space="preserve"> </w:t>
      </w:r>
      <w:r>
        <w:t xml:space="preserve">about 25-fold. Worst-case already exceeds the tolerable risk level without failures, and</w:t>
      </w:r>
      <w:r>
        <w:t xml:space="preserve"> </w:t>
      </w:r>
      <w:r>
        <w:t xml:space="preserve">failures raise it further.</w:t>
      </w:r>
    </w:p>
    <w:p>
      <w:pPr>
        <w:pStyle w:val="BodyText"/>
      </w:pPr>
      <w:r>
        <w:t xml:space="preserve">The example also shows why the water is mixed by concentration. On a failure day with a</w:t>
      </w:r>
      <w:r>
        <w:t xml:space="preserve"> </w:t>
      </w:r>
      <w:r>
        <w:t xml:space="preserve">4-hour failure, the UV disinfection (LRV 3, one unit) reaches a daily LRV of 0.78. An</w:t>
      </w:r>
      <w:r>
        <w:t xml:space="preserve"> </w:t>
      </w:r>
      <w:r>
        <w:t xml:space="preserve">average of the LRVs over the day would give 2.5, which would hide most of the effect of the</w:t>
      </w:r>
      <w:r>
        <w:t xml:space="preserve"> </w:t>
      </w:r>
      <w:r>
        <w:t xml:space="preserve">failure.</w:t>
      </w:r>
    </w:p>
    <w:bookmarkEnd w:id="20"/>
    <w:bookmarkStart w:id="21" w:name="differences-from-the-source-method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Differences from the source method</w:t>
      </w:r>
    </w:p>
    <w:p>
      <w:pPr>
        <w:pStyle w:val="FirstParagraph"/>
      </w:pPr>
      <w:r>
        <w:t xml:space="preserve">The approach follows Hambsch et al. (2019) in its main idea: failure days with a reduced</w:t>
      </w:r>
      <w:r>
        <w:t xml:space="preserve"> </w:t>
      </w:r>
      <w:r>
        <w:t xml:space="preserve">LRV, and the mixed-water assumption with the failure duration. It departs from it in three</w:t>
      </w:r>
      <w:r>
        <w:t xml:space="preserve"> </w:t>
      </w:r>
      <w:r>
        <w:t xml:space="preserve">points:</w:t>
      </w:r>
    </w:p>
    <w:p>
      <w:pPr>
        <w:pStyle w:val="Compact"/>
        <w:numPr>
          <w:ilvl w:val="0"/>
          <w:numId w:val="1003"/>
        </w:numPr>
      </w:pPr>
      <w:r>
        <w:t xml:space="preserve">Failure days are drawn per exposure event instead of counting 365 days per year.</w:t>
      </w:r>
    </w:p>
    <w:p>
      <w:pPr>
        <w:pStyle w:val="Compact"/>
        <w:numPr>
          <w:ilvl w:val="0"/>
          <w:numId w:val="1003"/>
        </w:numPr>
      </w:pPr>
      <w:r>
        <w:t xml:space="preserve">Worst-case uses the failure duration in the same way as best-case. In the source,</w:t>
      </w:r>
      <w:r>
        <w:t xml:space="preserve"> </w:t>
      </w:r>
      <w:r>
        <w:t xml:space="preserve">worst-case removes the LRV of the failing step for the whole day.</w:t>
      </w:r>
    </w:p>
    <w:p>
      <w:pPr>
        <w:pStyle w:val="Compact"/>
        <w:numPr>
          <w:ilvl w:val="0"/>
          <w:numId w:val="1003"/>
        </w:numPr>
      </w:pPr>
      <w:r>
        <w:t xml:space="preserve">The number of parallel units is new: in the source, a failing step always loses its</w:t>
      </w:r>
      <w:r>
        <w:t xml:space="preserve"> </w:t>
      </w:r>
      <w:r>
        <w:t xml:space="preserve">whole LRV.</w:t>
      </w:r>
    </w:p>
    <w:bookmarkEnd w:id="21"/>
    <w:bookmarkStart w:id="22" w:name="referenc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Reference</w:t>
      </w:r>
    </w:p>
    <w:p>
      <w:pPr>
        <w:pStyle w:val="FirstParagraph"/>
      </w:pPr>
      <w:r>
        <w:t xml:space="preserve">Hambsch, B., Lipp, P., Ho, J. (2019): Modelhafte Prüfung und Konzeptentwicklung zur</w:t>
      </w:r>
      <w:r>
        <w:t xml:space="preserve"> </w:t>
      </w:r>
      <w:r>
        <w:t xml:space="preserve">quantitativen Risikobewertung der mikrobiellen Rohwasserbelastung für die</w:t>
      </w:r>
      <w:r>
        <w:t xml:space="preserve"> </w:t>
      </w:r>
      <w:r>
        <w:t xml:space="preserve">Trinkwasseraufbereitung (Abschlussbericht). DVGW-Förderkennzeichen W 201808.</w:t>
      </w:r>
      <w:r>
        <w:t xml:space="preserve"> </w:t>
      </w:r>
      <w:r>
        <w:t xml:space="preserve">Technologiezentrum Wasser, Karlsruhe.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Treatment failure in the QMRA tool: approach and decisions</dc:title>
  <dc:creator/>
  <cp:keywords/>
  <dcterms:created xsi:type="dcterms:W3CDTF">2026-10-17T14:49:10Z</dcterms:created>
  <dcterms:modified xsi:type="dcterms:W3CDTF">2026-10-17T14:49:10Z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Text for the main part of the report (draft, 2026-10-17)</vt:lpwstr>
  </property>
</Properties>
</file>