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0EAD7" w14:textId="083D1151" w:rsidR="00A337FE" w:rsidRPr="00E5550B" w:rsidRDefault="00A337FE" w:rsidP="00A337FE">
      <w:pPr>
        <w:pStyle w:val="berschrift1"/>
        <w:rPr>
          <w:lang w:val="en-US"/>
        </w:rPr>
      </w:pPr>
      <w:r w:rsidRPr="00E5550B">
        <w:rPr>
          <w:lang w:val="en-US"/>
        </w:rPr>
        <w:t xml:space="preserve">Integration </w:t>
      </w:r>
      <w:r w:rsidR="00E5550B" w:rsidRPr="00E5550B">
        <w:rPr>
          <w:lang w:val="en-US"/>
        </w:rPr>
        <w:t>of Failure Events into th</w:t>
      </w:r>
      <w:r w:rsidR="00E5550B">
        <w:rPr>
          <w:lang w:val="en-US"/>
        </w:rPr>
        <w:t>e QMRA Framework</w:t>
      </w:r>
    </w:p>
    <w:p w14:paraId="0D94D33C" w14:textId="33360B1E" w:rsidR="00A337FE" w:rsidRPr="00DE2212" w:rsidRDefault="00DE2212" w:rsidP="00A337FE">
      <w:pPr>
        <w:pStyle w:val="berschrift2"/>
        <w:rPr>
          <w:lang w:val="en-US"/>
        </w:rPr>
      </w:pPr>
      <w:r w:rsidRPr="00DE2212">
        <w:rPr>
          <w:lang w:val="en-US"/>
        </w:rPr>
        <w:t>Current Calculation of the inf</w:t>
      </w:r>
      <w:r>
        <w:rPr>
          <w:lang w:val="en-US"/>
        </w:rPr>
        <w:t>ection risk</w:t>
      </w:r>
    </w:p>
    <w:p w14:paraId="377274BD" w14:textId="616A6BD9" w:rsidR="00DE2212" w:rsidRPr="00DE2212" w:rsidRDefault="00DE2212" w:rsidP="00DE2212">
      <w:pPr>
        <w:rPr>
          <w:lang w:val="en-US"/>
        </w:rPr>
      </w:pPr>
      <w:r w:rsidRPr="00DE2212">
        <w:rPr>
          <w:lang w:val="en-US"/>
        </w:rPr>
        <w:t>All equations in this chapter are taken from Hambsch et al., 2019, p</w:t>
      </w:r>
      <w:r>
        <w:rPr>
          <w:lang w:val="en-US"/>
        </w:rPr>
        <w:t>p</w:t>
      </w:r>
      <w:r w:rsidRPr="00DE2212">
        <w:rPr>
          <w:lang w:val="en-US"/>
        </w:rPr>
        <w:t>. 61</w:t>
      </w:r>
      <w:r>
        <w:rPr>
          <w:lang w:val="en-US"/>
        </w:rPr>
        <w:t>.</w:t>
      </w:r>
    </w:p>
    <w:p w14:paraId="5E841D16" w14:textId="3CF553F2" w:rsidR="00A8446B" w:rsidRPr="00DE2212" w:rsidRDefault="00DE2212" w:rsidP="00DE2212">
      <w:pPr>
        <w:rPr>
          <w:lang w:val="en-US"/>
        </w:rPr>
      </w:pPr>
      <w:r w:rsidRPr="00DE2212">
        <w:rPr>
          <w:lang w:val="en-US"/>
        </w:rPr>
        <w:t>The annual risk of infection is described as the product of the daily risks of infection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A337FE" w14:paraId="6713BCE1" w14:textId="77777777" w:rsidTr="00A337FE">
        <w:tc>
          <w:tcPr>
            <w:tcW w:w="1271" w:type="dxa"/>
          </w:tcPr>
          <w:p w14:paraId="1037DCDD" w14:textId="04890611" w:rsidR="00A337FE" w:rsidRDefault="00DE2212">
            <w:r>
              <w:t>Eq</w:t>
            </w:r>
            <w:r w:rsidR="00A337FE">
              <w:t>. 1</w:t>
            </w:r>
          </w:p>
        </w:tc>
        <w:tc>
          <w:tcPr>
            <w:tcW w:w="7791" w:type="dxa"/>
          </w:tcPr>
          <w:p w14:paraId="041FE686" w14:textId="77777777" w:rsidR="00A337FE" w:rsidRPr="004E577D" w:rsidRDefault="008C0170">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inf-year</m:t>
                    </m:r>
                  </m:sub>
                </m:sSub>
                <m:r>
                  <w:rPr>
                    <w:rFonts w:ascii="Cambria Math" w:hAnsi="Cambria Math"/>
                  </w:rPr>
                  <m:t>=1-</m:t>
                </m:r>
                <m:nary>
                  <m:naryPr>
                    <m:chr m:val="∏"/>
                    <m:limLoc m:val="undOvr"/>
                    <m:ctrlPr>
                      <w:rPr>
                        <w:rFonts w:ascii="Cambria Math" w:hAnsi="Cambria Math"/>
                        <w:i/>
                      </w:rPr>
                    </m:ctrlPr>
                  </m:naryPr>
                  <m:sub>
                    <m:r>
                      <w:rPr>
                        <w:rFonts w:ascii="Cambria Math" w:hAnsi="Cambria Math"/>
                      </w:rPr>
                      <m:t>i=1</m:t>
                    </m:r>
                  </m:sub>
                  <m:sup>
                    <m:r>
                      <w:rPr>
                        <w:rFonts w:ascii="Cambria Math" w:hAnsi="Cambria Math"/>
                      </w:rPr>
                      <m:t>365</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inf-day,i</m:t>
                            </m:r>
                          </m:sub>
                        </m:sSub>
                      </m:e>
                    </m:d>
                  </m:e>
                </m:nary>
              </m:oMath>
            </m:oMathPara>
          </w:p>
          <w:p w14:paraId="4A20CAE0" w14:textId="78101743" w:rsidR="004E577D" w:rsidRDefault="004E577D"/>
        </w:tc>
      </w:tr>
      <w:tr w:rsidR="00A337FE" w:rsidRPr="00045FE3" w14:paraId="3B3BE98C" w14:textId="77777777" w:rsidTr="00A337FE">
        <w:tc>
          <w:tcPr>
            <w:tcW w:w="1271" w:type="dxa"/>
          </w:tcPr>
          <w:p w14:paraId="7B41E4D8" w14:textId="1EACE31D" w:rsidR="00A337FE" w:rsidRDefault="00DE2212">
            <w:r>
              <w:t>with</w:t>
            </w:r>
          </w:p>
        </w:tc>
        <w:tc>
          <w:tcPr>
            <w:tcW w:w="7791" w:type="dxa"/>
          </w:tcPr>
          <w:p w14:paraId="74FF9B4D" w14:textId="7AE77616" w:rsidR="00A337FE" w:rsidRPr="00DE2212" w:rsidRDefault="008C0170">
            <w:pPr>
              <w:rPr>
                <w:rFonts w:eastAsiaTheme="minorEastAsia"/>
                <w:lang w:val="en-US"/>
              </w:rPr>
            </w:pPr>
            <m:oMath>
              <m:sSub>
                <m:sSubPr>
                  <m:ctrlPr>
                    <w:rPr>
                      <w:rFonts w:ascii="Cambria Math" w:hAnsi="Cambria Math"/>
                      <w:i/>
                    </w:rPr>
                  </m:ctrlPr>
                </m:sSubPr>
                <m:e>
                  <m:r>
                    <w:rPr>
                      <w:rFonts w:ascii="Cambria Math" w:hAnsi="Cambria Math"/>
                    </w:rPr>
                    <m:t>P</m:t>
                  </m:r>
                </m:e>
                <m:sub>
                  <m:r>
                    <w:rPr>
                      <w:rFonts w:ascii="Cambria Math" w:hAnsi="Cambria Math"/>
                    </w:rPr>
                    <m:t>inf</m:t>
                  </m:r>
                  <m:r>
                    <w:rPr>
                      <w:rFonts w:ascii="Cambria Math" w:hAnsi="Cambria Math"/>
                      <w:lang w:val="en-US"/>
                    </w:rPr>
                    <m:t>-</m:t>
                  </m:r>
                  <m:r>
                    <w:rPr>
                      <w:rFonts w:ascii="Cambria Math" w:hAnsi="Cambria Math"/>
                    </w:rPr>
                    <m:t>year</m:t>
                  </m:r>
                </m:sub>
              </m:sSub>
            </m:oMath>
            <w:r w:rsidR="00A337FE" w:rsidRPr="00DE2212">
              <w:rPr>
                <w:rFonts w:eastAsiaTheme="minorEastAsia"/>
                <w:lang w:val="en-US"/>
              </w:rPr>
              <w:t xml:space="preserve">: </w:t>
            </w:r>
            <w:r w:rsidR="00DE2212">
              <w:rPr>
                <w:rFonts w:eastAsiaTheme="minorEastAsia"/>
                <w:lang w:val="en-US"/>
              </w:rPr>
              <w:t>A</w:t>
            </w:r>
            <w:r w:rsidR="00DE2212" w:rsidRPr="00DE2212">
              <w:rPr>
                <w:lang w:val="en-US"/>
              </w:rPr>
              <w:t>nnual risk of infection</w:t>
            </w:r>
          </w:p>
          <w:p w14:paraId="29F51BE5" w14:textId="2A809B13" w:rsidR="00A337FE" w:rsidRPr="00DE2212" w:rsidRDefault="008C0170">
            <w:pPr>
              <w:rPr>
                <w:lang w:val="en-US"/>
              </w:rPr>
            </w:pPr>
            <m:oMath>
              <m:sSub>
                <m:sSubPr>
                  <m:ctrlPr>
                    <w:rPr>
                      <w:rFonts w:ascii="Cambria Math" w:hAnsi="Cambria Math"/>
                      <w:i/>
                    </w:rPr>
                  </m:ctrlPr>
                </m:sSubPr>
                <m:e>
                  <m:r>
                    <w:rPr>
                      <w:rFonts w:ascii="Cambria Math" w:hAnsi="Cambria Math"/>
                    </w:rPr>
                    <m:t>p</m:t>
                  </m:r>
                </m:e>
                <m:sub>
                  <m:r>
                    <w:rPr>
                      <w:rFonts w:ascii="Cambria Math" w:hAnsi="Cambria Math"/>
                    </w:rPr>
                    <m:t>inf</m:t>
                  </m:r>
                  <m:r>
                    <w:rPr>
                      <w:rFonts w:ascii="Cambria Math" w:hAnsi="Cambria Math"/>
                      <w:lang w:val="en-US"/>
                    </w:rPr>
                    <m:t>-</m:t>
                  </m:r>
                  <m:r>
                    <w:rPr>
                      <w:rFonts w:ascii="Cambria Math" w:hAnsi="Cambria Math"/>
                    </w:rPr>
                    <m:t>day</m:t>
                  </m:r>
                  <m:r>
                    <w:rPr>
                      <w:rFonts w:ascii="Cambria Math" w:hAnsi="Cambria Math"/>
                      <w:lang w:val="en-US"/>
                    </w:rPr>
                    <m:t>,</m:t>
                  </m:r>
                  <m:r>
                    <w:rPr>
                      <w:rFonts w:ascii="Cambria Math" w:hAnsi="Cambria Math"/>
                    </w:rPr>
                    <m:t>i</m:t>
                  </m:r>
                </m:sub>
              </m:sSub>
            </m:oMath>
            <w:r w:rsidR="00A337FE" w:rsidRPr="00DE2212">
              <w:rPr>
                <w:rFonts w:eastAsiaTheme="minorEastAsia"/>
                <w:lang w:val="en-US"/>
              </w:rPr>
              <w:t xml:space="preserve">: </w:t>
            </w:r>
            <w:r w:rsidR="00DE2212" w:rsidRPr="00DE2212">
              <w:rPr>
                <w:rFonts w:eastAsiaTheme="minorEastAsia"/>
                <w:lang w:val="en-US"/>
              </w:rPr>
              <w:t>D</w:t>
            </w:r>
            <w:r w:rsidR="00DE2212" w:rsidRPr="00DE2212">
              <w:rPr>
                <w:lang w:val="en-US"/>
              </w:rPr>
              <w:t>aily risk of infection</w:t>
            </w:r>
            <w:r w:rsidR="00DE2212" w:rsidRPr="00DE2212">
              <w:rPr>
                <w:rFonts w:eastAsiaTheme="minorEastAsia"/>
                <w:lang w:val="en-US"/>
              </w:rPr>
              <w:t xml:space="preserve"> on day i</w:t>
            </w:r>
          </w:p>
        </w:tc>
      </w:tr>
    </w:tbl>
    <w:p w14:paraId="60723ED6" w14:textId="77777777" w:rsidR="00A337FE" w:rsidRPr="00DE2212" w:rsidRDefault="00A337FE">
      <w:pPr>
        <w:rPr>
          <w:lang w:val="en-US"/>
        </w:rPr>
      </w:pPr>
    </w:p>
    <w:p w14:paraId="1087A69B" w14:textId="61AAE116" w:rsidR="00A337FE" w:rsidRPr="00DE2212" w:rsidRDefault="00DE2212" w:rsidP="00A337FE">
      <w:pPr>
        <w:rPr>
          <w:rFonts w:eastAsiaTheme="minorEastAsia"/>
          <w:lang w:val="en-US"/>
        </w:rPr>
      </w:pPr>
      <w:r w:rsidRPr="00DE2212">
        <w:rPr>
          <w:rFonts w:eastAsiaTheme="minorEastAsia"/>
          <w:lang w:val="en-US"/>
        </w:rPr>
        <w:t>The daily risk of infection, again, depends on</w:t>
      </w:r>
    </w:p>
    <w:p w14:paraId="160553EE" w14:textId="77777777" w:rsidR="00DE2212" w:rsidRDefault="00DE2212" w:rsidP="00A337FE">
      <w:pPr>
        <w:pStyle w:val="Listenabsatz"/>
        <w:numPr>
          <w:ilvl w:val="0"/>
          <w:numId w:val="1"/>
        </w:numPr>
        <w:rPr>
          <w:rFonts w:eastAsiaTheme="minorEastAsia"/>
        </w:rPr>
      </w:pPr>
      <w:r w:rsidRPr="00DE2212">
        <w:rPr>
          <w:rFonts w:eastAsiaTheme="minorEastAsia"/>
        </w:rPr>
        <w:t>the initial concentration before treatment</w:t>
      </w:r>
    </w:p>
    <w:p w14:paraId="4F728F83" w14:textId="77777777" w:rsidR="00DE2212" w:rsidRDefault="00DE2212" w:rsidP="00A337FE">
      <w:pPr>
        <w:pStyle w:val="Listenabsatz"/>
        <w:numPr>
          <w:ilvl w:val="0"/>
          <w:numId w:val="1"/>
        </w:numPr>
        <w:rPr>
          <w:rFonts w:eastAsiaTheme="minorEastAsia"/>
          <w:lang w:val="en-US"/>
        </w:rPr>
      </w:pPr>
      <w:r w:rsidRPr="00DE2212">
        <w:rPr>
          <w:rFonts w:eastAsiaTheme="minorEastAsia"/>
          <w:lang w:val="en-US"/>
        </w:rPr>
        <w:t>the removal efficiency throughout the entire treatment chain, expressed as log removal (LRV)</w:t>
      </w:r>
    </w:p>
    <w:p w14:paraId="51EE11C2" w14:textId="77777777" w:rsidR="00DE2212" w:rsidRDefault="00DE2212" w:rsidP="00A337FE">
      <w:pPr>
        <w:pStyle w:val="Listenabsatz"/>
        <w:numPr>
          <w:ilvl w:val="0"/>
          <w:numId w:val="1"/>
        </w:numPr>
        <w:rPr>
          <w:rFonts w:eastAsiaTheme="minorEastAsia"/>
          <w:lang w:val="en-US"/>
        </w:rPr>
      </w:pPr>
      <w:r w:rsidRPr="00DE2212">
        <w:rPr>
          <w:rFonts w:eastAsiaTheme="minorEastAsia"/>
          <w:lang w:val="en-US"/>
        </w:rPr>
        <w:t>the specific probability of infection per pathogen: r</w:t>
      </w:r>
    </w:p>
    <w:p w14:paraId="267CD972" w14:textId="5335CC5E" w:rsidR="00A337FE" w:rsidRPr="00DE2212" w:rsidRDefault="00DE2212" w:rsidP="00A337FE">
      <w:pPr>
        <w:pStyle w:val="Listenabsatz"/>
        <w:numPr>
          <w:ilvl w:val="0"/>
          <w:numId w:val="1"/>
        </w:numPr>
        <w:rPr>
          <w:rFonts w:eastAsiaTheme="minorEastAsia"/>
          <w:lang w:val="en-US"/>
        </w:rPr>
      </w:pPr>
      <w:r w:rsidRPr="00DE2212">
        <w:rPr>
          <w:rFonts w:eastAsiaTheme="minorEastAsia"/>
        </w:rPr>
        <w:t>the volume ingested: V</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A337FE" w14:paraId="0744E66D" w14:textId="77777777" w:rsidTr="00CB704F">
        <w:tc>
          <w:tcPr>
            <w:tcW w:w="1271" w:type="dxa"/>
          </w:tcPr>
          <w:p w14:paraId="025F0A36" w14:textId="0FE4CD9F" w:rsidR="00A337FE" w:rsidRDefault="00DE2212" w:rsidP="00CB704F">
            <w:r>
              <w:t>Eq.</w:t>
            </w:r>
            <w:r w:rsidR="00A337FE">
              <w:t xml:space="preserve"> </w:t>
            </w:r>
            <w:r w:rsidR="001A0A5A">
              <w:t>2</w:t>
            </w:r>
          </w:p>
        </w:tc>
        <w:tc>
          <w:tcPr>
            <w:tcW w:w="7791" w:type="dxa"/>
          </w:tcPr>
          <w:p w14:paraId="506648D6" w14:textId="77777777" w:rsidR="00A337FE" w:rsidRPr="004E577D" w:rsidRDefault="008C0170" w:rsidP="00CB704F">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inf-day</m:t>
                    </m:r>
                  </m:sub>
                </m:sSub>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V</m:t>
                        </m:r>
                      </m:num>
                      <m:den>
                        <m:sSup>
                          <m:sSupPr>
                            <m:ctrlPr>
                              <w:rPr>
                                <w:rFonts w:ascii="Cambria Math" w:hAnsi="Cambria Math"/>
                                <w:i/>
                              </w:rPr>
                            </m:ctrlPr>
                          </m:sSupPr>
                          <m:e>
                            <m:r>
                              <w:rPr>
                                <w:rFonts w:ascii="Cambria Math" w:hAnsi="Cambria Math"/>
                              </w:rPr>
                              <m:t>10</m:t>
                            </m:r>
                          </m:e>
                          <m:sup>
                            <m:r>
                              <w:rPr>
                                <w:rFonts w:ascii="Cambria Math" w:hAnsi="Cambria Math"/>
                              </w:rPr>
                              <m:t>LRV</m:t>
                            </m:r>
                          </m:sup>
                        </m:sSup>
                      </m:den>
                    </m:f>
                  </m:sup>
                </m:sSup>
              </m:oMath>
            </m:oMathPara>
          </w:p>
          <w:p w14:paraId="13177DE1" w14:textId="2EAAC853" w:rsidR="004E577D" w:rsidRDefault="004E577D" w:rsidP="00CB704F"/>
        </w:tc>
      </w:tr>
      <w:tr w:rsidR="00A337FE" w:rsidRPr="00045FE3" w14:paraId="4A7B2D76" w14:textId="77777777" w:rsidTr="00CB704F">
        <w:tc>
          <w:tcPr>
            <w:tcW w:w="1271" w:type="dxa"/>
          </w:tcPr>
          <w:p w14:paraId="7948AB3A" w14:textId="24471463" w:rsidR="00A337FE" w:rsidRDefault="00DE2212" w:rsidP="00CB704F">
            <w:r>
              <w:t>with</w:t>
            </w:r>
          </w:p>
        </w:tc>
        <w:tc>
          <w:tcPr>
            <w:tcW w:w="7791" w:type="dxa"/>
          </w:tcPr>
          <w:p w14:paraId="51EF984C" w14:textId="77A08D32" w:rsidR="00A337FE" w:rsidRPr="00DE2212" w:rsidRDefault="008C0170" w:rsidP="00CB704F">
            <w:pPr>
              <w:rPr>
                <w:rFonts w:eastAsiaTheme="minorEastAsia"/>
                <w:lang w:val="en-US"/>
              </w:rPr>
            </w:pPr>
            <m:oMath>
              <m:sSub>
                <m:sSubPr>
                  <m:ctrlPr>
                    <w:rPr>
                      <w:rFonts w:ascii="Cambria Math" w:hAnsi="Cambria Math"/>
                      <w:i/>
                    </w:rPr>
                  </m:ctrlPr>
                </m:sSubPr>
                <m:e>
                  <m:r>
                    <w:rPr>
                      <w:rFonts w:ascii="Cambria Math" w:hAnsi="Cambria Math"/>
                    </w:rPr>
                    <m:t>p</m:t>
                  </m:r>
                </m:e>
                <m:sub>
                  <m:r>
                    <w:rPr>
                      <w:rFonts w:ascii="Cambria Math" w:hAnsi="Cambria Math"/>
                    </w:rPr>
                    <m:t>inf</m:t>
                  </m:r>
                  <m:r>
                    <w:rPr>
                      <w:rFonts w:ascii="Cambria Math" w:hAnsi="Cambria Math"/>
                      <w:lang w:val="en-US"/>
                    </w:rPr>
                    <m:t>-</m:t>
                  </m:r>
                  <m:r>
                    <w:rPr>
                      <w:rFonts w:ascii="Cambria Math" w:hAnsi="Cambria Math"/>
                    </w:rPr>
                    <m:t>day</m:t>
                  </m:r>
                </m:sub>
              </m:sSub>
            </m:oMath>
            <w:r w:rsidR="00A337FE" w:rsidRPr="00DE2212">
              <w:rPr>
                <w:rFonts w:eastAsiaTheme="minorEastAsia"/>
                <w:lang w:val="en-US"/>
              </w:rPr>
              <w:t xml:space="preserve">: </w:t>
            </w:r>
            <w:r w:rsidR="00DE2212" w:rsidRPr="00DE2212">
              <w:rPr>
                <w:rFonts w:eastAsiaTheme="minorEastAsia"/>
                <w:lang w:val="en-US"/>
              </w:rPr>
              <w:t>D</w:t>
            </w:r>
            <w:r w:rsidR="00DE2212" w:rsidRPr="00DE2212">
              <w:rPr>
                <w:lang w:val="en-US"/>
              </w:rPr>
              <w:t>aily risk of infection</w:t>
            </w:r>
          </w:p>
          <w:p w14:paraId="4C6A411A" w14:textId="49179DC7" w:rsidR="00A337FE" w:rsidRPr="00DE2212" w:rsidRDefault="00A337FE" w:rsidP="00CB704F">
            <w:pPr>
              <w:rPr>
                <w:rFonts w:eastAsiaTheme="minorEastAsia"/>
                <w:lang w:val="en-US"/>
              </w:rPr>
            </w:pPr>
            <m:oMath>
              <m:r>
                <w:rPr>
                  <w:rFonts w:ascii="Cambria Math" w:hAnsi="Cambria Math"/>
                </w:rPr>
                <m:t>r</m:t>
              </m:r>
            </m:oMath>
            <w:r w:rsidRPr="00DE2212">
              <w:rPr>
                <w:rFonts w:eastAsiaTheme="minorEastAsia"/>
                <w:lang w:val="en-US"/>
              </w:rPr>
              <w:t xml:space="preserve">: </w:t>
            </w:r>
            <w:r w:rsidR="00DE2212">
              <w:rPr>
                <w:rFonts w:eastAsiaTheme="minorEastAsia"/>
                <w:lang w:val="en-US"/>
              </w:rPr>
              <w:t>S</w:t>
            </w:r>
            <w:r w:rsidR="00DE2212" w:rsidRPr="00DE2212">
              <w:rPr>
                <w:rFonts w:eastAsiaTheme="minorEastAsia"/>
                <w:lang w:val="en-US"/>
              </w:rPr>
              <w:t>pecific probability of infection [</w:t>
            </w:r>
            <w:r w:rsidRPr="00DE2212">
              <w:rPr>
                <w:rFonts w:eastAsiaTheme="minorEastAsia"/>
                <w:lang w:val="en-US"/>
              </w:rPr>
              <w:t>p</w:t>
            </w:r>
            <w:r w:rsidR="00DE2212" w:rsidRPr="00DE2212">
              <w:rPr>
                <w:rFonts w:eastAsiaTheme="minorEastAsia"/>
                <w:lang w:val="en-US"/>
              </w:rPr>
              <w:t>er pathogen]</w:t>
            </w:r>
          </w:p>
          <w:p w14:paraId="55B7E06A" w14:textId="2026DDEA" w:rsidR="00A337FE" w:rsidRPr="00045FE3" w:rsidRDefault="008C0170" w:rsidP="00CB704F">
            <w:pPr>
              <w:rPr>
                <w:rFonts w:eastAsiaTheme="minorEastAsia"/>
                <w:lang w:val="en-US"/>
              </w:rPr>
            </w:pPr>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A337FE" w:rsidRPr="00045FE3">
              <w:rPr>
                <w:rFonts w:eastAsiaTheme="minorEastAsia"/>
                <w:lang w:val="en-US"/>
              </w:rPr>
              <w:t xml:space="preserve">: </w:t>
            </w:r>
            <w:r w:rsidR="00DE2212" w:rsidRPr="00045FE3">
              <w:rPr>
                <w:rFonts w:eastAsiaTheme="minorEastAsia"/>
                <w:lang w:val="en-US"/>
              </w:rPr>
              <w:t>Input concentration</w:t>
            </w:r>
            <w:r w:rsidR="00A337FE" w:rsidRPr="00045FE3">
              <w:rPr>
                <w:rFonts w:eastAsiaTheme="minorEastAsia"/>
                <w:lang w:val="en-US"/>
              </w:rPr>
              <w:t xml:space="preserve"> </w:t>
            </w:r>
            <w:r w:rsidR="00DE2212" w:rsidRPr="00045FE3">
              <w:rPr>
                <w:rFonts w:eastAsiaTheme="minorEastAsia"/>
                <w:lang w:val="en-US"/>
              </w:rPr>
              <w:t xml:space="preserve">[Pathogen per </w:t>
            </w:r>
            <w:r w:rsidR="00A337FE" w:rsidRPr="00045FE3">
              <w:rPr>
                <w:rFonts w:eastAsiaTheme="minorEastAsia"/>
                <w:lang w:val="en-US"/>
              </w:rPr>
              <w:t>Liter</w:t>
            </w:r>
            <w:r w:rsidR="00DE2212" w:rsidRPr="00045FE3">
              <w:rPr>
                <w:rFonts w:eastAsiaTheme="minorEastAsia"/>
                <w:lang w:val="en-US"/>
              </w:rPr>
              <w:t>]</w:t>
            </w:r>
          </w:p>
          <w:p w14:paraId="68886F39" w14:textId="65CC3B8F" w:rsidR="00A337FE" w:rsidRPr="00045FE3" w:rsidRDefault="00A337FE" w:rsidP="00CB704F">
            <w:pPr>
              <w:rPr>
                <w:rFonts w:eastAsiaTheme="minorEastAsia"/>
                <w:lang w:val="en-US"/>
              </w:rPr>
            </w:pPr>
            <m:oMath>
              <m:r>
                <w:rPr>
                  <w:rFonts w:ascii="Cambria Math" w:hAnsi="Cambria Math"/>
                </w:rPr>
                <m:t>V</m:t>
              </m:r>
            </m:oMath>
            <w:r w:rsidRPr="00045FE3">
              <w:rPr>
                <w:rFonts w:eastAsiaTheme="minorEastAsia"/>
                <w:lang w:val="en-US"/>
              </w:rPr>
              <w:t xml:space="preserve">: </w:t>
            </w:r>
            <w:r w:rsidR="00DE2212" w:rsidRPr="00045FE3">
              <w:rPr>
                <w:rFonts w:eastAsiaTheme="minorEastAsia"/>
                <w:lang w:val="en-US"/>
              </w:rPr>
              <w:t>Ingested</w:t>
            </w:r>
            <w:r w:rsidRPr="00045FE3">
              <w:rPr>
                <w:rFonts w:eastAsiaTheme="minorEastAsia"/>
                <w:lang w:val="en-US"/>
              </w:rPr>
              <w:t xml:space="preserve"> </w:t>
            </w:r>
            <w:r w:rsidR="00DE2212" w:rsidRPr="00045FE3">
              <w:rPr>
                <w:rFonts w:eastAsiaTheme="minorEastAsia"/>
                <w:lang w:val="en-US"/>
              </w:rPr>
              <w:t>v</w:t>
            </w:r>
            <w:r w:rsidRPr="00045FE3">
              <w:rPr>
                <w:rFonts w:eastAsiaTheme="minorEastAsia"/>
                <w:lang w:val="en-US"/>
              </w:rPr>
              <w:t xml:space="preserve">olumen </w:t>
            </w:r>
            <w:r w:rsidR="00DE2212" w:rsidRPr="00045FE3">
              <w:rPr>
                <w:rFonts w:eastAsiaTheme="minorEastAsia"/>
                <w:lang w:val="en-US"/>
              </w:rPr>
              <w:t>[</w:t>
            </w:r>
            <w:r w:rsidRPr="00045FE3">
              <w:rPr>
                <w:rFonts w:eastAsiaTheme="minorEastAsia"/>
                <w:lang w:val="en-US"/>
              </w:rPr>
              <w:t>Liter</w:t>
            </w:r>
            <w:r w:rsidR="00DE2212" w:rsidRPr="00045FE3">
              <w:rPr>
                <w:rFonts w:eastAsiaTheme="minorEastAsia"/>
                <w:lang w:val="en-US"/>
              </w:rPr>
              <w:t>]</w:t>
            </w:r>
          </w:p>
          <w:p w14:paraId="1D867675" w14:textId="20F9147F" w:rsidR="00A337FE" w:rsidRPr="00DE2212" w:rsidRDefault="00A337FE" w:rsidP="00CB704F">
            <w:pPr>
              <w:rPr>
                <w:rFonts w:eastAsiaTheme="minorEastAsia"/>
                <w:lang w:val="en-US"/>
              </w:rPr>
            </w:pPr>
            <m:oMath>
              <m:r>
                <w:rPr>
                  <w:rFonts w:ascii="Cambria Math" w:hAnsi="Cambria Math"/>
                </w:rPr>
                <m:t>LRV</m:t>
              </m:r>
            </m:oMath>
            <w:r w:rsidRPr="00DE2212">
              <w:rPr>
                <w:rFonts w:eastAsiaTheme="minorEastAsia"/>
                <w:lang w:val="en-US"/>
              </w:rPr>
              <w:t>: Log-</w:t>
            </w:r>
            <w:r w:rsidR="00DE2212" w:rsidRPr="00DE2212">
              <w:rPr>
                <w:rFonts w:eastAsiaTheme="minorEastAsia"/>
                <w:lang w:val="en-US"/>
              </w:rPr>
              <w:t>r</w:t>
            </w:r>
            <w:r w:rsidRPr="00DE2212">
              <w:rPr>
                <w:rFonts w:eastAsiaTheme="minorEastAsia"/>
                <w:lang w:val="en-US"/>
              </w:rPr>
              <w:t xml:space="preserve">emoval </w:t>
            </w:r>
            <w:r w:rsidR="00DE2212" w:rsidRPr="00DE2212">
              <w:rPr>
                <w:rFonts w:eastAsiaTheme="minorEastAsia"/>
                <w:lang w:val="en-US"/>
              </w:rPr>
              <w:t>throughout the entire treatment chain</w:t>
            </w:r>
          </w:p>
        </w:tc>
      </w:tr>
    </w:tbl>
    <w:p w14:paraId="0550E453" w14:textId="77777777" w:rsidR="00DE2212" w:rsidRPr="00045FE3" w:rsidRDefault="00DE2212" w:rsidP="000C7133">
      <w:pPr>
        <w:rPr>
          <w:rFonts w:eastAsiaTheme="minorEastAsia"/>
          <w:lang w:val="en-US"/>
        </w:rPr>
      </w:pPr>
    </w:p>
    <w:p w14:paraId="5F8EE57A" w14:textId="77777777" w:rsidR="00DE2212" w:rsidRPr="00DE2212" w:rsidRDefault="00DE2212" w:rsidP="00DE2212">
      <w:pPr>
        <w:rPr>
          <w:rFonts w:eastAsiaTheme="minorEastAsia"/>
          <w:lang w:val="en-US"/>
        </w:rPr>
      </w:pPr>
      <w:r w:rsidRPr="00DE2212">
        <w:rPr>
          <w:rFonts w:eastAsiaTheme="minorEastAsia"/>
          <w:lang w:val="en-US"/>
        </w:rPr>
        <w:t xml:space="preserve">Accordingly, the risk of infection is 0 if either the specific probability of infection per pathogen, the concentration of the pathogen in the influent, or the volume ingested is equal to 0. </w:t>
      </w:r>
    </w:p>
    <w:p w14:paraId="08065902" w14:textId="77777777" w:rsidR="00DE2212" w:rsidRPr="00DE2212" w:rsidRDefault="00DE2212" w:rsidP="00DE2212">
      <w:pPr>
        <w:rPr>
          <w:rFonts w:eastAsiaTheme="minorEastAsia"/>
          <w:lang w:val="en-US"/>
        </w:rPr>
      </w:pPr>
      <w:r w:rsidRPr="00DE2212">
        <w:rPr>
          <w:rFonts w:eastAsiaTheme="minorEastAsia"/>
          <w:lang w:val="en-US"/>
        </w:rPr>
        <w:t>Furthermore, the risk approaches 0 as the log-removal in the treatment chain increases.</w:t>
      </w:r>
    </w:p>
    <w:p w14:paraId="403C608A" w14:textId="7362761D" w:rsidR="00DE2212" w:rsidRPr="00DE2212" w:rsidRDefault="00DE2212" w:rsidP="00DE2212">
      <w:pPr>
        <w:rPr>
          <w:rFonts w:eastAsiaTheme="minorEastAsia"/>
          <w:lang w:val="en-US"/>
        </w:rPr>
      </w:pPr>
      <w:r w:rsidRPr="00DE2212">
        <w:rPr>
          <w:rFonts w:eastAsiaTheme="minorEastAsia"/>
          <w:lang w:val="en-US"/>
        </w:rPr>
        <w:t>In the QMRA tool, the inlet concentration for each day is drawn from a distribution as part of a Monte Carlo simulation. The calculation is performed in two scenarios: one for the best-case scenario (maximum log removal per process: LRV_max) and one for the worst-case scenario (minimum log removal per process: LRV_min).</w:t>
      </w:r>
    </w:p>
    <w:p w14:paraId="52DBC0AD" w14:textId="6750534A" w:rsidR="00DE2212" w:rsidRPr="00DE2212" w:rsidRDefault="00DE2212" w:rsidP="00DE2212">
      <w:pPr>
        <w:rPr>
          <w:rFonts w:eastAsiaTheme="minorEastAsia"/>
          <w:lang w:val="en-US"/>
        </w:rPr>
      </w:pPr>
      <w:r w:rsidRPr="00DE2212">
        <w:rPr>
          <w:rFonts w:eastAsiaTheme="minorEastAsia"/>
          <w:lang w:val="en-US"/>
        </w:rPr>
        <w:t>The distribution of the infection risk is therefore based on the distribution of the input concentration and is calculated for each scenario using separate LRVs.</w:t>
      </w:r>
    </w:p>
    <w:p w14:paraId="2CAC2853" w14:textId="6A9CF593" w:rsidR="000C7133" w:rsidRPr="00045FE3" w:rsidRDefault="001C191C" w:rsidP="001A0A5A">
      <w:pPr>
        <w:pStyle w:val="berschrift2"/>
        <w:rPr>
          <w:rFonts w:eastAsiaTheme="minorEastAsia"/>
          <w:lang w:val="en-US"/>
        </w:rPr>
      </w:pPr>
      <w:r w:rsidRPr="00045FE3">
        <w:rPr>
          <w:rFonts w:eastAsiaTheme="minorEastAsia"/>
          <w:lang w:val="en-US"/>
        </w:rPr>
        <w:lastRenderedPageBreak/>
        <w:t>Calculation of LRVs with failure events</w:t>
      </w:r>
    </w:p>
    <w:p w14:paraId="0E1B7C58" w14:textId="77777777" w:rsidR="001C191C" w:rsidRPr="001C191C" w:rsidRDefault="001C191C" w:rsidP="001C191C">
      <w:pPr>
        <w:rPr>
          <w:lang w:val="en-US"/>
        </w:rPr>
      </w:pPr>
      <w:r w:rsidRPr="001C191C">
        <w:rPr>
          <w:lang w:val="en-US"/>
        </w:rPr>
        <w:t xml:space="preserve">The distinction between best-case and worst-case scenarios remains the same in the event of a failure. </w:t>
      </w:r>
    </w:p>
    <w:p w14:paraId="4F7E059F" w14:textId="77777777" w:rsidR="001C191C" w:rsidRPr="001C191C" w:rsidRDefault="001C191C" w:rsidP="001C191C">
      <w:pPr>
        <w:rPr>
          <w:lang w:val="en-US"/>
        </w:rPr>
      </w:pPr>
      <w:r w:rsidRPr="001C191C">
        <w:rPr>
          <w:lang w:val="en-US"/>
        </w:rPr>
        <w:t>The specific probability of infection, the initial concentration, and the volume ingested do not change as a result of the failure. The LRV, however, is directly affected by the failure of a treatment step. Depending on the scenario, a distinction should also be made between whether the treated water was consumed exclusively during the failure event (worst-case) or whether it was a mixture of water from normal operation and the failure event (best-case)</w:t>
      </w:r>
      <w:r w:rsidRPr="001C191C">
        <w:rPr>
          <w:rFonts w:hint="cs"/>
          <w:lang w:val="en-US"/>
        </w:rPr>
        <w:t>—</w:t>
      </w:r>
      <w:r w:rsidRPr="001C191C">
        <w:rPr>
          <w:lang w:val="en-US"/>
        </w:rPr>
        <w:t>as is likely often the case when water is stored somewhere.</w:t>
      </w:r>
    </w:p>
    <w:p w14:paraId="636A5E19" w14:textId="1AF52705" w:rsidR="00A8446B" w:rsidRPr="00A038E3" w:rsidRDefault="001C191C" w:rsidP="001C191C">
      <w:r w:rsidRPr="001C191C">
        <w:rPr>
          <w:lang w:val="en-US"/>
        </w:rPr>
        <w:t xml:space="preserve">If a treatment step in the treatment chain fails, the total LRV is reduced by the treatment-specific LRV. </w:t>
      </w:r>
      <w:r>
        <w:t>This is calculated for both scenarios.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644"/>
      </w:tblGrid>
      <w:tr w:rsidR="001A0A5A" w14:paraId="5BB2D10C" w14:textId="77777777" w:rsidTr="00A038E3">
        <w:tc>
          <w:tcPr>
            <w:tcW w:w="1418" w:type="dxa"/>
          </w:tcPr>
          <w:p w14:paraId="374FB11F" w14:textId="7C106A9C" w:rsidR="001A0A5A" w:rsidRDefault="00DE2212" w:rsidP="00CB704F">
            <w:r>
              <w:t>Eq</w:t>
            </w:r>
            <w:r w:rsidR="001A0A5A">
              <w:t>. 3</w:t>
            </w:r>
            <w:r w:rsidR="00A038E3">
              <w:t xml:space="preserve"> / </w:t>
            </w:r>
            <w:r>
              <w:t>Eq</w:t>
            </w:r>
            <w:r w:rsidR="00A038E3">
              <w:t>. 4</w:t>
            </w:r>
          </w:p>
        </w:tc>
        <w:tc>
          <w:tcPr>
            <w:tcW w:w="7644" w:type="dxa"/>
          </w:tcPr>
          <w:p w14:paraId="03FE1922" w14:textId="77777777" w:rsidR="001A0A5A" w:rsidRPr="00A038E3" w:rsidRDefault="001A0A5A" w:rsidP="00CB704F">
            <w:pPr>
              <w:rPr>
                <w:rFonts w:eastAsiaTheme="minorEastAsia"/>
              </w:rPr>
            </w:pPr>
            <m:oMathPara>
              <m:oMath>
                <m:r>
                  <w:rPr>
                    <w:rFonts w:ascii="Cambria Math" w:hAnsi="Cambria Math"/>
                  </w:rPr>
                  <m:t>LR</m:t>
                </m:r>
                <m:sSub>
                  <m:sSubPr>
                    <m:ctrlPr>
                      <w:rPr>
                        <w:rFonts w:ascii="Cambria Math" w:hAnsi="Cambria Math"/>
                        <w:i/>
                      </w:rPr>
                    </m:ctrlPr>
                  </m:sSubPr>
                  <m:e>
                    <m:r>
                      <w:rPr>
                        <w:rFonts w:ascii="Cambria Math" w:hAnsi="Cambria Math"/>
                      </w:rPr>
                      <m:t>V</m:t>
                    </m:r>
                  </m:e>
                  <m:sub>
                    <m:r>
                      <w:rPr>
                        <w:rFonts w:ascii="Cambria Math" w:hAnsi="Cambria Math"/>
                      </w:rPr>
                      <m:t>failure,min</m:t>
                    </m:r>
                  </m:sub>
                </m:sSub>
                <m:r>
                  <w:rPr>
                    <w:rFonts w:ascii="Cambria Math" w:hAnsi="Cambria Math"/>
                  </w:rPr>
                  <m:t>=LR</m:t>
                </m:r>
                <m:sSub>
                  <m:sSubPr>
                    <m:ctrlPr>
                      <w:rPr>
                        <w:rFonts w:ascii="Cambria Math" w:hAnsi="Cambria Math"/>
                        <w:i/>
                      </w:rPr>
                    </m:ctrlPr>
                  </m:sSubPr>
                  <m:e>
                    <m:r>
                      <w:rPr>
                        <w:rFonts w:ascii="Cambria Math" w:hAnsi="Cambria Math"/>
                      </w:rPr>
                      <m:t>V</m:t>
                    </m:r>
                  </m:e>
                  <m:sub>
                    <m:r>
                      <w:rPr>
                        <w:rFonts w:ascii="Cambria Math" w:hAnsi="Cambria Math"/>
                      </w:rPr>
                      <m:t>min</m:t>
                    </m:r>
                  </m:sub>
                </m:sSub>
                <m:r>
                  <w:rPr>
                    <w:rFonts w:ascii="Cambria Math" w:hAnsi="Cambria Math"/>
                  </w:rPr>
                  <m:t>-LRV</m:t>
                </m:r>
                <m:sSub>
                  <m:sSubPr>
                    <m:ctrlPr>
                      <w:rPr>
                        <w:rFonts w:ascii="Cambria Math" w:hAnsi="Cambria Math"/>
                        <w:i/>
                      </w:rPr>
                    </m:ctrlPr>
                  </m:sSubPr>
                  <m:e>
                    <m:r>
                      <m:rPr>
                        <m:sty m:val="p"/>
                      </m:rPr>
                      <w:rPr>
                        <w:rFonts w:ascii="Cambria Math" w:hAnsi="Cambria Math"/>
                      </w:rPr>
                      <w:softHyphen/>
                    </m:r>
                  </m:e>
                  <m:sub>
                    <m:r>
                      <w:rPr>
                        <w:rFonts w:ascii="Cambria Math" w:hAnsi="Cambria Math"/>
                      </w:rPr>
                      <m:t>treatment,min</m:t>
                    </m:r>
                  </m:sub>
                </m:sSub>
              </m:oMath>
            </m:oMathPara>
          </w:p>
          <w:p w14:paraId="3EFB86E3" w14:textId="77777777" w:rsidR="00A038E3" w:rsidRPr="004E577D" w:rsidRDefault="00A038E3" w:rsidP="00CB704F">
            <w:pPr>
              <w:rPr>
                <w:rFonts w:eastAsiaTheme="minorEastAsia"/>
              </w:rPr>
            </w:pPr>
            <m:oMathPara>
              <m:oMath>
                <m:r>
                  <w:rPr>
                    <w:rFonts w:ascii="Cambria Math" w:hAnsi="Cambria Math"/>
                  </w:rPr>
                  <m:t>LR</m:t>
                </m:r>
                <m:sSub>
                  <m:sSubPr>
                    <m:ctrlPr>
                      <w:rPr>
                        <w:rFonts w:ascii="Cambria Math" w:hAnsi="Cambria Math"/>
                        <w:i/>
                      </w:rPr>
                    </m:ctrlPr>
                  </m:sSubPr>
                  <m:e>
                    <m:r>
                      <w:rPr>
                        <w:rFonts w:ascii="Cambria Math" w:hAnsi="Cambria Math"/>
                      </w:rPr>
                      <m:t>V</m:t>
                    </m:r>
                  </m:e>
                  <m:sub>
                    <m:r>
                      <w:rPr>
                        <w:rFonts w:ascii="Cambria Math" w:hAnsi="Cambria Math"/>
                      </w:rPr>
                      <m:t>failure,max</m:t>
                    </m:r>
                  </m:sub>
                </m:sSub>
                <m:r>
                  <w:rPr>
                    <w:rFonts w:ascii="Cambria Math" w:hAnsi="Cambria Math"/>
                  </w:rPr>
                  <m:t>=LR</m:t>
                </m:r>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-LRV</m:t>
                </m:r>
                <m:sSub>
                  <m:sSubPr>
                    <m:ctrlPr>
                      <w:rPr>
                        <w:rFonts w:ascii="Cambria Math" w:hAnsi="Cambria Math"/>
                        <w:i/>
                      </w:rPr>
                    </m:ctrlPr>
                  </m:sSubPr>
                  <m:e>
                    <m:r>
                      <m:rPr>
                        <m:sty m:val="p"/>
                      </m:rPr>
                      <w:rPr>
                        <w:rFonts w:ascii="Cambria Math" w:hAnsi="Cambria Math"/>
                      </w:rPr>
                      <w:softHyphen/>
                    </m:r>
                  </m:e>
                  <m:sub>
                    <m:r>
                      <w:rPr>
                        <w:rFonts w:ascii="Cambria Math" w:hAnsi="Cambria Math"/>
                      </w:rPr>
                      <m:t>treatment,max</m:t>
                    </m:r>
                  </m:sub>
                </m:sSub>
              </m:oMath>
            </m:oMathPara>
          </w:p>
          <w:p w14:paraId="074ACD4E" w14:textId="4C2799B6" w:rsidR="004E577D" w:rsidRDefault="004E577D" w:rsidP="00CB704F"/>
        </w:tc>
      </w:tr>
      <w:tr w:rsidR="001A0A5A" w:rsidRPr="00045FE3" w14:paraId="072E350E" w14:textId="77777777" w:rsidTr="00A038E3">
        <w:tc>
          <w:tcPr>
            <w:tcW w:w="1418" w:type="dxa"/>
          </w:tcPr>
          <w:p w14:paraId="760A9D89" w14:textId="77777777" w:rsidR="001A0A5A" w:rsidRDefault="001A0A5A" w:rsidP="00CB704F">
            <w:r>
              <w:t>mit</w:t>
            </w:r>
          </w:p>
        </w:tc>
        <w:tc>
          <w:tcPr>
            <w:tcW w:w="7644" w:type="dxa"/>
          </w:tcPr>
          <w:p w14:paraId="16D0DBD5" w14:textId="2BDBCBE5" w:rsidR="001A0A5A" w:rsidRPr="001C191C" w:rsidRDefault="00A038E3" w:rsidP="00CB704F">
            <w:pPr>
              <w:rPr>
                <w:rFonts w:eastAsiaTheme="minorEastAsia"/>
                <w:lang w:val="en-US"/>
              </w:rPr>
            </w:pPr>
            <m:oMath>
              <m:r>
                <w:rPr>
                  <w:rFonts w:ascii="Cambria Math" w:hAnsi="Cambria Math"/>
                </w:rPr>
                <m:t>LR</m:t>
              </m:r>
              <m:sSub>
                <m:sSubPr>
                  <m:ctrlPr>
                    <w:rPr>
                      <w:rFonts w:ascii="Cambria Math" w:hAnsi="Cambria Math"/>
                      <w:i/>
                    </w:rPr>
                  </m:ctrlPr>
                </m:sSubPr>
                <m:e>
                  <m:r>
                    <w:rPr>
                      <w:rFonts w:ascii="Cambria Math" w:hAnsi="Cambria Math"/>
                    </w:rPr>
                    <m:t>V</m:t>
                  </m:r>
                </m:e>
                <m:sub>
                  <m:r>
                    <w:rPr>
                      <w:rFonts w:ascii="Cambria Math" w:hAnsi="Cambria Math"/>
                    </w:rPr>
                    <m:t>failure</m:t>
                  </m:r>
                  <m:r>
                    <w:rPr>
                      <w:rFonts w:ascii="Cambria Math" w:hAnsi="Cambria Math"/>
                      <w:lang w:val="en-US"/>
                    </w:rPr>
                    <m:t>,</m:t>
                  </m:r>
                  <m:r>
                    <w:rPr>
                      <w:rFonts w:ascii="Cambria Math" w:hAnsi="Cambria Math"/>
                    </w:rPr>
                    <m:t>min</m:t>
                  </m:r>
                </m:sub>
              </m:sSub>
              <m:r>
                <w:rPr>
                  <w:rFonts w:ascii="Cambria Math" w:hAnsi="Cambria Math"/>
                  <w:lang w:val="en-US"/>
                </w:rPr>
                <m:t xml:space="preserve"> </m:t>
              </m:r>
              <m:r>
                <w:rPr>
                  <w:rFonts w:ascii="Cambria Math" w:hAnsi="Cambria Math"/>
                </w:rPr>
                <m:t>und</m:t>
              </m:r>
              <m:r>
                <w:rPr>
                  <w:rFonts w:ascii="Cambria Math" w:hAnsi="Cambria Math"/>
                  <w:lang w:val="en-US"/>
                </w:rPr>
                <m:t xml:space="preserve"> </m:t>
              </m:r>
              <m:r>
                <w:rPr>
                  <w:rFonts w:ascii="Cambria Math" w:hAnsi="Cambria Math"/>
                </w:rPr>
                <m:t>LR</m:t>
              </m:r>
              <m:sSub>
                <m:sSubPr>
                  <m:ctrlPr>
                    <w:rPr>
                      <w:rFonts w:ascii="Cambria Math" w:hAnsi="Cambria Math"/>
                      <w:i/>
                    </w:rPr>
                  </m:ctrlPr>
                </m:sSubPr>
                <m:e>
                  <m:r>
                    <w:rPr>
                      <w:rFonts w:ascii="Cambria Math" w:hAnsi="Cambria Math"/>
                    </w:rPr>
                    <m:t>V</m:t>
                  </m:r>
                </m:e>
                <m:sub>
                  <m:r>
                    <w:rPr>
                      <w:rFonts w:ascii="Cambria Math" w:hAnsi="Cambria Math"/>
                    </w:rPr>
                    <m:t>failure</m:t>
                  </m:r>
                  <m:r>
                    <w:rPr>
                      <w:rFonts w:ascii="Cambria Math" w:hAnsi="Cambria Math"/>
                      <w:lang w:val="en-US"/>
                    </w:rPr>
                    <m:t>,</m:t>
                  </m:r>
                  <m:r>
                    <w:rPr>
                      <w:rFonts w:ascii="Cambria Math" w:hAnsi="Cambria Math"/>
                    </w:rPr>
                    <m:t>max</m:t>
                  </m:r>
                </m:sub>
              </m:sSub>
            </m:oMath>
            <w:r w:rsidR="001A0A5A" w:rsidRPr="001C191C">
              <w:rPr>
                <w:rFonts w:eastAsiaTheme="minorEastAsia"/>
                <w:lang w:val="en-US"/>
              </w:rPr>
              <w:t xml:space="preserve">: </w:t>
            </w:r>
            <w:r w:rsidR="001C191C" w:rsidRPr="001C191C">
              <w:rPr>
                <w:rFonts w:eastAsiaTheme="minorEastAsia"/>
                <w:lang w:val="en-US"/>
              </w:rPr>
              <w:t>Minimum and maximum</w:t>
            </w:r>
            <w:r w:rsidRPr="001C191C">
              <w:rPr>
                <w:rFonts w:eastAsiaTheme="minorEastAsia"/>
                <w:lang w:val="en-US"/>
              </w:rPr>
              <w:t xml:space="preserve"> </w:t>
            </w:r>
            <w:r w:rsidR="001C191C" w:rsidRPr="001C191C">
              <w:rPr>
                <w:rFonts w:eastAsiaTheme="minorEastAsia"/>
                <w:lang w:val="en-US"/>
              </w:rPr>
              <w:t>l</w:t>
            </w:r>
            <w:r w:rsidRPr="001C191C">
              <w:rPr>
                <w:rFonts w:eastAsiaTheme="minorEastAsia"/>
                <w:lang w:val="en-US"/>
              </w:rPr>
              <w:t>og-</w:t>
            </w:r>
            <w:r w:rsidR="001C191C" w:rsidRPr="001C191C">
              <w:rPr>
                <w:rFonts w:eastAsiaTheme="minorEastAsia"/>
                <w:lang w:val="en-US"/>
              </w:rPr>
              <w:t>r</w:t>
            </w:r>
            <w:r w:rsidRPr="001C191C">
              <w:rPr>
                <w:rFonts w:eastAsiaTheme="minorEastAsia"/>
                <w:lang w:val="en-US"/>
              </w:rPr>
              <w:t xml:space="preserve">emoval </w:t>
            </w:r>
            <w:r w:rsidR="001C191C">
              <w:rPr>
                <w:rFonts w:eastAsiaTheme="minorEastAsia"/>
                <w:lang w:val="en-US"/>
              </w:rPr>
              <w:t xml:space="preserve">of the entire treatment chain </w:t>
            </w:r>
            <w:r w:rsidR="001C191C" w:rsidRPr="001C191C">
              <w:rPr>
                <w:rFonts w:eastAsiaTheme="minorEastAsia"/>
                <w:lang w:val="en-US"/>
              </w:rPr>
              <w:t xml:space="preserve">during </w:t>
            </w:r>
            <w:r w:rsidR="001C191C">
              <w:rPr>
                <w:rFonts w:eastAsiaTheme="minorEastAsia"/>
                <w:lang w:val="en-US"/>
              </w:rPr>
              <w:t>the</w:t>
            </w:r>
            <w:r w:rsidR="001C191C" w:rsidRPr="001C191C">
              <w:rPr>
                <w:rFonts w:eastAsiaTheme="minorEastAsia"/>
                <w:lang w:val="en-US"/>
              </w:rPr>
              <w:t xml:space="preserve"> failure ev</w:t>
            </w:r>
            <w:r w:rsidR="001C191C">
              <w:rPr>
                <w:rFonts w:eastAsiaTheme="minorEastAsia"/>
                <w:lang w:val="en-US"/>
              </w:rPr>
              <w:t>ent</w:t>
            </w:r>
          </w:p>
          <w:p w14:paraId="39F82B82" w14:textId="2DE1AED0" w:rsidR="00A038E3" w:rsidRPr="001C191C" w:rsidRDefault="00A038E3" w:rsidP="00A038E3">
            <w:pPr>
              <w:rPr>
                <w:rFonts w:eastAsiaTheme="minorEastAsia"/>
                <w:lang w:val="en-US"/>
              </w:rPr>
            </w:pPr>
            <m:oMath>
              <m:r>
                <w:rPr>
                  <w:rFonts w:ascii="Cambria Math" w:hAnsi="Cambria Math"/>
                </w:rPr>
                <m:t>LR</m:t>
              </m:r>
              <m:sSub>
                <m:sSubPr>
                  <m:ctrlPr>
                    <w:rPr>
                      <w:rFonts w:ascii="Cambria Math" w:hAnsi="Cambria Math"/>
                      <w:i/>
                    </w:rPr>
                  </m:ctrlPr>
                </m:sSubPr>
                <m:e>
                  <m:r>
                    <w:rPr>
                      <w:rFonts w:ascii="Cambria Math" w:hAnsi="Cambria Math"/>
                    </w:rPr>
                    <m:t>V</m:t>
                  </m:r>
                </m:e>
                <m:sub>
                  <m:r>
                    <w:rPr>
                      <w:rFonts w:ascii="Cambria Math" w:hAnsi="Cambria Math"/>
                    </w:rPr>
                    <m:t>treatment</m:t>
                  </m:r>
                  <m:r>
                    <w:rPr>
                      <w:rFonts w:ascii="Cambria Math" w:hAnsi="Cambria Math"/>
                      <w:lang w:val="en-US"/>
                    </w:rPr>
                    <m:t>,</m:t>
                  </m:r>
                  <m:r>
                    <w:rPr>
                      <w:rFonts w:ascii="Cambria Math" w:hAnsi="Cambria Math"/>
                    </w:rPr>
                    <m:t>min</m:t>
                  </m:r>
                </m:sub>
              </m:sSub>
              <m:r>
                <w:rPr>
                  <w:rFonts w:ascii="Cambria Math" w:hAnsi="Cambria Math"/>
                  <w:lang w:val="en-US"/>
                </w:rPr>
                <m:t xml:space="preserve"> </m:t>
              </m:r>
              <m:r>
                <w:rPr>
                  <w:rFonts w:ascii="Cambria Math" w:hAnsi="Cambria Math"/>
                </w:rPr>
                <m:t>und</m:t>
              </m:r>
              <m:r>
                <w:rPr>
                  <w:rFonts w:ascii="Cambria Math" w:hAnsi="Cambria Math"/>
                  <w:lang w:val="en-US"/>
                </w:rPr>
                <m:t xml:space="preserve"> </m:t>
              </m:r>
              <m:r>
                <w:rPr>
                  <w:rFonts w:ascii="Cambria Math" w:hAnsi="Cambria Math"/>
                </w:rPr>
                <m:t>LR</m:t>
              </m:r>
              <m:sSub>
                <m:sSubPr>
                  <m:ctrlPr>
                    <w:rPr>
                      <w:rFonts w:ascii="Cambria Math" w:hAnsi="Cambria Math"/>
                      <w:i/>
                    </w:rPr>
                  </m:ctrlPr>
                </m:sSubPr>
                <m:e>
                  <m:r>
                    <w:rPr>
                      <w:rFonts w:ascii="Cambria Math" w:hAnsi="Cambria Math"/>
                    </w:rPr>
                    <m:t>V</m:t>
                  </m:r>
                </m:e>
                <m:sub>
                  <m:r>
                    <w:rPr>
                      <w:rFonts w:ascii="Cambria Math" w:hAnsi="Cambria Math"/>
                    </w:rPr>
                    <m:t>treatment</m:t>
                  </m:r>
                  <m:r>
                    <w:rPr>
                      <w:rFonts w:ascii="Cambria Math" w:hAnsi="Cambria Math"/>
                      <w:lang w:val="en-US"/>
                    </w:rPr>
                    <m:t>,</m:t>
                  </m:r>
                  <m:r>
                    <w:rPr>
                      <w:rFonts w:ascii="Cambria Math" w:hAnsi="Cambria Math"/>
                    </w:rPr>
                    <m:t>max</m:t>
                  </m:r>
                </m:sub>
              </m:sSub>
            </m:oMath>
            <w:r w:rsidRPr="001C191C">
              <w:rPr>
                <w:rFonts w:eastAsiaTheme="minorEastAsia"/>
                <w:lang w:val="en-US"/>
              </w:rPr>
              <w:t xml:space="preserve">: </w:t>
            </w:r>
            <w:r w:rsidR="001C191C" w:rsidRPr="001C191C">
              <w:rPr>
                <w:rFonts w:eastAsiaTheme="minorEastAsia"/>
                <w:lang w:val="en-US"/>
              </w:rPr>
              <w:t xml:space="preserve">Minimum and maximum log-removal of the </w:t>
            </w:r>
            <w:r w:rsidR="001C191C">
              <w:rPr>
                <w:rFonts w:eastAsiaTheme="minorEastAsia"/>
                <w:lang w:val="en-US"/>
              </w:rPr>
              <w:t>failing treatment step</w:t>
            </w:r>
          </w:p>
          <w:p w14:paraId="41236D8B" w14:textId="00A9E8FB" w:rsidR="001A0A5A" w:rsidRPr="001C191C" w:rsidRDefault="001A0A5A" w:rsidP="00A038E3">
            <w:pPr>
              <w:rPr>
                <w:rFonts w:eastAsiaTheme="minorEastAsia"/>
                <w:lang w:val="en-US"/>
              </w:rPr>
            </w:pPr>
          </w:p>
        </w:tc>
      </w:tr>
    </w:tbl>
    <w:p w14:paraId="46D7E106" w14:textId="376E25AE" w:rsidR="00A8446B" w:rsidRPr="001C191C" w:rsidRDefault="001C191C">
      <w:pPr>
        <w:rPr>
          <w:rFonts w:eastAsiaTheme="minorEastAsia"/>
          <w:lang w:val="en-US"/>
        </w:rPr>
      </w:pPr>
      <w:r w:rsidRPr="001C191C">
        <w:rPr>
          <w:rFonts w:eastAsiaTheme="minorEastAsia"/>
          <w:lang w:val="en-US"/>
        </w:rPr>
        <w:t>In the worst-case scenario, the minimum LRV is used directly to calculate the daily risk of infection in the event of an incident. In the best-case scenario, the mixed concentration is calculated using the following equation: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4E577D" w14:paraId="09345454" w14:textId="77777777" w:rsidTr="00CB704F">
        <w:tc>
          <w:tcPr>
            <w:tcW w:w="1271" w:type="dxa"/>
          </w:tcPr>
          <w:p w14:paraId="349871F7" w14:textId="2362E060" w:rsidR="004E577D" w:rsidRDefault="00DE2212" w:rsidP="00CB704F">
            <w:r>
              <w:t>Eq</w:t>
            </w:r>
            <w:r w:rsidR="004E577D">
              <w:t>. 5</w:t>
            </w:r>
          </w:p>
        </w:tc>
        <w:tc>
          <w:tcPr>
            <w:tcW w:w="7791" w:type="dxa"/>
          </w:tcPr>
          <w:p w14:paraId="3250B6E0" w14:textId="77777777" w:rsidR="004E577D" w:rsidRPr="004E577D" w:rsidRDefault="004E577D" w:rsidP="00CB704F">
            <w:pPr>
              <w:rPr>
                <w:rFonts w:eastAsiaTheme="minorEastAsia"/>
              </w:rPr>
            </w:pPr>
            <m:oMathPara>
              <m:oMath>
                <m:r>
                  <w:rPr>
                    <w:rFonts w:ascii="Cambria Math" w:hAnsi="Cambria Math"/>
                  </w:rPr>
                  <m:t>LRV</m:t>
                </m:r>
                <m:sSub>
                  <m:sSubPr>
                    <m:ctrlPr>
                      <w:rPr>
                        <w:rFonts w:ascii="Cambria Math" w:hAnsi="Cambria Math"/>
                        <w:i/>
                      </w:rPr>
                    </m:ctrlPr>
                  </m:sSubPr>
                  <m:e>
                    <m:r>
                      <m:rPr>
                        <m:sty m:val="p"/>
                      </m:rPr>
                      <w:rPr>
                        <w:rFonts w:ascii="Cambria Math" w:hAnsi="Cambria Math"/>
                      </w:rPr>
                      <w:softHyphen/>
                    </m:r>
                  </m:e>
                  <m:sub>
                    <m:r>
                      <w:rPr>
                        <w:rFonts w:ascii="Cambria Math" w:hAnsi="Cambria Math"/>
                      </w:rPr>
                      <m:t>failure,mix</m:t>
                    </m:r>
                  </m:sub>
                </m:sSub>
                <m: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fail</m:t>
                                </m:r>
                              </m:sub>
                            </m:sSub>
                          </m:num>
                          <m:den>
                            <m:sSup>
                              <m:sSupPr>
                                <m:ctrlPr>
                                  <w:rPr>
                                    <w:rFonts w:ascii="Cambria Math" w:hAnsi="Cambria Math"/>
                                    <w:i/>
                                  </w:rPr>
                                </m:ctrlPr>
                              </m:sSupPr>
                              <m:e>
                                <m:r>
                                  <w:rPr>
                                    <w:rFonts w:ascii="Cambria Math" w:hAnsi="Cambria Math"/>
                                  </w:rPr>
                                  <m:t>10</m:t>
                                </m:r>
                              </m:e>
                              <m:sup>
                                <m:r>
                                  <w:rPr>
                                    <w:rFonts w:ascii="Cambria Math" w:hAnsi="Cambria Math"/>
                                  </w:rPr>
                                  <m:t>LR</m:t>
                                </m:r>
                                <m:sSub>
                                  <m:sSubPr>
                                    <m:ctrlPr>
                                      <w:rPr>
                                        <w:rFonts w:ascii="Cambria Math" w:hAnsi="Cambria Math"/>
                                        <w:i/>
                                      </w:rPr>
                                    </m:ctrlPr>
                                  </m:sSubPr>
                                  <m:e>
                                    <m:r>
                                      <w:rPr>
                                        <w:rFonts w:ascii="Cambria Math" w:hAnsi="Cambria Math"/>
                                      </w:rPr>
                                      <m:t>V</m:t>
                                    </m:r>
                                  </m:e>
                                  <m:sub>
                                    <m:r>
                                      <w:rPr>
                                        <w:rFonts w:ascii="Cambria Math" w:hAnsi="Cambria Math"/>
                                      </w:rPr>
                                      <m:t>failure,max</m:t>
                                    </m:r>
                                  </m:sub>
                                </m:sSub>
                              </m:sup>
                            </m:sSup>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fail</m:t>
                                </m:r>
                              </m:sub>
                            </m:sSub>
                          </m:num>
                          <m:den>
                            <m:sSup>
                              <m:sSupPr>
                                <m:ctrlPr>
                                  <w:rPr>
                                    <w:rFonts w:ascii="Cambria Math" w:hAnsi="Cambria Math"/>
                                    <w:i/>
                                  </w:rPr>
                                </m:ctrlPr>
                              </m:sSupPr>
                              <m:e>
                                <m:r>
                                  <w:rPr>
                                    <w:rFonts w:ascii="Cambria Math" w:hAnsi="Cambria Math"/>
                                  </w:rPr>
                                  <m:t>10</m:t>
                                </m:r>
                              </m:e>
                              <m:sup>
                                <m:r>
                                  <w:rPr>
                                    <w:rFonts w:ascii="Cambria Math" w:hAnsi="Cambria Math"/>
                                  </w:rPr>
                                  <m:t>LR</m:t>
                                </m:r>
                                <m:sSub>
                                  <m:sSubPr>
                                    <m:ctrlPr>
                                      <w:rPr>
                                        <w:rFonts w:ascii="Cambria Math" w:hAnsi="Cambria Math"/>
                                        <w:i/>
                                      </w:rPr>
                                    </m:ctrlPr>
                                  </m:sSubPr>
                                  <m:e>
                                    <m:r>
                                      <w:rPr>
                                        <w:rFonts w:ascii="Cambria Math" w:hAnsi="Cambria Math"/>
                                      </w:rPr>
                                      <m:t>V</m:t>
                                    </m:r>
                                  </m:e>
                                  <m:sub>
                                    <m:r>
                                      <w:rPr>
                                        <w:rFonts w:ascii="Cambria Math" w:hAnsi="Cambria Math"/>
                                      </w:rPr>
                                      <m:t>max</m:t>
                                    </m:r>
                                  </m:sub>
                                </m:sSub>
                              </m:sup>
                            </m:sSup>
                          </m:den>
                        </m:f>
                      </m:e>
                    </m:d>
                  </m:e>
                </m:func>
              </m:oMath>
            </m:oMathPara>
          </w:p>
          <w:p w14:paraId="5758EACB" w14:textId="6D391217" w:rsidR="004E577D" w:rsidRDefault="004E577D" w:rsidP="00CB704F"/>
        </w:tc>
      </w:tr>
      <w:tr w:rsidR="004E577D" w:rsidRPr="00045FE3" w14:paraId="0F28F365" w14:textId="77777777" w:rsidTr="00CB704F">
        <w:tc>
          <w:tcPr>
            <w:tcW w:w="1271" w:type="dxa"/>
          </w:tcPr>
          <w:p w14:paraId="3793C12E" w14:textId="77777777" w:rsidR="004E577D" w:rsidRDefault="004E577D" w:rsidP="00CB704F">
            <w:r>
              <w:t>mit</w:t>
            </w:r>
          </w:p>
        </w:tc>
        <w:tc>
          <w:tcPr>
            <w:tcW w:w="7791" w:type="dxa"/>
          </w:tcPr>
          <w:p w14:paraId="63EFE975" w14:textId="77777777" w:rsidR="001C191C" w:rsidRDefault="004E577D" w:rsidP="001C191C">
            <w:pPr>
              <w:rPr>
                <w:rFonts w:eastAsiaTheme="minorEastAsia"/>
                <w:lang w:val="en-US"/>
              </w:rPr>
            </w:pPr>
            <m:oMath>
              <m:r>
                <w:rPr>
                  <w:rFonts w:ascii="Cambria Math" w:hAnsi="Cambria Math"/>
                </w:rPr>
                <m:t>LRV</m:t>
              </m:r>
              <m:sSub>
                <m:sSubPr>
                  <m:ctrlPr>
                    <w:rPr>
                      <w:rFonts w:ascii="Cambria Math" w:hAnsi="Cambria Math"/>
                      <w:i/>
                    </w:rPr>
                  </m:ctrlPr>
                </m:sSubPr>
                <m:e>
                  <m:r>
                    <m:rPr>
                      <m:sty m:val="p"/>
                    </m:rPr>
                    <w:rPr>
                      <w:rFonts w:ascii="Cambria Math" w:hAnsi="Cambria Math"/>
                      <w:lang w:val="en-US"/>
                    </w:rPr>
                    <w:softHyphen/>
                  </m:r>
                </m:e>
                <m:sub>
                  <m:r>
                    <w:rPr>
                      <w:rFonts w:ascii="Cambria Math" w:hAnsi="Cambria Math"/>
                    </w:rPr>
                    <m:t>failure</m:t>
                  </m:r>
                  <m:r>
                    <w:rPr>
                      <w:rFonts w:ascii="Cambria Math" w:hAnsi="Cambria Math"/>
                      <w:lang w:val="en-US"/>
                    </w:rPr>
                    <m:t>,</m:t>
                  </m:r>
                  <m:r>
                    <w:rPr>
                      <w:rFonts w:ascii="Cambria Math" w:hAnsi="Cambria Math"/>
                    </w:rPr>
                    <m:t>mix</m:t>
                  </m:r>
                </m:sub>
              </m:sSub>
            </m:oMath>
            <w:r w:rsidRPr="001C191C">
              <w:rPr>
                <w:rFonts w:eastAsiaTheme="minorEastAsia"/>
                <w:lang w:val="en-US"/>
              </w:rPr>
              <w:t xml:space="preserve">: </w:t>
            </w:r>
            <w:r w:rsidR="001C191C" w:rsidRPr="001C191C">
              <w:rPr>
                <w:rFonts w:eastAsiaTheme="minorEastAsia"/>
                <w:lang w:val="en-US"/>
              </w:rPr>
              <w:t>Average log-removal of the entire treatment train with fail</w:t>
            </w:r>
            <w:r w:rsidR="001C191C">
              <w:rPr>
                <w:rFonts w:eastAsiaTheme="minorEastAsia"/>
                <w:lang w:val="en-US"/>
              </w:rPr>
              <w:t xml:space="preserve">ure event </w:t>
            </w:r>
          </w:p>
          <w:p w14:paraId="66BA2BA3" w14:textId="33A6A433" w:rsidR="004E577D" w:rsidRPr="001C191C" w:rsidRDefault="008C0170" w:rsidP="001C191C">
            <w:pPr>
              <w:rPr>
                <w:rFonts w:eastAsiaTheme="minorEastAsia"/>
                <w:lang w:val="en-US"/>
              </w:rPr>
            </w:pPr>
            <m:oMath>
              <m:sSub>
                <m:sSubPr>
                  <m:ctrlPr>
                    <w:rPr>
                      <w:rFonts w:ascii="Cambria Math" w:hAnsi="Cambria Math"/>
                      <w:i/>
                    </w:rPr>
                  </m:ctrlPr>
                </m:sSubPr>
                <m:e>
                  <m:r>
                    <w:rPr>
                      <w:rFonts w:ascii="Cambria Math" w:hAnsi="Cambria Math"/>
                    </w:rPr>
                    <m:t>x</m:t>
                  </m:r>
                </m:e>
                <m:sub>
                  <m:r>
                    <w:rPr>
                      <w:rFonts w:ascii="Cambria Math" w:hAnsi="Cambria Math"/>
                    </w:rPr>
                    <m:t>fail</m:t>
                  </m:r>
                </m:sub>
              </m:sSub>
            </m:oMath>
            <w:r w:rsidR="004E577D" w:rsidRPr="001C191C">
              <w:rPr>
                <w:rFonts w:eastAsiaTheme="minorEastAsia"/>
                <w:lang w:val="en-US"/>
              </w:rPr>
              <w:t xml:space="preserve">: </w:t>
            </w:r>
            <w:r w:rsidR="001C191C" w:rsidRPr="001C191C">
              <w:rPr>
                <w:rFonts w:eastAsiaTheme="minorEastAsia"/>
                <w:lang w:val="en-US"/>
              </w:rPr>
              <w:t xml:space="preserve">Time portion of the </w:t>
            </w:r>
            <w:r w:rsidR="001C191C">
              <w:rPr>
                <w:rFonts w:eastAsiaTheme="minorEastAsia"/>
                <w:lang w:val="en-US"/>
              </w:rPr>
              <w:t>failure event</w:t>
            </w:r>
            <w:r w:rsidR="001C191C" w:rsidRPr="001C191C">
              <w:rPr>
                <w:rFonts w:eastAsiaTheme="minorEastAsia"/>
                <w:lang w:val="en-US"/>
              </w:rPr>
              <w:t xml:space="preserve"> calculated as the duration of </w:t>
            </w:r>
            <w:r w:rsidR="001C191C">
              <w:rPr>
                <w:rFonts w:eastAsiaTheme="minorEastAsia"/>
                <w:lang w:val="en-US"/>
              </w:rPr>
              <w:t>the failure</w:t>
            </w:r>
            <w:r w:rsidR="001C191C" w:rsidRPr="001C191C">
              <w:rPr>
                <w:rFonts w:eastAsiaTheme="minorEastAsia"/>
                <w:lang w:val="en-US"/>
              </w:rPr>
              <w:t xml:space="preserve"> in minutes divided by 1,440 min</w:t>
            </w:r>
          </w:p>
        </w:tc>
      </w:tr>
    </w:tbl>
    <w:p w14:paraId="41398E67" w14:textId="77777777" w:rsidR="00A84B6B" w:rsidRPr="001C191C" w:rsidRDefault="00A84B6B">
      <w:pPr>
        <w:rPr>
          <w:rFonts w:eastAsiaTheme="minorEastAsia"/>
          <w:lang w:val="en-US"/>
        </w:rPr>
      </w:pPr>
    </w:p>
    <w:p w14:paraId="510E8EB0" w14:textId="45436407" w:rsidR="001C191C" w:rsidRPr="001C191C" w:rsidRDefault="001C191C" w:rsidP="001C191C">
      <w:pPr>
        <w:rPr>
          <w:rFonts w:eastAsiaTheme="minorEastAsia"/>
          <w:lang w:val="en-US"/>
        </w:rPr>
      </w:pPr>
      <w:r w:rsidRPr="001C191C">
        <w:rPr>
          <w:rFonts w:eastAsiaTheme="minorEastAsia"/>
          <w:lang w:val="en-US"/>
        </w:rPr>
        <w:t xml:space="preserve">For the best-case scenario, the duration of the </w:t>
      </w:r>
      <w:r>
        <w:rPr>
          <w:rFonts w:eastAsiaTheme="minorEastAsia"/>
          <w:lang w:val="en-US"/>
        </w:rPr>
        <w:t>failure</w:t>
      </w:r>
      <w:r w:rsidRPr="001C191C">
        <w:rPr>
          <w:rFonts w:eastAsiaTheme="minorEastAsia"/>
          <w:lang w:val="en-US"/>
        </w:rPr>
        <w:t xml:space="preserve"> is therefore required as an additional input variable. </w:t>
      </w:r>
    </w:p>
    <w:p w14:paraId="0D18DB35" w14:textId="2DB26BA6" w:rsidR="00A84B6B" w:rsidRPr="001C191C" w:rsidRDefault="001C191C" w:rsidP="001C191C">
      <w:pPr>
        <w:rPr>
          <w:rFonts w:eastAsiaTheme="minorEastAsia"/>
          <w:lang w:val="en-US"/>
        </w:rPr>
      </w:pPr>
      <w:r w:rsidRPr="001C191C">
        <w:rPr>
          <w:rFonts w:eastAsiaTheme="minorEastAsia"/>
          <w:lang w:val="en-US"/>
        </w:rPr>
        <w:t xml:space="preserve">The daily infection risk is calculated using Equation 2, in the same way as for the calculation without damage. When calculating the annual infection risk, a distinction must then be made between days with and without </w:t>
      </w:r>
      <w:r>
        <w:rPr>
          <w:rFonts w:eastAsiaTheme="minorEastAsia"/>
          <w:lang w:val="en-US"/>
        </w:rPr>
        <w:t>failure</w:t>
      </w:r>
      <w:r w:rsidRPr="001C191C">
        <w:rPr>
          <w:rFonts w:eastAsiaTheme="minorEastAsia"/>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A84B6B" w14:paraId="78FD149E" w14:textId="77777777" w:rsidTr="00CB704F">
        <w:tc>
          <w:tcPr>
            <w:tcW w:w="1271" w:type="dxa"/>
          </w:tcPr>
          <w:p w14:paraId="61ABE426" w14:textId="280ECF49" w:rsidR="00A84B6B" w:rsidRDefault="00DE2212" w:rsidP="00CB704F">
            <w:r>
              <w:t>Eq</w:t>
            </w:r>
            <w:r w:rsidR="00A84B6B">
              <w:t>. 6</w:t>
            </w:r>
          </w:p>
        </w:tc>
        <w:tc>
          <w:tcPr>
            <w:tcW w:w="7791" w:type="dxa"/>
          </w:tcPr>
          <w:p w14:paraId="1A5C7154" w14:textId="7A75570D" w:rsidR="00A84B6B" w:rsidRPr="004E577D" w:rsidRDefault="008C0170" w:rsidP="00CB704F">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inf-year</m:t>
                    </m:r>
                  </m:sub>
                </m:sSub>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1-P</m:t>
                        </m:r>
                        <m:sSub>
                          <m:sSubPr>
                            <m:ctrlPr>
                              <w:rPr>
                                <w:rFonts w:ascii="Cambria Math" w:hAnsi="Cambria Math"/>
                                <w:i/>
                              </w:rPr>
                            </m:ctrlPr>
                          </m:sSubPr>
                          <m:e>
                            <m:r>
                              <m:rPr>
                                <m:sty m:val="p"/>
                              </m:rPr>
                              <w:rPr>
                                <w:rFonts w:ascii="Cambria Math" w:hAnsi="Cambria Math"/>
                              </w:rPr>
                              <w:softHyphen/>
                            </m:r>
                          </m:e>
                          <m:sub>
                            <m:r>
                              <w:rPr>
                                <w:rFonts w:ascii="Cambria Math" w:hAnsi="Cambria Math"/>
                              </w:rPr>
                              <m:t>inf-day,normal</m:t>
                            </m:r>
                          </m:sub>
                        </m:sSub>
                      </m:e>
                    </m:d>
                  </m:e>
                  <m:sup>
                    <m:r>
                      <w:rPr>
                        <w:rFonts w:ascii="Cambria Math" w:hAnsi="Cambria Math"/>
                      </w:rPr>
                      <m:t>365-n</m:t>
                    </m:r>
                  </m:sup>
                </m:sSup>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inf-day,failure</m:t>
                            </m:r>
                          </m:sub>
                        </m:sSub>
                      </m:e>
                    </m:d>
                  </m:e>
                  <m:sup>
                    <m:r>
                      <w:rPr>
                        <w:rFonts w:ascii="Cambria Math" w:hAnsi="Cambria Math"/>
                      </w:rPr>
                      <m:t>n</m:t>
                    </m:r>
                  </m:sup>
                </m:sSup>
              </m:oMath>
            </m:oMathPara>
          </w:p>
          <w:p w14:paraId="67747017" w14:textId="77777777" w:rsidR="00A84B6B" w:rsidRDefault="00A84B6B" w:rsidP="00CB704F"/>
        </w:tc>
      </w:tr>
      <w:tr w:rsidR="00A84B6B" w:rsidRPr="00045FE3" w14:paraId="706893CF" w14:textId="77777777" w:rsidTr="00CB704F">
        <w:tc>
          <w:tcPr>
            <w:tcW w:w="1271" w:type="dxa"/>
          </w:tcPr>
          <w:p w14:paraId="200CF1AE" w14:textId="77777777" w:rsidR="00A84B6B" w:rsidRDefault="00A84B6B" w:rsidP="00CB704F">
            <w:r>
              <w:t>mit</w:t>
            </w:r>
          </w:p>
        </w:tc>
        <w:tc>
          <w:tcPr>
            <w:tcW w:w="7791" w:type="dxa"/>
          </w:tcPr>
          <w:p w14:paraId="1AF60A1A" w14:textId="77777777" w:rsidR="001C191C" w:rsidRDefault="008C0170" w:rsidP="00CB704F">
            <w:pPr>
              <w:rPr>
                <w:lang w:val="en-US"/>
              </w:rPr>
            </w:pPr>
            <m:oMath>
              <m:sSub>
                <m:sSubPr>
                  <m:ctrlPr>
                    <w:rPr>
                      <w:rFonts w:ascii="Cambria Math" w:hAnsi="Cambria Math"/>
                      <w:i/>
                    </w:rPr>
                  </m:ctrlPr>
                </m:sSubPr>
                <m:e>
                  <m:r>
                    <w:rPr>
                      <w:rFonts w:ascii="Cambria Math" w:hAnsi="Cambria Math"/>
                    </w:rPr>
                    <m:t>P</m:t>
                  </m:r>
                </m:e>
                <m:sub>
                  <m:r>
                    <w:rPr>
                      <w:rFonts w:ascii="Cambria Math" w:hAnsi="Cambria Math"/>
                    </w:rPr>
                    <m:t>inf</m:t>
                  </m:r>
                  <m:r>
                    <w:rPr>
                      <w:rFonts w:ascii="Cambria Math" w:hAnsi="Cambria Math"/>
                      <w:lang w:val="en-US"/>
                    </w:rPr>
                    <m:t>-</m:t>
                  </m:r>
                  <m:r>
                    <w:rPr>
                      <w:rFonts w:ascii="Cambria Math" w:hAnsi="Cambria Math"/>
                    </w:rPr>
                    <m:t>year</m:t>
                  </m:r>
                </m:sub>
              </m:sSub>
            </m:oMath>
            <w:r w:rsidR="00A84B6B" w:rsidRPr="001C191C">
              <w:rPr>
                <w:rFonts w:eastAsiaTheme="minorEastAsia"/>
                <w:lang w:val="en-US"/>
              </w:rPr>
              <w:t xml:space="preserve">: </w:t>
            </w:r>
            <w:r w:rsidR="001C191C">
              <w:rPr>
                <w:rFonts w:eastAsiaTheme="minorEastAsia"/>
                <w:lang w:val="en-US"/>
              </w:rPr>
              <w:t>A</w:t>
            </w:r>
            <w:r w:rsidR="001C191C" w:rsidRPr="00DE2212">
              <w:rPr>
                <w:lang w:val="en-US"/>
              </w:rPr>
              <w:t>nnual risk of infection</w:t>
            </w:r>
          </w:p>
          <w:p w14:paraId="1E7AC83D" w14:textId="28C1B87C" w:rsidR="001C191C" w:rsidRDefault="00A84B6B" w:rsidP="00CB704F">
            <w:pPr>
              <w:rPr>
                <w:rFonts w:eastAsiaTheme="minorEastAsia"/>
                <w:lang w:val="en-US"/>
              </w:rPr>
            </w:pPr>
            <m:oMath>
              <m:r>
                <w:rPr>
                  <w:rFonts w:ascii="Cambria Math" w:hAnsi="Cambria Math"/>
                </w:rPr>
                <m:t>P</m:t>
              </m:r>
              <m:sSub>
                <m:sSubPr>
                  <m:ctrlPr>
                    <w:rPr>
                      <w:rFonts w:ascii="Cambria Math" w:hAnsi="Cambria Math"/>
                      <w:i/>
                    </w:rPr>
                  </m:ctrlPr>
                </m:sSubPr>
                <m:e>
                  <m:r>
                    <m:rPr>
                      <m:sty m:val="p"/>
                    </m:rPr>
                    <w:rPr>
                      <w:rFonts w:ascii="Cambria Math" w:hAnsi="Cambria Math"/>
                      <w:lang w:val="en-US"/>
                    </w:rPr>
                    <w:softHyphen/>
                  </m:r>
                </m:e>
                <m:sub>
                  <m:r>
                    <w:rPr>
                      <w:rFonts w:ascii="Cambria Math" w:hAnsi="Cambria Math"/>
                    </w:rPr>
                    <m:t>inf</m:t>
                  </m:r>
                  <m:r>
                    <w:rPr>
                      <w:rFonts w:ascii="Cambria Math" w:hAnsi="Cambria Math"/>
                      <w:lang w:val="en-US"/>
                    </w:rPr>
                    <m:t>-</m:t>
                  </m:r>
                  <m:r>
                    <w:rPr>
                      <w:rFonts w:ascii="Cambria Math" w:hAnsi="Cambria Math"/>
                    </w:rPr>
                    <m:t>day</m:t>
                  </m:r>
                  <m:r>
                    <w:rPr>
                      <w:rFonts w:ascii="Cambria Math" w:hAnsi="Cambria Math"/>
                      <w:lang w:val="en-US"/>
                    </w:rPr>
                    <m:t>,</m:t>
                  </m:r>
                  <m:r>
                    <w:rPr>
                      <w:rFonts w:ascii="Cambria Math" w:hAnsi="Cambria Math"/>
                    </w:rPr>
                    <m:t>normal</m:t>
                  </m:r>
                </m:sub>
              </m:sSub>
            </m:oMath>
            <w:r w:rsidRPr="001C191C">
              <w:rPr>
                <w:rFonts w:eastAsiaTheme="minorEastAsia"/>
                <w:lang w:val="en-US"/>
              </w:rPr>
              <w:t xml:space="preserve">: </w:t>
            </w:r>
            <w:r w:rsidR="001C191C" w:rsidRPr="00DE2212">
              <w:rPr>
                <w:rFonts w:eastAsiaTheme="minorEastAsia"/>
                <w:lang w:val="en-US"/>
              </w:rPr>
              <w:t>D</w:t>
            </w:r>
            <w:r w:rsidR="001C191C" w:rsidRPr="00DE2212">
              <w:rPr>
                <w:lang w:val="en-US"/>
              </w:rPr>
              <w:t>aily risk of infection</w:t>
            </w:r>
            <w:r w:rsidR="001C191C" w:rsidRPr="00DE2212">
              <w:rPr>
                <w:rFonts w:eastAsiaTheme="minorEastAsia"/>
                <w:lang w:val="en-US"/>
              </w:rPr>
              <w:t xml:space="preserve"> </w:t>
            </w:r>
            <w:r w:rsidR="001C191C">
              <w:rPr>
                <w:rFonts w:eastAsiaTheme="minorEastAsia"/>
                <w:lang w:val="en-US"/>
              </w:rPr>
              <w:t>without failure</w:t>
            </w:r>
          </w:p>
          <w:p w14:paraId="56BBE623" w14:textId="712DBD03" w:rsidR="00A84B6B" w:rsidRPr="001C191C" w:rsidRDefault="008C0170" w:rsidP="00CB704F">
            <w:pPr>
              <w:rPr>
                <w:rFonts w:eastAsiaTheme="minorEastAsia"/>
                <w:lang w:val="en-US"/>
              </w:rPr>
            </w:pPr>
            <m:oMath>
              <m:sSub>
                <m:sSubPr>
                  <m:ctrlPr>
                    <w:rPr>
                      <w:rFonts w:ascii="Cambria Math" w:hAnsi="Cambria Math"/>
                      <w:i/>
                    </w:rPr>
                  </m:ctrlPr>
                </m:sSubPr>
                <m:e>
                  <m:r>
                    <w:rPr>
                      <w:rFonts w:ascii="Cambria Math" w:hAnsi="Cambria Math"/>
                    </w:rPr>
                    <m:t>P</m:t>
                  </m:r>
                </m:e>
                <m:sub>
                  <m:r>
                    <w:rPr>
                      <w:rFonts w:ascii="Cambria Math" w:hAnsi="Cambria Math"/>
                    </w:rPr>
                    <m:t>inf</m:t>
                  </m:r>
                  <m:r>
                    <w:rPr>
                      <w:rFonts w:ascii="Cambria Math" w:hAnsi="Cambria Math"/>
                      <w:lang w:val="en-US"/>
                    </w:rPr>
                    <m:t>-</m:t>
                  </m:r>
                  <m:r>
                    <w:rPr>
                      <w:rFonts w:ascii="Cambria Math" w:hAnsi="Cambria Math"/>
                    </w:rPr>
                    <m:t>day</m:t>
                  </m:r>
                  <m:r>
                    <w:rPr>
                      <w:rFonts w:ascii="Cambria Math" w:hAnsi="Cambria Math"/>
                      <w:lang w:val="en-US"/>
                    </w:rPr>
                    <m:t>,</m:t>
                  </m:r>
                  <m:r>
                    <w:rPr>
                      <w:rFonts w:ascii="Cambria Math" w:hAnsi="Cambria Math"/>
                    </w:rPr>
                    <m:t>failure</m:t>
                  </m:r>
                </m:sub>
              </m:sSub>
            </m:oMath>
            <w:r w:rsidR="00A84B6B" w:rsidRPr="001C191C">
              <w:rPr>
                <w:rFonts w:eastAsiaTheme="minorEastAsia"/>
                <w:lang w:val="en-US"/>
              </w:rPr>
              <w:t xml:space="preserve">: </w:t>
            </w:r>
            <w:r w:rsidR="001C191C" w:rsidRPr="00DE2212">
              <w:rPr>
                <w:rFonts w:eastAsiaTheme="minorEastAsia"/>
                <w:lang w:val="en-US"/>
              </w:rPr>
              <w:t>D</w:t>
            </w:r>
            <w:r w:rsidR="001C191C" w:rsidRPr="00DE2212">
              <w:rPr>
                <w:lang w:val="en-US"/>
              </w:rPr>
              <w:t>aily risk of infection</w:t>
            </w:r>
            <w:r w:rsidR="001C191C" w:rsidRPr="00DE2212">
              <w:rPr>
                <w:rFonts w:eastAsiaTheme="minorEastAsia"/>
                <w:lang w:val="en-US"/>
              </w:rPr>
              <w:t xml:space="preserve"> </w:t>
            </w:r>
            <w:r w:rsidR="001C191C">
              <w:rPr>
                <w:rFonts w:eastAsiaTheme="minorEastAsia"/>
                <w:lang w:val="en-US"/>
              </w:rPr>
              <w:t>with failure</w:t>
            </w:r>
          </w:p>
          <w:p w14:paraId="40895AAE" w14:textId="71199266" w:rsidR="00B76810" w:rsidRPr="001C191C" w:rsidRDefault="00A84B6B" w:rsidP="00CB704F">
            <w:pPr>
              <w:rPr>
                <w:rFonts w:eastAsiaTheme="minorEastAsia"/>
                <w:lang w:val="en-US"/>
              </w:rPr>
            </w:pPr>
            <m:oMath>
              <m:r>
                <w:rPr>
                  <w:rFonts w:ascii="Cambria Math" w:hAnsi="Cambria Math"/>
                </w:rPr>
                <w:lastRenderedPageBreak/>
                <m:t>n</m:t>
              </m:r>
            </m:oMath>
            <w:r w:rsidRPr="001C191C">
              <w:rPr>
                <w:rFonts w:eastAsiaTheme="minorEastAsia"/>
                <w:lang w:val="en-US"/>
              </w:rPr>
              <w:t>:</w:t>
            </w:r>
            <w:r w:rsidR="001C191C" w:rsidRPr="001C191C">
              <w:rPr>
                <w:rFonts w:eastAsiaTheme="minorEastAsia"/>
                <w:lang w:val="en-US"/>
              </w:rPr>
              <w:t xml:space="preserve"> Frequency of failure events in days per year</w:t>
            </w:r>
          </w:p>
        </w:tc>
      </w:tr>
    </w:tbl>
    <w:p w14:paraId="4FC96E22" w14:textId="77777777" w:rsidR="008C0170" w:rsidRDefault="008C0170">
      <w:pPr>
        <w:rPr>
          <w:rFonts w:eastAsiaTheme="minorEastAsia"/>
          <w:lang w:val="en-US"/>
        </w:rPr>
      </w:pPr>
    </w:p>
    <w:p w14:paraId="440F7449" w14:textId="50A7C8A6" w:rsidR="001C191C" w:rsidRPr="001C191C" w:rsidRDefault="001C191C">
      <w:pPr>
        <w:rPr>
          <w:rFonts w:eastAsiaTheme="minorEastAsia"/>
          <w:lang w:val="en-US"/>
        </w:rPr>
      </w:pPr>
      <w:r>
        <w:rPr>
          <w:rFonts w:eastAsiaTheme="minorEastAsia"/>
          <w:lang w:val="en-US"/>
        </w:rPr>
        <w:t xml:space="preserve">The day of the year on which the failure occurs or time of the failure within a given day </w:t>
      </w:r>
      <w:r w:rsidRPr="001C191C">
        <w:rPr>
          <w:rFonts w:eastAsiaTheme="minorEastAsia"/>
          <w:lang w:val="en-US"/>
        </w:rPr>
        <w:t>is not relevant for the calculation.</w:t>
      </w:r>
    </w:p>
    <w:p w14:paraId="3393D6AF" w14:textId="19863CD9" w:rsidR="001C191C" w:rsidRPr="00045FE3" w:rsidRDefault="001C191C" w:rsidP="001C191C">
      <w:pPr>
        <w:rPr>
          <w:rFonts w:eastAsiaTheme="minorEastAsia"/>
          <w:b/>
          <w:bCs/>
          <w:color w:val="E97132" w:themeColor="accent2"/>
          <w:lang w:val="en-US"/>
        </w:rPr>
      </w:pPr>
      <w:r w:rsidRPr="00045FE3">
        <w:rPr>
          <w:rFonts w:eastAsiaTheme="minorEastAsia"/>
          <w:b/>
          <w:bCs/>
          <w:color w:val="E97132" w:themeColor="accent2"/>
          <w:lang w:val="en-US"/>
        </w:rPr>
        <w:t xml:space="preserve">Required information in the QMRA tool for integrating </w:t>
      </w:r>
      <w:r w:rsidR="008C0170">
        <w:rPr>
          <w:rFonts w:eastAsiaTheme="minorEastAsia"/>
          <w:b/>
          <w:bCs/>
          <w:color w:val="E97132" w:themeColor="accent2"/>
          <w:lang w:val="en-US"/>
        </w:rPr>
        <w:t>failure events</w:t>
      </w:r>
      <w:r w:rsidRPr="00045FE3">
        <w:rPr>
          <w:rFonts w:eastAsiaTheme="minorEastAsia"/>
          <w:b/>
          <w:bCs/>
          <w:color w:val="E97132" w:themeColor="accent2"/>
          <w:lang w:val="en-US"/>
        </w:rPr>
        <w:t>:</w:t>
      </w:r>
    </w:p>
    <w:p w14:paraId="35ADA549" w14:textId="1E583914" w:rsidR="001C191C" w:rsidRPr="00045FE3" w:rsidRDefault="001C191C" w:rsidP="00B76810">
      <w:pPr>
        <w:pStyle w:val="Listenabsatz"/>
        <w:numPr>
          <w:ilvl w:val="0"/>
          <w:numId w:val="2"/>
        </w:numPr>
        <w:rPr>
          <w:rFonts w:eastAsiaTheme="minorEastAsia"/>
          <w:b/>
          <w:bCs/>
          <w:color w:val="E97132" w:themeColor="accent2"/>
          <w:lang w:val="en-US"/>
        </w:rPr>
      </w:pPr>
      <w:r w:rsidRPr="001C191C">
        <w:rPr>
          <w:rFonts w:eastAsiaTheme="minorEastAsia"/>
          <w:b/>
          <w:bCs/>
          <w:color w:val="E97132" w:themeColor="accent2"/>
          <w:lang w:val="en-US"/>
        </w:rPr>
        <w:t xml:space="preserve">Average duration of the </w:t>
      </w:r>
      <w:r w:rsidR="00045FE3">
        <w:rPr>
          <w:rFonts w:eastAsiaTheme="minorEastAsia"/>
          <w:b/>
          <w:bCs/>
          <w:color w:val="E97132" w:themeColor="accent2"/>
          <w:lang w:val="en-US"/>
        </w:rPr>
        <w:t>failure</w:t>
      </w:r>
      <w:r w:rsidRPr="001C191C">
        <w:rPr>
          <w:rFonts w:eastAsiaTheme="minorEastAsia"/>
          <w:b/>
          <w:bCs/>
          <w:color w:val="E97132" w:themeColor="accent2"/>
          <w:lang w:val="en-US"/>
        </w:rPr>
        <w:t xml:space="preserve"> in minutes (integers between 1 and 1440)</w:t>
      </w:r>
      <w:r w:rsidR="00FD50C6">
        <w:rPr>
          <w:rFonts w:eastAsiaTheme="minorEastAsia"/>
          <w:b/>
          <w:bCs/>
          <w:color w:val="E97132" w:themeColor="accent2"/>
          <w:lang w:val="en-US"/>
        </w:rPr>
        <w:t xml:space="preserve"> </w:t>
      </w:r>
      <w:r w:rsidR="00FD50C6" w:rsidRPr="00FD50C6">
        <w:rPr>
          <w:rFonts w:eastAsiaTheme="minorEastAsia"/>
          <w:b/>
          <w:bCs/>
          <w:color w:val="E97132" w:themeColor="accent2"/>
          <w:lang w:val="en-US"/>
        </w:rPr>
        <w:sym w:font="Wingdings" w:char="F0E0"/>
      </w:r>
      <w:r w:rsidR="00FD50C6">
        <w:rPr>
          <w:rFonts w:eastAsiaTheme="minorEastAsia"/>
          <w:b/>
          <w:bCs/>
          <w:color w:val="E97132" w:themeColor="accent2"/>
          <w:lang w:val="en-US"/>
        </w:rPr>
        <w:t xml:space="preserve"> Default 30 min</w:t>
      </w:r>
    </w:p>
    <w:p w14:paraId="6C037574" w14:textId="360E4BBF" w:rsidR="00B76810" w:rsidRPr="001C191C" w:rsidRDefault="001C191C" w:rsidP="00B76810">
      <w:pPr>
        <w:pStyle w:val="Listenabsatz"/>
        <w:numPr>
          <w:ilvl w:val="0"/>
          <w:numId w:val="2"/>
        </w:numPr>
        <w:rPr>
          <w:rFonts w:eastAsiaTheme="minorEastAsia"/>
          <w:b/>
          <w:bCs/>
          <w:color w:val="E97132" w:themeColor="accent2"/>
          <w:lang w:val="en-US"/>
        </w:rPr>
      </w:pPr>
      <w:r w:rsidRPr="001C191C">
        <w:rPr>
          <w:rFonts w:eastAsiaTheme="minorEastAsia"/>
          <w:b/>
          <w:bCs/>
          <w:color w:val="E97132" w:themeColor="accent2"/>
          <w:lang w:val="en-US"/>
        </w:rPr>
        <w:t xml:space="preserve">Frequency of </w:t>
      </w:r>
      <w:r w:rsidR="00FD50C6">
        <w:rPr>
          <w:rFonts w:eastAsiaTheme="minorEastAsia"/>
          <w:b/>
          <w:bCs/>
          <w:color w:val="E97132" w:themeColor="accent2"/>
          <w:lang w:val="en-US"/>
        </w:rPr>
        <w:t>failure events</w:t>
      </w:r>
      <w:r w:rsidRPr="001C191C">
        <w:rPr>
          <w:rFonts w:eastAsiaTheme="minorEastAsia"/>
          <w:b/>
          <w:bCs/>
          <w:color w:val="E97132" w:themeColor="accent2"/>
          <w:lang w:val="en-US"/>
        </w:rPr>
        <w:t xml:space="preserve"> in days per year (</w:t>
      </w:r>
      <w:r>
        <w:rPr>
          <w:rFonts w:eastAsiaTheme="minorEastAsia"/>
          <w:b/>
          <w:bCs/>
          <w:color w:val="E97132" w:themeColor="accent2"/>
          <w:lang w:val="en-US"/>
        </w:rPr>
        <w:t>float</w:t>
      </w:r>
      <w:r w:rsidRPr="001C191C">
        <w:rPr>
          <w:rFonts w:eastAsiaTheme="minorEastAsia"/>
          <w:b/>
          <w:bCs/>
          <w:color w:val="E97132" w:themeColor="accent2"/>
          <w:lang w:val="en-US"/>
        </w:rPr>
        <w:t xml:space="preserve"> between 0 and 365)</w:t>
      </w:r>
      <w:r w:rsidR="00FD50C6">
        <w:rPr>
          <w:rFonts w:eastAsiaTheme="minorEastAsia"/>
          <w:b/>
          <w:bCs/>
          <w:color w:val="E97132" w:themeColor="accent2"/>
          <w:lang w:val="en-US"/>
        </w:rPr>
        <w:t xml:space="preserve"> </w:t>
      </w:r>
      <w:r w:rsidR="00FD50C6" w:rsidRPr="00FD50C6">
        <w:rPr>
          <w:rFonts w:eastAsiaTheme="minorEastAsia"/>
          <w:b/>
          <w:bCs/>
          <w:color w:val="E97132" w:themeColor="accent2"/>
          <w:lang w:val="en-US"/>
        </w:rPr>
        <w:sym w:font="Wingdings" w:char="F0E0"/>
      </w:r>
      <w:r w:rsidR="00FD50C6">
        <w:rPr>
          <w:rFonts w:eastAsiaTheme="minorEastAsia"/>
          <w:b/>
          <w:bCs/>
          <w:color w:val="E97132" w:themeColor="accent2"/>
          <w:lang w:val="en-US"/>
        </w:rPr>
        <w:t xml:space="preserve"> Default is 0</w:t>
      </w:r>
    </w:p>
    <w:p w14:paraId="73F761DA" w14:textId="299FC371" w:rsidR="00B76810" w:rsidRPr="001C191C" w:rsidRDefault="00240D52" w:rsidP="00B76810">
      <w:pPr>
        <w:pStyle w:val="berschrift2"/>
        <w:rPr>
          <w:rFonts w:eastAsiaTheme="minorEastAsia"/>
          <w:lang w:val="en-US"/>
        </w:rPr>
      </w:pPr>
      <w:r>
        <w:rPr>
          <w:rFonts w:eastAsiaTheme="minorEastAsia"/>
          <w:lang w:val="en-US"/>
        </w:rPr>
        <w:t xml:space="preserve">Next Step: </w:t>
      </w:r>
      <w:r w:rsidR="001C191C" w:rsidRPr="001C191C">
        <w:rPr>
          <w:rFonts w:eastAsiaTheme="minorEastAsia"/>
          <w:lang w:val="en-US"/>
        </w:rPr>
        <w:t>Combination of damage across multiple technologies</w:t>
      </w:r>
    </w:p>
    <w:p w14:paraId="15901A47" w14:textId="77777777" w:rsidR="001C191C" w:rsidRPr="001C191C" w:rsidRDefault="001C191C" w:rsidP="00B76810">
      <w:pPr>
        <w:rPr>
          <w:rFonts w:eastAsiaTheme="minorEastAsia"/>
          <w:lang w:val="en-US"/>
        </w:rPr>
      </w:pPr>
      <w:r w:rsidRPr="001C191C">
        <w:rPr>
          <w:rFonts w:eastAsiaTheme="minorEastAsia"/>
          <w:lang w:val="en-US"/>
        </w:rPr>
        <w:t>Information on the frequency of damage is available for each treatment step. From this information, a sequence of length 365 consisting of zeros and ones can be randomly selected, where zeros represent days without a damage event and ones represent days with a damage event. The draw is performed using a binomial distribution, in which the probability corresponds to the number of days per year (e.g., 1.37% for 5 days per year means that for each day, a 1 is drawn with a probability of 1.37%). This results in years in which there may be more or fewer damage events than assumed. The random draws become part of the Monte Carlo simulation and can thus be accounted for along with the varying input concentrations.</w:t>
      </w:r>
    </w:p>
    <w:p w14:paraId="3A868D09" w14:textId="2522A098" w:rsidR="00B76810" w:rsidRPr="001C191C" w:rsidRDefault="001C191C" w:rsidP="00B76810">
      <w:pPr>
        <w:rPr>
          <w:rFonts w:eastAsiaTheme="minorEastAsia"/>
          <w:lang w:val="en-US"/>
        </w:rPr>
      </w:pPr>
      <w:r w:rsidRPr="001C191C">
        <w:rPr>
          <w:rFonts w:eastAsiaTheme="minorEastAsia"/>
          <w:lang w:val="en-US"/>
        </w:rPr>
        <w:t>This process is carried out for each treatment step, so it is possible that several treatment steps could fail at the same time, although this is rather unlikely given the expected low frequency of such occurrences.</w:t>
      </w:r>
    </w:p>
    <w:p w14:paraId="0B93D2FB" w14:textId="4CB525DE" w:rsidR="00AE39F9" w:rsidRPr="001C191C" w:rsidRDefault="001C191C" w:rsidP="00B76810">
      <w:pPr>
        <w:rPr>
          <w:rFonts w:eastAsiaTheme="minorEastAsia"/>
          <w:lang w:val="en-US"/>
        </w:rPr>
      </w:pPr>
      <w:r w:rsidRPr="001C191C">
        <w:rPr>
          <w:rFonts w:eastAsiaTheme="minorEastAsia"/>
          <w:lang w:val="en-US"/>
        </w:rPr>
        <w:t>The following table shows an example of one week in a year</w:t>
      </w:r>
      <w:r>
        <w:rPr>
          <w:rFonts w:eastAsiaTheme="minorEastAsia"/>
          <w:lang w:val="en-US"/>
        </w:rPr>
        <w:t>.</w:t>
      </w:r>
    </w:p>
    <w:tbl>
      <w:tblPr>
        <w:tblStyle w:val="Gitternetztabelle1hell"/>
        <w:tblW w:w="9062" w:type="dxa"/>
        <w:tblLook w:val="0420" w:firstRow="1" w:lastRow="0" w:firstColumn="0" w:lastColumn="0" w:noHBand="0" w:noVBand="1"/>
      </w:tblPr>
      <w:tblGrid>
        <w:gridCol w:w="1806"/>
        <w:gridCol w:w="1829"/>
        <w:gridCol w:w="1829"/>
        <w:gridCol w:w="1829"/>
        <w:gridCol w:w="1769"/>
      </w:tblGrid>
      <w:tr w:rsidR="00F230CC" w:rsidRPr="00AE39F9" w14:paraId="278C7C96" w14:textId="22DC8932" w:rsidTr="00F230CC">
        <w:trPr>
          <w:cnfStyle w:val="100000000000" w:firstRow="1" w:lastRow="0" w:firstColumn="0" w:lastColumn="0" w:oddVBand="0" w:evenVBand="0" w:oddHBand="0" w:evenHBand="0" w:firstRowFirstColumn="0" w:firstRowLastColumn="0" w:lastRowFirstColumn="0" w:lastRowLastColumn="0"/>
          <w:trHeight w:val="340"/>
        </w:trPr>
        <w:tc>
          <w:tcPr>
            <w:tcW w:w="1806" w:type="dxa"/>
            <w:hideMark/>
          </w:tcPr>
          <w:p w14:paraId="6C056812" w14:textId="77777777" w:rsidR="00F230CC" w:rsidRPr="001C191C" w:rsidRDefault="00F230CC" w:rsidP="00AE39F9">
            <w:pPr>
              <w:pStyle w:val="KeinLeerraum"/>
              <w:rPr>
                <w:lang w:val="en-US"/>
              </w:rPr>
            </w:pPr>
          </w:p>
        </w:tc>
        <w:tc>
          <w:tcPr>
            <w:tcW w:w="5487" w:type="dxa"/>
            <w:gridSpan w:val="3"/>
            <w:hideMark/>
          </w:tcPr>
          <w:p w14:paraId="26766850" w14:textId="619FA44C" w:rsidR="00F230CC" w:rsidRPr="00AE39F9" w:rsidRDefault="00F230CC" w:rsidP="00AE39F9">
            <w:pPr>
              <w:pStyle w:val="KeinLeerraum"/>
            </w:pPr>
            <w:r w:rsidRPr="00AE39F9">
              <w:t>Failure</w:t>
            </w:r>
            <w:r>
              <w:t xml:space="preserve"> (1: yes, 0: no)</w:t>
            </w:r>
          </w:p>
        </w:tc>
        <w:tc>
          <w:tcPr>
            <w:tcW w:w="1769" w:type="dxa"/>
          </w:tcPr>
          <w:p w14:paraId="01881238" w14:textId="0AEC6712" w:rsidR="00F230CC" w:rsidRPr="00AE39F9" w:rsidRDefault="00F230CC" w:rsidP="00AE39F9">
            <w:pPr>
              <w:pStyle w:val="KeinLeerraum"/>
            </w:pPr>
            <w:r>
              <w:t>LRV</w:t>
            </w:r>
          </w:p>
        </w:tc>
      </w:tr>
      <w:tr w:rsidR="00F230CC" w:rsidRPr="00AE39F9" w14:paraId="6050C173" w14:textId="5C2F93A8" w:rsidTr="00F230CC">
        <w:trPr>
          <w:trHeight w:val="340"/>
        </w:trPr>
        <w:tc>
          <w:tcPr>
            <w:tcW w:w="1806" w:type="dxa"/>
            <w:hideMark/>
          </w:tcPr>
          <w:p w14:paraId="539450D2" w14:textId="77777777" w:rsidR="00F230CC" w:rsidRPr="00AE39F9" w:rsidRDefault="00F230CC" w:rsidP="00AE39F9">
            <w:pPr>
              <w:pStyle w:val="KeinLeerraum"/>
            </w:pPr>
            <w:r w:rsidRPr="00AE39F9">
              <w:t>Day</w:t>
            </w:r>
          </w:p>
        </w:tc>
        <w:tc>
          <w:tcPr>
            <w:tcW w:w="1829" w:type="dxa"/>
            <w:hideMark/>
          </w:tcPr>
          <w:p w14:paraId="7BED6951" w14:textId="77777777" w:rsidR="00F230CC" w:rsidRPr="00AE39F9" w:rsidRDefault="00F230CC" w:rsidP="00AE39F9">
            <w:pPr>
              <w:pStyle w:val="KeinLeerraum"/>
            </w:pPr>
            <w:r w:rsidRPr="00AE39F9">
              <w:t>Tech1</w:t>
            </w:r>
          </w:p>
        </w:tc>
        <w:tc>
          <w:tcPr>
            <w:tcW w:w="1829" w:type="dxa"/>
            <w:hideMark/>
          </w:tcPr>
          <w:p w14:paraId="5DEE513E" w14:textId="77777777" w:rsidR="00F230CC" w:rsidRPr="00AE39F9" w:rsidRDefault="00F230CC" w:rsidP="00AE39F9">
            <w:pPr>
              <w:pStyle w:val="KeinLeerraum"/>
            </w:pPr>
            <w:r w:rsidRPr="00AE39F9">
              <w:t>Tech2</w:t>
            </w:r>
          </w:p>
        </w:tc>
        <w:tc>
          <w:tcPr>
            <w:tcW w:w="1829" w:type="dxa"/>
            <w:hideMark/>
          </w:tcPr>
          <w:p w14:paraId="1AAFAB71" w14:textId="77777777" w:rsidR="00F230CC" w:rsidRPr="00AE39F9" w:rsidRDefault="00F230CC" w:rsidP="00AE39F9">
            <w:pPr>
              <w:pStyle w:val="KeinLeerraum"/>
            </w:pPr>
            <w:r w:rsidRPr="00AE39F9">
              <w:t>Tech3</w:t>
            </w:r>
          </w:p>
        </w:tc>
        <w:tc>
          <w:tcPr>
            <w:tcW w:w="1769" w:type="dxa"/>
          </w:tcPr>
          <w:p w14:paraId="28407F68" w14:textId="77777777" w:rsidR="00F230CC" w:rsidRPr="00AE39F9" w:rsidRDefault="00F230CC" w:rsidP="00AE39F9">
            <w:pPr>
              <w:pStyle w:val="KeinLeerraum"/>
            </w:pPr>
          </w:p>
        </w:tc>
      </w:tr>
      <w:tr w:rsidR="00F230CC" w:rsidRPr="00AE39F9" w14:paraId="5E9A0014" w14:textId="4D6482E3" w:rsidTr="00F230CC">
        <w:trPr>
          <w:trHeight w:val="340"/>
        </w:trPr>
        <w:tc>
          <w:tcPr>
            <w:tcW w:w="1806" w:type="dxa"/>
            <w:hideMark/>
          </w:tcPr>
          <w:p w14:paraId="151A49D9" w14:textId="77777777" w:rsidR="00F230CC" w:rsidRPr="00AE39F9" w:rsidRDefault="00F230CC" w:rsidP="00AE39F9">
            <w:pPr>
              <w:pStyle w:val="KeinLeerraum"/>
            </w:pPr>
            <w:r w:rsidRPr="00AE39F9">
              <w:t>1</w:t>
            </w:r>
          </w:p>
        </w:tc>
        <w:tc>
          <w:tcPr>
            <w:tcW w:w="1829" w:type="dxa"/>
            <w:hideMark/>
          </w:tcPr>
          <w:p w14:paraId="2C8FC0FB" w14:textId="77777777" w:rsidR="00F230CC" w:rsidRPr="00AE39F9" w:rsidRDefault="00F230CC" w:rsidP="00AE39F9">
            <w:pPr>
              <w:pStyle w:val="KeinLeerraum"/>
            </w:pPr>
            <w:r w:rsidRPr="00AE39F9">
              <w:t>0</w:t>
            </w:r>
          </w:p>
        </w:tc>
        <w:tc>
          <w:tcPr>
            <w:tcW w:w="1829" w:type="dxa"/>
            <w:hideMark/>
          </w:tcPr>
          <w:p w14:paraId="21EB2B09" w14:textId="77777777" w:rsidR="00F230CC" w:rsidRPr="00AE39F9" w:rsidRDefault="00F230CC" w:rsidP="00AE39F9">
            <w:pPr>
              <w:pStyle w:val="KeinLeerraum"/>
            </w:pPr>
            <w:r w:rsidRPr="00AE39F9">
              <w:t>1</w:t>
            </w:r>
          </w:p>
        </w:tc>
        <w:tc>
          <w:tcPr>
            <w:tcW w:w="1829" w:type="dxa"/>
            <w:hideMark/>
          </w:tcPr>
          <w:p w14:paraId="55DEC78B" w14:textId="77777777" w:rsidR="00F230CC" w:rsidRPr="00AE39F9" w:rsidRDefault="00F230CC" w:rsidP="00AE39F9">
            <w:pPr>
              <w:pStyle w:val="KeinLeerraum"/>
            </w:pPr>
            <w:r w:rsidRPr="00AE39F9">
              <w:t>1</w:t>
            </w:r>
          </w:p>
        </w:tc>
        <w:tc>
          <w:tcPr>
            <w:tcW w:w="1769" w:type="dxa"/>
          </w:tcPr>
          <w:p w14:paraId="23FE0A98" w14:textId="6AB4A25C" w:rsidR="00F230CC" w:rsidRPr="00AE39F9" w:rsidRDefault="00F230CC" w:rsidP="00AE39F9">
            <w:pPr>
              <w:pStyle w:val="KeinLeerraum"/>
            </w:pPr>
            <w:r>
              <w:t>Failure, Tech2-Tech3</w:t>
            </w:r>
          </w:p>
        </w:tc>
      </w:tr>
      <w:tr w:rsidR="00F230CC" w:rsidRPr="00AE39F9" w14:paraId="476A7734" w14:textId="63E931AC" w:rsidTr="00F230CC">
        <w:trPr>
          <w:trHeight w:val="340"/>
        </w:trPr>
        <w:tc>
          <w:tcPr>
            <w:tcW w:w="1806" w:type="dxa"/>
            <w:hideMark/>
          </w:tcPr>
          <w:p w14:paraId="5501DE46" w14:textId="77777777" w:rsidR="00F230CC" w:rsidRPr="00AE39F9" w:rsidRDefault="00F230CC" w:rsidP="00AE39F9">
            <w:pPr>
              <w:pStyle w:val="KeinLeerraum"/>
            </w:pPr>
            <w:r w:rsidRPr="00AE39F9">
              <w:t>2</w:t>
            </w:r>
          </w:p>
        </w:tc>
        <w:tc>
          <w:tcPr>
            <w:tcW w:w="1829" w:type="dxa"/>
            <w:hideMark/>
          </w:tcPr>
          <w:p w14:paraId="43B9098F" w14:textId="77777777" w:rsidR="00F230CC" w:rsidRPr="00AE39F9" w:rsidRDefault="00F230CC" w:rsidP="00AE39F9">
            <w:pPr>
              <w:pStyle w:val="KeinLeerraum"/>
            </w:pPr>
            <w:r w:rsidRPr="00AE39F9">
              <w:t>0</w:t>
            </w:r>
          </w:p>
        </w:tc>
        <w:tc>
          <w:tcPr>
            <w:tcW w:w="1829" w:type="dxa"/>
            <w:hideMark/>
          </w:tcPr>
          <w:p w14:paraId="2CB07C88" w14:textId="77777777" w:rsidR="00F230CC" w:rsidRPr="00AE39F9" w:rsidRDefault="00F230CC" w:rsidP="00AE39F9">
            <w:pPr>
              <w:pStyle w:val="KeinLeerraum"/>
            </w:pPr>
            <w:r w:rsidRPr="00AE39F9">
              <w:t>0</w:t>
            </w:r>
          </w:p>
        </w:tc>
        <w:tc>
          <w:tcPr>
            <w:tcW w:w="1829" w:type="dxa"/>
            <w:hideMark/>
          </w:tcPr>
          <w:p w14:paraId="09A62F1F" w14:textId="77777777" w:rsidR="00F230CC" w:rsidRPr="00AE39F9" w:rsidRDefault="00F230CC" w:rsidP="00AE39F9">
            <w:pPr>
              <w:pStyle w:val="KeinLeerraum"/>
            </w:pPr>
            <w:r w:rsidRPr="00AE39F9">
              <w:t>0</w:t>
            </w:r>
          </w:p>
        </w:tc>
        <w:tc>
          <w:tcPr>
            <w:tcW w:w="1769" w:type="dxa"/>
          </w:tcPr>
          <w:p w14:paraId="04238621" w14:textId="1511E885" w:rsidR="00F230CC" w:rsidRPr="00AE39F9" w:rsidRDefault="00F230CC" w:rsidP="00AE39F9">
            <w:pPr>
              <w:pStyle w:val="KeinLeerraum"/>
            </w:pPr>
            <w:r>
              <w:t>Normal</w:t>
            </w:r>
          </w:p>
        </w:tc>
      </w:tr>
      <w:tr w:rsidR="00F230CC" w:rsidRPr="00AE39F9" w14:paraId="1E975B89" w14:textId="61DD5004" w:rsidTr="00F230CC">
        <w:trPr>
          <w:trHeight w:val="340"/>
        </w:trPr>
        <w:tc>
          <w:tcPr>
            <w:tcW w:w="1806" w:type="dxa"/>
            <w:hideMark/>
          </w:tcPr>
          <w:p w14:paraId="5A6BCF8B" w14:textId="77777777" w:rsidR="00F230CC" w:rsidRPr="00AE39F9" w:rsidRDefault="00F230CC" w:rsidP="00AE39F9">
            <w:pPr>
              <w:pStyle w:val="KeinLeerraum"/>
            </w:pPr>
            <w:r w:rsidRPr="00AE39F9">
              <w:t>3</w:t>
            </w:r>
          </w:p>
        </w:tc>
        <w:tc>
          <w:tcPr>
            <w:tcW w:w="1829" w:type="dxa"/>
            <w:hideMark/>
          </w:tcPr>
          <w:p w14:paraId="7505F689" w14:textId="77777777" w:rsidR="00F230CC" w:rsidRPr="00AE39F9" w:rsidRDefault="00F230CC" w:rsidP="00AE39F9">
            <w:pPr>
              <w:pStyle w:val="KeinLeerraum"/>
            </w:pPr>
            <w:r w:rsidRPr="00AE39F9">
              <w:t>0</w:t>
            </w:r>
          </w:p>
        </w:tc>
        <w:tc>
          <w:tcPr>
            <w:tcW w:w="1829" w:type="dxa"/>
            <w:hideMark/>
          </w:tcPr>
          <w:p w14:paraId="00CFED52" w14:textId="77777777" w:rsidR="00F230CC" w:rsidRPr="00AE39F9" w:rsidRDefault="00F230CC" w:rsidP="00AE39F9">
            <w:pPr>
              <w:pStyle w:val="KeinLeerraum"/>
            </w:pPr>
            <w:r w:rsidRPr="00AE39F9">
              <w:t>0</w:t>
            </w:r>
          </w:p>
        </w:tc>
        <w:tc>
          <w:tcPr>
            <w:tcW w:w="1829" w:type="dxa"/>
            <w:hideMark/>
          </w:tcPr>
          <w:p w14:paraId="43D00688" w14:textId="77777777" w:rsidR="00F230CC" w:rsidRPr="00AE39F9" w:rsidRDefault="00F230CC" w:rsidP="00AE39F9">
            <w:pPr>
              <w:pStyle w:val="KeinLeerraum"/>
            </w:pPr>
            <w:r w:rsidRPr="00AE39F9">
              <w:t>0</w:t>
            </w:r>
          </w:p>
        </w:tc>
        <w:tc>
          <w:tcPr>
            <w:tcW w:w="1769" w:type="dxa"/>
          </w:tcPr>
          <w:p w14:paraId="025393DB" w14:textId="791C1747" w:rsidR="00F230CC" w:rsidRPr="00AE39F9" w:rsidRDefault="00F230CC" w:rsidP="00AE39F9">
            <w:pPr>
              <w:pStyle w:val="KeinLeerraum"/>
            </w:pPr>
            <w:r>
              <w:t>Normal</w:t>
            </w:r>
          </w:p>
        </w:tc>
      </w:tr>
      <w:tr w:rsidR="00F230CC" w:rsidRPr="00AE39F9" w14:paraId="1DAB8BFC" w14:textId="5B5BE956" w:rsidTr="00F230CC">
        <w:trPr>
          <w:trHeight w:val="340"/>
        </w:trPr>
        <w:tc>
          <w:tcPr>
            <w:tcW w:w="1806" w:type="dxa"/>
            <w:hideMark/>
          </w:tcPr>
          <w:p w14:paraId="2F9F6AB1" w14:textId="77777777" w:rsidR="00F230CC" w:rsidRPr="00AE39F9" w:rsidRDefault="00F230CC" w:rsidP="00AE39F9">
            <w:pPr>
              <w:pStyle w:val="KeinLeerraum"/>
            </w:pPr>
            <w:r w:rsidRPr="00AE39F9">
              <w:t>4</w:t>
            </w:r>
          </w:p>
        </w:tc>
        <w:tc>
          <w:tcPr>
            <w:tcW w:w="1829" w:type="dxa"/>
            <w:hideMark/>
          </w:tcPr>
          <w:p w14:paraId="11CCCC90" w14:textId="77777777" w:rsidR="00F230CC" w:rsidRPr="00AE39F9" w:rsidRDefault="00F230CC" w:rsidP="00AE39F9">
            <w:pPr>
              <w:pStyle w:val="KeinLeerraum"/>
            </w:pPr>
            <w:r w:rsidRPr="00AE39F9">
              <w:t>1</w:t>
            </w:r>
          </w:p>
        </w:tc>
        <w:tc>
          <w:tcPr>
            <w:tcW w:w="1829" w:type="dxa"/>
            <w:hideMark/>
          </w:tcPr>
          <w:p w14:paraId="78D075FE" w14:textId="77777777" w:rsidR="00F230CC" w:rsidRPr="00AE39F9" w:rsidRDefault="00F230CC" w:rsidP="00AE39F9">
            <w:pPr>
              <w:pStyle w:val="KeinLeerraum"/>
            </w:pPr>
            <w:r w:rsidRPr="00AE39F9">
              <w:t>0</w:t>
            </w:r>
          </w:p>
        </w:tc>
        <w:tc>
          <w:tcPr>
            <w:tcW w:w="1829" w:type="dxa"/>
            <w:hideMark/>
          </w:tcPr>
          <w:p w14:paraId="704B8EA0" w14:textId="77777777" w:rsidR="00F230CC" w:rsidRPr="00AE39F9" w:rsidRDefault="00F230CC" w:rsidP="00AE39F9">
            <w:pPr>
              <w:pStyle w:val="KeinLeerraum"/>
            </w:pPr>
            <w:r w:rsidRPr="00AE39F9">
              <w:t>0</w:t>
            </w:r>
          </w:p>
        </w:tc>
        <w:tc>
          <w:tcPr>
            <w:tcW w:w="1769" w:type="dxa"/>
          </w:tcPr>
          <w:p w14:paraId="70136B99" w14:textId="04D54371" w:rsidR="00F230CC" w:rsidRPr="00AE39F9" w:rsidRDefault="00F230CC" w:rsidP="00AE39F9">
            <w:pPr>
              <w:pStyle w:val="KeinLeerraum"/>
            </w:pPr>
            <w:r>
              <w:t>Failure, Tech1</w:t>
            </w:r>
          </w:p>
        </w:tc>
      </w:tr>
      <w:tr w:rsidR="00F230CC" w:rsidRPr="00AE39F9" w14:paraId="5FBBF190" w14:textId="3413B7E1" w:rsidTr="00F230CC">
        <w:trPr>
          <w:trHeight w:val="340"/>
        </w:trPr>
        <w:tc>
          <w:tcPr>
            <w:tcW w:w="1806" w:type="dxa"/>
            <w:hideMark/>
          </w:tcPr>
          <w:p w14:paraId="5925FFC3" w14:textId="77777777" w:rsidR="00F230CC" w:rsidRPr="00AE39F9" w:rsidRDefault="00F230CC" w:rsidP="00AE39F9">
            <w:pPr>
              <w:pStyle w:val="KeinLeerraum"/>
            </w:pPr>
            <w:r w:rsidRPr="00AE39F9">
              <w:t>5</w:t>
            </w:r>
          </w:p>
        </w:tc>
        <w:tc>
          <w:tcPr>
            <w:tcW w:w="1829" w:type="dxa"/>
            <w:hideMark/>
          </w:tcPr>
          <w:p w14:paraId="21D1C50B" w14:textId="77777777" w:rsidR="00F230CC" w:rsidRPr="00AE39F9" w:rsidRDefault="00F230CC" w:rsidP="00AE39F9">
            <w:pPr>
              <w:pStyle w:val="KeinLeerraum"/>
            </w:pPr>
            <w:r w:rsidRPr="00AE39F9">
              <w:t>0</w:t>
            </w:r>
          </w:p>
        </w:tc>
        <w:tc>
          <w:tcPr>
            <w:tcW w:w="1829" w:type="dxa"/>
            <w:hideMark/>
          </w:tcPr>
          <w:p w14:paraId="0780EB60" w14:textId="77777777" w:rsidR="00F230CC" w:rsidRPr="00AE39F9" w:rsidRDefault="00F230CC" w:rsidP="00AE39F9">
            <w:pPr>
              <w:pStyle w:val="KeinLeerraum"/>
            </w:pPr>
            <w:r w:rsidRPr="00AE39F9">
              <w:t>0</w:t>
            </w:r>
          </w:p>
        </w:tc>
        <w:tc>
          <w:tcPr>
            <w:tcW w:w="1829" w:type="dxa"/>
            <w:hideMark/>
          </w:tcPr>
          <w:p w14:paraId="77D27413" w14:textId="77777777" w:rsidR="00F230CC" w:rsidRPr="00AE39F9" w:rsidRDefault="00F230CC" w:rsidP="00AE39F9">
            <w:pPr>
              <w:pStyle w:val="KeinLeerraum"/>
            </w:pPr>
            <w:r w:rsidRPr="00AE39F9">
              <w:t>0</w:t>
            </w:r>
          </w:p>
        </w:tc>
        <w:tc>
          <w:tcPr>
            <w:tcW w:w="1769" w:type="dxa"/>
          </w:tcPr>
          <w:p w14:paraId="738210C5" w14:textId="3029551D" w:rsidR="00F230CC" w:rsidRPr="00AE39F9" w:rsidRDefault="00F230CC" w:rsidP="00AE39F9">
            <w:pPr>
              <w:pStyle w:val="KeinLeerraum"/>
            </w:pPr>
            <w:r>
              <w:t>Normal</w:t>
            </w:r>
          </w:p>
        </w:tc>
      </w:tr>
      <w:tr w:rsidR="00F230CC" w:rsidRPr="00AE39F9" w14:paraId="68BBB2C7" w14:textId="5FCA5432" w:rsidTr="00F230CC">
        <w:trPr>
          <w:trHeight w:val="340"/>
        </w:trPr>
        <w:tc>
          <w:tcPr>
            <w:tcW w:w="1806" w:type="dxa"/>
            <w:hideMark/>
          </w:tcPr>
          <w:p w14:paraId="482F1A79" w14:textId="77777777" w:rsidR="00F230CC" w:rsidRPr="00AE39F9" w:rsidRDefault="00F230CC" w:rsidP="00AE39F9">
            <w:pPr>
              <w:pStyle w:val="KeinLeerraum"/>
            </w:pPr>
            <w:r w:rsidRPr="00AE39F9">
              <w:t>6</w:t>
            </w:r>
          </w:p>
        </w:tc>
        <w:tc>
          <w:tcPr>
            <w:tcW w:w="1829" w:type="dxa"/>
            <w:hideMark/>
          </w:tcPr>
          <w:p w14:paraId="521762C8" w14:textId="77777777" w:rsidR="00F230CC" w:rsidRPr="00AE39F9" w:rsidRDefault="00F230CC" w:rsidP="00AE39F9">
            <w:pPr>
              <w:pStyle w:val="KeinLeerraum"/>
            </w:pPr>
            <w:r w:rsidRPr="00AE39F9">
              <w:t>0</w:t>
            </w:r>
          </w:p>
        </w:tc>
        <w:tc>
          <w:tcPr>
            <w:tcW w:w="1829" w:type="dxa"/>
            <w:hideMark/>
          </w:tcPr>
          <w:p w14:paraId="66356FCA" w14:textId="77777777" w:rsidR="00F230CC" w:rsidRPr="00AE39F9" w:rsidRDefault="00F230CC" w:rsidP="00AE39F9">
            <w:pPr>
              <w:pStyle w:val="KeinLeerraum"/>
            </w:pPr>
            <w:r w:rsidRPr="00AE39F9">
              <w:t>0</w:t>
            </w:r>
          </w:p>
        </w:tc>
        <w:tc>
          <w:tcPr>
            <w:tcW w:w="1829" w:type="dxa"/>
            <w:hideMark/>
          </w:tcPr>
          <w:p w14:paraId="2B0E901F" w14:textId="77777777" w:rsidR="00F230CC" w:rsidRPr="00AE39F9" w:rsidRDefault="00F230CC" w:rsidP="00AE39F9">
            <w:pPr>
              <w:pStyle w:val="KeinLeerraum"/>
            </w:pPr>
            <w:r w:rsidRPr="00AE39F9">
              <w:t>0</w:t>
            </w:r>
          </w:p>
        </w:tc>
        <w:tc>
          <w:tcPr>
            <w:tcW w:w="1769" w:type="dxa"/>
          </w:tcPr>
          <w:p w14:paraId="700CDB1A" w14:textId="4D60D348" w:rsidR="00F230CC" w:rsidRPr="00AE39F9" w:rsidRDefault="00F230CC" w:rsidP="00AE39F9">
            <w:pPr>
              <w:pStyle w:val="KeinLeerraum"/>
            </w:pPr>
            <w:r>
              <w:t>Normal</w:t>
            </w:r>
          </w:p>
        </w:tc>
      </w:tr>
      <w:tr w:rsidR="00F230CC" w:rsidRPr="00AE39F9" w14:paraId="3604BD2F" w14:textId="383E6596" w:rsidTr="00F230CC">
        <w:trPr>
          <w:trHeight w:val="340"/>
        </w:trPr>
        <w:tc>
          <w:tcPr>
            <w:tcW w:w="1806" w:type="dxa"/>
            <w:hideMark/>
          </w:tcPr>
          <w:p w14:paraId="03C65B02" w14:textId="77777777" w:rsidR="00F230CC" w:rsidRPr="00AE39F9" w:rsidRDefault="00F230CC" w:rsidP="00AE39F9">
            <w:pPr>
              <w:pStyle w:val="KeinLeerraum"/>
            </w:pPr>
            <w:r w:rsidRPr="00AE39F9">
              <w:t>7</w:t>
            </w:r>
          </w:p>
        </w:tc>
        <w:tc>
          <w:tcPr>
            <w:tcW w:w="1829" w:type="dxa"/>
            <w:hideMark/>
          </w:tcPr>
          <w:p w14:paraId="6B9DFF9D" w14:textId="77777777" w:rsidR="00F230CC" w:rsidRPr="00AE39F9" w:rsidRDefault="00F230CC" w:rsidP="00AE39F9">
            <w:pPr>
              <w:pStyle w:val="KeinLeerraum"/>
            </w:pPr>
            <w:r w:rsidRPr="00AE39F9">
              <w:t>0</w:t>
            </w:r>
          </w:p>
        </w:tc>
        <w:tc>
          <w:tcPr>
            <w:tcW w:w="1829" w:type="dxa"/>
            <w:hideMark/>
          </w:tcPr>
          <w:p w14:paraId="27642A77" w14:textId="77777777" w:rsidR="00F230CC" w:rsidRPr="00AE39F9" w:rsidRDefault="00F230CC" w:rsidP="00AE39F9">
            <w:pPr>
              <w:pStyle w:val="KeinLeerraum"/>
            </w:pPr>
            <w:r w:rsidRPr="00AE39F9">
              <w:t>0</w:t>
            </w:r>
          </w:p>
        </w:tc>
        <w:tc>
          <w:tcPr>
            <w:tcW w:w="1829" w:type="dxa"/>
            <w:hideMark/>
          </w:tcPr>
          <w:p w14:paraId="48BDD798" w14:textId="1835FFEB" w:rsidR="00F230CC" w:rsidRPr="00AE39F9" w:rsidRDefault="00F230CC" w:rsidP="00AE39F9">
            <w:pPr>
              <w:pStyle w:val="KeinLeerraum"/>
            </w:pPr>
            <w:r>
              <w:t>1</w:t>
            </w:r>
          </w:p>
        </w:tc>
        <w:tc>
          <w:tcPr>
            <w:tcW w:w="1769" w:type="dxa"/>
          </w:tcPr>
          <w:p w14:paraId="4CCC101F" w14:textId="7D9526B7" w:rsidR="00F230CC" w:rsidRDefault="00F230CC" w:rsidP="00AE39F9">
            <w:pPr>
              <w:pStyle w:val="KeinLeerraum"/>
            </w:pPr>
            <w:r>
              <w:t>Failure, Tech3</w:t>
            </w:r>
          </w:p>
        </w:tc>
      </w:tr>
    </w:tbl>
    <w:p w14:paraId="4572A2E0" w14:textId="77777777" w:rsidR="00AE39F9" w:rsidRDefault="00AE39F9" w:rsidP="00B76810">
      <w:pPr>
        <w:rPr>
          <w:rFonts w:eastAsiaTheme="minorEastAsia"/>
        </w:rPr>
      </w:pPr>
    </w:p>
    <w:p w14:paraId="3AEAD922" w14:textId="24520F85" w:rsidR="00AE39F9" w:rsidRPr="001C191C" w:rsidRDefault="001C191C" w:rsidP="00B76810">
      <w:pPr>
        <w:rPr>
          <w:rFonts w:eastAsiaTheme="minorEastAsia"/>
          <w:lang w:val="en-US"/>
        </w:rPr>
      </w:pPr>
      <w:r w:rsidRPr="001C191C">
        <w:rPr>
          <w:rFonts w:eastAsiaTheme="minorEastAsia"/>
          <w:lang w:val="en-US"/>
        </w:rPr>
        <w:t>For each combination of damages, an LRV must then be calculated for the best-case and worst-case scenarios, and Equation 6 must be extended accordingly.</w:t>
      </w:r>
    </w:p>
    <w:p w14:paraId="5429EB61" w14:textId="43943BC4" w:rsidR="00A337FE" w:rsidRPr="00045FE3" w:rsidRDefault="00A337FE" w:rsidP="00A337FE">
      <w:pPr>
        <w:pStyle w:val="berschrift2"/>
        <w:rPr>
          <w:rFonts w:eastAsiaTheme="minorEastAsia"/>
          <w:lang w:val="en-US"/>
        </w:rPr>
      </w:pPr>
      <w:r w:rsidRPr="00045FE3">
        <w:rPr>
          <w:rFonts w:eastAsiaTheme="minorEastAsia"/>
          <w:lang w:val="en-US"/>
        </w:rPr>
        <w:lastRenderedPageBreak/>
        <w:t>Literatur</w:t>
      </w:r>
    </w:p>
    <w:p w14:paraId="18C04711" w14:textId="77777777" w:rsidR="00A337FE" w:rsidRDefault="00A337FE" w:rsidP="00A337FE">
      <w:r w:rsidRPr="00A337FE">
        <w:rPr>
          <w:lang w:val="en-US"/>
        </w:rPr>
        <w:t xml:space="preserve">Hambsch, Beate, Lipp, Pia, Ho, Johannes, 2019. </w:t>
      </w:r>
      <w:r w:rsidRPr="00A337FE">
        <w:t>Modelhafte Prüfung und Konzeptentwicklung zur quantitativen Risikobewertung der mikrobiellen Rohwasserbelastung für die Trinkwasseraufbereitung (Abschlussbericht), DVGW-Förderkennzeichen W 201808. Technologiezentrum Wasser, Karlsruhe.</w:t>
      </w:r>
    </w:p>
    <w:p w14:paraId="132E8C64" w14:textId="77777777" w:rsidR="00A337FE" w:rsidRPr="00A337FE" w:rsidRDefault="00A337FE" w:rsidP="00A337FE"/>
    <w:sectPr w:rsidR="00A337FE" w:rsidRPr="00A337F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565300"/>
    <w:multiLevelType w:val="hybridMultilevel"/>
    <w:tmpl w:val="95E4E8E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58B571C7"/>
    <w:multiLevelType w:val="hybridMultilevel"/>
    <w:tmpl w:val="853A6580"/>
    <w:lvl w:ilvl="0" w:tplc="04070001">
      <w:start w:val="1"/>
      <w:numFmt w:val="bullet"/>
      <w:lvlText w:val=""/>
      <w:lvlJc w:val="left"/>
      <w:pPr>
        <w:ind w:left="770" w:hanging="360"/>
      </w:pPr>
      <w:rPr>
        <w:rFonts w:ascii="Symbol" w:hAnsi="Symbol" w:hint="default"/>
      </w:rPr>
    </w:lvl>
    <w:lvl w:ilvl="1" w:tplc="04070003" w:tentative="1">
      <w:start w:val="1"/>
      <w:numFmt w:val="bullet"/>
      <w:lvlText w:val="o"/>
      <w:lvlJc w:val="left"/>
      <w:pPr>
        <w:ind w:left="1490" w:hanging="360"/>
      </w:pPr>
      <w:rPr>
        <w:rFonts w:ascii="Courier New" w:hAnsi="Courier New" w:cs="Courier New" w:hint="default"/>
      </w:rPr>
    </w:lvl>
    <w:lvl w:ilvl="2" w:tplc="04070005" w:tentative="1">
      <w:start w:val="1"/>
      <w:numFmt w:val="bullet"/>
      <w:lvlText w:val=""/>
      <w:lvlJc w:val="left"/>
      <w:pPr>
        <w:ind w:left="2210" w:hanging="360"/>
      </w:pPr>
      <w:rPr>
        <w:rFonts w:ascii="Wingdings" w:hAnsi="Wingdings" w:hint="default"/>
      </w:rPr>
    </w:lvl>
    <w:lvl w:ilvl="3" w:tplc="04070001" w:tentative="1">
      <w:start w:val="1"/>
      <w:numFmt w:val="bullet"/>
      <w:lvlText w:val=""/>
      <w:lvlJc w:val="left"/>
      <w:pPr>
        <w:ind w:left="2930" w:hanging="360"/>
      </w:pPr>
      <w:rPr>
        <w:rFonts w:ascii="Symbol" w:hAnsi="Symbol" w:hint="default"/>
      </w:rPr>
    </w:lvl>
    <w:lvl w:ilvl="4" w:tplc="04070003" w:tentative="1">
      <w:start w:val="1"/>
      <w:numFmt w:val="bullet"/>
      <w:lvlText w:val="o"/>
      <w:lvlJc w:val="left"/>
      <w:pPr>
        <w:ind w:left="3650" w:hanging="360"/>
      </w:pPr>
      <w:rPr>
        <w:rFonts w:ascii="Courier New" w:hAnsi="Courier New" w:cs="Courier New" w:hint="default"/>
      </w:rPr>
    </w:lvl>
    <w:lvl w:ilvl="5" w:tplc="04070005" w:tentative="1">
      <w:start w:val="1"/>
      <w:numFmt w:val="bullet"/>
      <w:lvlText w:val=""/>
      <w:lvlJc w:val="left"/>
      <w:pPr>
        <w:ind w:left="4370" w:hanging="360"/>
      </w:pPr>
      <w:rPr>
        <w:rFonts w:ascii="Wingdings" w:hAnsi="Wingdings" w:hint="default"/>
      </w:rPr>
    </w:lvl>
    <w:lvl w:ilvl="6" w:tplc="04070001" w:tentative="1">
      <w:start w:val="1"/>
      <w:numFmt w:val="bullet"/>
      <w:lvlText w:val=""/>
      <w:lvlJc w:val="left"/>
      <w:pPr>
        <w:ind w:left="5090" w:hanging="360"/>
      </w:pPr>
      <w:rPr>
        <w:rFonts w:ascii="Symbol" w:hAnsi="Symbol" w:hint="default"/>
      </w:rPr>
    </w:lvl>
    <w:lvl w:ilvl="7" w:tplc="04070003" w:tentative="1">
      <w:start w:val="1"/>
      <w:numFmt w:val="bullet"/>
      <w:lvlText w:val="o"/>
      <w:lvlJc w:val="left"/>
      <w:pPr>
        <w:ind w:left="5810" w:hanging="360"/>
      </w:pPr>
      <w:rPr>
        <w:rFonts w:ascii="Courier New" w:hAnsi="Courier New" w:cs="Courier New" w:hint="default"/>
      </w:rPr>
    </w:lvl>
    <w:lvl w:ilvl="8" w:tplc="04070005" w:tentative="1">
      <w:start w:val="1"/>
      <w:numFmt w:val="bullet"/>
      <w:lvlText w:val=""/>
      <w:lvlJc w:val="left"/>
      <w:pPr>
        <w:ind w:left="6530" w:hanging="360"/>
      </w:pPr>
      <w:rPr>
        <w:rFonts w:ascii="Wingdings" w:hAnsi="Wingdings" w:hint="default"/>
      </w:rPr>
    </w:lvl>
  </w:abstractNum>
  <w:num w:numId="1" w16cid:durableId="1591624062">
    <w:abstractNumId w:val="0"/>
  </w:num>
  <w:num w:numId="2" w16cid:durableId="1248230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46B"/>
    <w:rsid w:val="00045FE3"/>
    <w:rsid w:val="000C7133"/>
    <w:rsid w:val="001A0A5A"/>
    <w:rsid w:val="001C191C"/>
    <w:rsid w:val="00240D52"/>
    <w:rsid w:val="004E577D"/>
    <w:rsid w:val="008725FF"/>
    <w:rsid w:val="008C0170"/>
    <w:rsid w:val="008F6D9F"/>
    <w:rsid w:val="00A038E3"/>
    <w:rsid w:val="00A337FE"/>
    <w:rsid w:val="00A8446B"/>
    <w:rsid w:val="00A84B6B"/>
    <w:rsid w:val="00AE39F9"/>
    <w:rsid w:val="00B76810"/>
    <w:rsid w:val="00DE2212"/>
    <w:rsid w:val="00E5550B"/>
    <w:rsid w:val="00ED1C9C"/>
    <w:rsid w:val="00EE03F2"/>
    <w:rsid w:val="00F230CC"/>
    <w:rsid w:val="00F2358B"/>
    <w:rsid w:val="00FD50C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0DFDF"/>
  <w15:chartTrackingRefBased/>
  <w15:docId w15:val="{F7E81137-2A8F-41F0-A586-0095E5BF4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84B6B"/>
  </w:style>
  <w:style w:type="paragraph" w:styleId="berschrift1">
    <w:name w:val="heading 1"/>
    <w:basedOn w:val="Standard"/>
    <w:next w:val="Standard"/>
    <w:link w:val="berschrift1Zchn"/>
    <w:uiPriority w:val="9"/>
    <w:qFormat/>
    <w:rsid w:val="00A84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84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8446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8446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8446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8446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8446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8446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8446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8446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8446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8446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8446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8446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8446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8446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8446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8446B"/>
    <w:rPr>
      <w:rFonts w:eastAsiaTheme="majorEastAsia" w:cstheme="majorBidi"/>
      <w:color w:val="272727" w:themeColor="text1" w:themeTint="D8"/>
    </w:rPr>
  </w:style>
  <w:style w:type="paragraph" w:styleId="Titel">
    <w:name w:val="Title"/>
    <w:basedOn w:val="Standard"/>
    <w:next w:val="Standard"/>
    <w:link w:val="TitelZchn"/>
    <w:uiPriority w:val="10"/>
    <w:qFormat/>
    <w:rsid w:val="00A84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8446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8446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8446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8446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8446B"/>
    <w:rPr>
      <w:i/>
      <w:iCs/>
      <w:color w:val="404040" w:themeColor="text1" w:themeTint="BF"/>
    </w:rPr>
  </w:style>
  <w:style w:type="paragraph" w:styleId="Listenabsatz">
    <w:name w:val="List Paragraph"/>
    <w:basedOn w:val="Standard"/>
    <w:uiPriority w:val="34"/>
    <w:qFormat/>
    <w:rsid w:val="00A8446B"/>
    <w:pPr>
      <w:ind w:left="720"/>
      <w:contextualSpacing/>
    </w:pPr>
  </w:style>
  <w:style w:type="character" w:styleId="IntensiveHervorhebung">
    <w:name w:val="Intense Emphasis"/>
    <w:basedOn w:val="Absatz-Standardschriftart"/>
    <w:uiPriority w:val="21"/>
    <w:qFormat/>
    <w:rsid w:val="00A8446B"/>
    <w:rPr>
      <w:i/>
      <w:iCs/>
      <w:color w:val="0F4761" w:themeColor="accent1" w:themeShade="BF"/>
    </w:rPr>
  </w:style>
  <w:style w:type="paragraph" w:styleId="IntensivesZitat">
    <w:name w:val="Intense Quote"/>
    <w:basedOn w:val="Standard"/>
    <w:next w:val="Standard"/>
    <w:link w:val="IntensivesZitatZchn"/>
    <w:uiPriority w:val="30"/>
    <w:qFormat/>
    <w:rsid w:val="00A84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8446B"/>
    <w:rPr>
      <w:i/>
      <w:iCs/>
      <w:color w:val="0F4761" w:themeColor="accent1" w:themeShade="BF"/>
    </w:rPr>
  </w:style>
  <w:style w:type="character" w:styleId="IntensiverVerweis">
    <w:name w:val="Intense Reference"/>
    <w:basedOn w:val="Absatz-Standardschriftart"/>
    <w:uiPriority w:val="32"/>
    <w:qFormat/>
    <w:rsid w:val="00A8446B"/>
    <w:rPr>
      <w:b/>
      <w:bCs/>
      <w:smallCaps/>
      <w:color w:val="0F4761" w:themeColor="accent1" w:themeShade="BF"/>
      <w:spacing w:val="5"/>
    </w:rPr>
  </w:style>
  <w:style w:type="character" w:styleId="Platzhaltertext">
    <w:name w:val="Placeholder Text"/>
    <w:basedOn w:val="Absatz-Standardschriftart"/>
    <w:uiPriority w:val="99"/>
    <w:semiHidden/>
    <w:rsid w:val="00A8446B"/>
    <w:rPr>
      <w:color w:val="666666"/>
    </w:rPr>
  </w:style>
  <w:style w:type="table" w:styleId="Tabellenraster">
    <w:name w:val="Table Grid"/>
    <w:basedOn w:val="NormaleTabelle"/>
    <w:uiPriority w:val="39"/>
    <w:rsid w:val="00A33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AE39F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KeinLeerraum">
    <w:name w:val="No Spacing"/>
    <w:uiPriority w:val="1"/>
    <w:qFormat/>
    <w:rsid w:val="00AE39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447549">
      <w:bodyDiv w:val="1"/>
      <w:marLeft w:val="0"/>
      <w:marRight w:val="0"/>
      <w:marTop w:val="0"/>
      <w:marBottom w:val="0"/>
      <w:divBdr>
        <w:top w:val="none" w:sz="0" w:space="0" w:color="auto"/>
        <w:left w:val="none" w:sz="0" w:space="0" w:color="auto"/>
        <w:bottom w:val="none" w:sz="0" w:space="0" w:color="auto"/>
        <w:right w:val="none" w:sz="0" w:space="0" w:color="auto"/>
      </w:divBdr>
    </w:div>
    <w:div w:id="1203784872">
      <w:bodyDiv w:val="1"/>
      <w:marLeft w:val="0"/>
      <w:marRight w:val="0"/>
      <w:marTop w:val="0"/>
      <w:marBottom w:val="0"/>
      <w:divBdr>
        <w:top w:val="none" w:sz="0" w:space="0" w:color="auto"/>
        <w:left w:val="none" w:sz="0" w:space="0" w:color="auto"/>
        <w:bottom w:val="none" w:sz="0" w:space="0" w:color="auto"/>
        <w:right w:val="none" w:sz="0" w:space="0" w:color="auto"/>
      </w:divBdr>
      <w:divsChild>
        <w:div w:id="1923906400">
          <w:marLeft w:val="0"/>
          <w:marRight w:val="0"/>
          <w:marTop w:val="0"/>
          <w:marBottom w:val="0"/>
          <w:divBdr>
            <w:top w:val="none" w:sz="0" w:space="0" w:color="auto"/>
            <w:left w:val="none" w:sz="0" w:space="0" w:color="auto"/>
            <w:bottom w:val="none" w:sz="0" w:space="0" w:color="auto"/>
            <w:right w:val="none" w:sz="0" w:space="0" w:color="auto"/>
          </w:divBdr>
          <w:divsChild>
            <w:div w:id="2053964229">
              <w:marLeft w:val="0"/>
              <w:marRight w:val="0"/>
              <w:marTop w:val="0"/>
              <w:marBottom w:val="0"/>
              <w:divBdr>
                <w:top w:val="none" w:sz="0" w:space="0" w:color="auto"/>
                <w:left w:val="none" w:sz="0" w:space="0" w:color="auto"/>
                <w:bottom w:val="none" w:sz="0" w:space="0" w:color="auto"/>
                <w:right w:val="none" w:sz="0" w:space="0" w:color="auto"/>
              </w:divBdr>
              <w:divsChild>
                <w:div w:id="196584533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79627018">
      <w:bodyDiv w:val="1"/>
      <w:marLeft w:val="0"/>
      <w:marRight w:val="0"/>
      <w:marTop w:val="0"/>
      <w:marBottom w:val="0"/>
      <w:divBdr>
        <w:top w:val="none" w:sz="0" w:space="0" w:color="auto"/>
        <w:left w:val="none" w:sz="0" w:space="0" w:color="auto"/>
        <w:bottom w:val="none" w:sz="0" w:space="0" w:color="auto"/>
        <w:right w:val="none" w:sz="0" w:space="0" w:color="auto"/>
      </w:divBdr>
      <w:divsChild>
        <w:div w:id="766004522">
          <w:marLeft w:val="480"/>
          <w:marRight w:val="0"/>
          <w:marTop w:val="0"/>
          <w:marBottom w:val="0"/>
          <w:divBdr>
            <w:top w:val="none" w:sz="0" w:space="0" w:color="auto"/>
            <w:left w:val="none" w:sz="0" w:space="0" w:color="auto"/>
            <w:bottom w:val="none" w:sz="0" w:space="0" w:color="auto"/>
            <w:right w:val="none" w:sz="0" w:space="0" w:color="auto"/>
          </w:divBdr>
          <w:divsChild>
            <w:div w:id="152374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8314">
      <w:bodyDiv w:val="1"/>
      <w:marLeft w:val="0"/>
      <w:marRight w:val="0"/>
      <w:marTop w:val="0"/>
      <w:marBottom w:val="0"/>
      <w:divBdr>
        <w:top w:val="none" w:sz="0" w:space="0" w:color="auto"/>
        <w:left w:val="none" w:sz="0" w:space="0" w:color="auto"/>
        <w:bottom w:val="none" w:sz="0" w:space="0" w:color="auto"/>
        <w:right w:val="none" w:sz="0" w:space="0" w:color="auto"/>
      </w:divBdr>
      <w:divsChild>
        <w:div w:id="630522763">
          <w:marLeft w:val="480"/>
          <w:marRight w:val="0"/>
          <w:marTop w:val="0"/>
          <w:marBottom w:val="0"/>
          <w:divBdr>
            <w:top w:val="none" w:sz="0" w:space="0" w:color="auto"/>
            <w:left w:val="none" w:sz="0" w:space="0" w:color="auto"/>
            <w:bottom w:val="none" w:sz="0" w:space="0" w:color="auto"/>
            <w:right w:val="none" w:sz="0" w:space="0" w:color="auto"/>
          </w:divBdr>
          <w:divsChild>
            <w:div w:id="119114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881</Words>
  <Characters>5555</Characters>
  <Application>Microsoft Office Word</Application>
  <DocSecurity>0</DocSecurity>
  <Lines>46</Lines>
  <Paragraphs>12</Paragraphs>
  <ScaleCrop>false</ScaleCrop>
  <Company>Kompetenz Zentrum Wasser Berlin</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Malte Zamzow</dc:creator>
  <cp:keywords/>
  <dc:description/>
  <cp:lastModifiedBy>Malte Zamzow</cp:lastModifiedBy>
  <cp:revision>8</cp:revision>
  <dcterms:created xsi:type="dcterms:W3CDTF">2026-07-01T08:56:00Z</dcterms:created>
  <dcterms:modified xsi:type="dcterms:W3CDTF">2026-07-01T11:25:00Z</dcterms:modified>
</cp:coreProperties>
</file>