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Bewertung</w:t>
      </w:r>
      <w:r>
        <w:t xml:space="preserve"> </w:t>
      </w:r>
      <w:r>
        <w:t xml:space="preserve">Regenwassereinleitung</w:t>
      </w:r>
    </w:p>
    <w:p>
      <w:pPr>
        <w:pStyle w:val="Author"/>
      </w:pPr>
      <w:r>
        <w:t xml:space="preserve">Wolfgang</w:t>
      </w:r>
      <w:r>
        <w:t xml:space="preserve"> </w:t>
      </w:r>
      <w:r>
        <w:t xml:space="preserve">Seis</w:t>
      </w:r>
    </w:p>
    <w:p>
      <w:pPr>
        <w:pStyle w:val="Date"/>
      </w:pPr>
      <w:r>
        <w:t xml:space="preserve">22</w:t>
      </w:r>
      <w:r>
        <w:t xml:space="preserve"> </w:t>
      </w:r>
      <w:r>
        <w:t xml:space="preserve">11</w:t>
      </w:r>
      <w:r>
        <w:t xml:space="preserve"> </w:t>
      </w:r>
      <w:r>
        <w:t xml:space="preserve">2020</w:t>
      </w:r>
    </w:p>
    <w:p>
      <w:pPr>
        <w:pStyle w:val="Heading3"/>
      </w:pPr>
      <w:bookmarkStart w:id="20" w:name="zielstellung"/>
      <w:r>
        <w:t xml:space="preserve">1. Zielstellung</w:t>
      </w:r>
      <w:bookmarkEnd w:id="20"/>
    </w:p>
    <w:p>
      <w:pPr>
        <w:pStyle w:val="FirstParagraph"/>
      </w:pPr>
      <w:r>
        <w:br/>
      </w:r>
    </w:p>
    <w:p>
      <w:pPr>
        <w:pStyle w:val="BodyText"/>
      </w:pPr>
      <w:r>
        <w:t xml:space="preserve">Das folgende Dokument fasst den aktuellen Stand der Disukussion zur Bewertung von Regenwassereinleitungen im Projekt r2q zusammen. Für die Bewertung werden die Gewässer in verschiedene Typen eingeteilt und nach Größe klassifiziert.</w:t>
      </w:r>
    </w:p>
    <w:p>
      <w:pPr>
        <w:pStyle w:val="Compact"/>
        <w:numPr>
          <w:numId w:val="1001"/>
          <w:ilvl w:val="0"/>
        </w:numPr>
      </w:pPr>
      <w:r>
        <w:t xml:space="preserve">Fließgewäser: nach Einzugsgebietsgröße</w:t>
      </w:r>
    </w:p>
    <w:p>
      <w:pPr>
        <w:pStyle w:val="Compact"/>
        <w:numPr>
          <w:numId w:val="1001"/>
          <w:ilvl w:val="0"/>
        </w:numPr>
      </w:pPr>
      <w:r>
        <w:t xml:space="preserve">stehende Gewässer: nach Oberfläche</w:t>
      </w:r>
    </w:p>
    <w:p>
      <w:pPr>
        <w:pStyle w:val="FirstParagraph"/>
      </w:pPr>
      <w:r>
        <w:br/>
      </w:r>
    </w:p>
    <w:p>
      <w:pPr>
        <w:pStyle w:val="Heading3"/>
      </w:pPr>
      <w:bookmarkStart w:id="21" w:name="bewertungsansatz-und-belastungen"/>
      <w:r>
        <w:t xml:space="preserve">2. Bewertungsansatz und Belastungen</w:t>
      </w:r>
      <w:bookmarkEnd w:id="21"/>
    </w:p>
    <w:p>
      <w:pPr>
        <w:pStyle w:val="FirstParagraph"/>
      </w:pPr>
      <w:r>
        <w:br/>
      </w:r>
    </w:p>
    <w:p>
      <w:pPr>
        <w:pStyle w:val="BodyText"/>
      </w:pPr>
      <w:r>
        <w:t xml:space="preserve">Im Projekt soll zwischen hydraulischer Belastung und stofflichen Belastungen unterschieden werden. Hydraulische Belastungen werden zunächst anhand der vereinfachten Berechnungsansatzes nach DWA-A 102-3/BWK-A 3-3 bewertet. Stoffliche Belastungen folgen im ersten Schritt ebensfalls dem genannten Merkblatt, werden jedoch durch weitere Schadstoffgruppen ergänzt/erweitert.</w:t>
      </w:r>
    </w:p>
    <w:p>
      <w:pPr>
        <w:pStyle w:val="BodyText"/>
      </w:pPr>
      <w:r>
        <w:br/>
      </w:r>
    </w:p>
    <w:p>
      <w:pPr>
        <w:pStyle w:val="Heading4"/>
      </w:pPr>
      <w:bookmarkStart w:id="22" w:name="nachweisraum-und-nachweisorte"/>
      <w:r>
        <w:t xml:space="preserve">2.1 Nachweisraum und Nachweisorte</w:t>
      </w:r>
      <w:bookmarkEnd w:id="22"/>
    </w:p>
    <w:p>
      <w:pPr>
        <w:pStyle w:val="FirstParagraph"/>
      </w:pPr>
      <w:r>
        <w:t xml:space="preserve">Als Bewertungsmaßstab zählt die Summe der Wirkung der Einleitungen aus einem geschlossenem Siedlungsgebiet und nicht</w:t>
      </w:r>
      <w:r>
        <w:t xml:space="preserve"> </w:t>
      </w:r>
      <w:r>
        <w:t xml:space="preserve">die Wirkung der einzelnen Einleitung. Das geschlossene Siedlungsgebiet endet mit der letzten nicht mehr überlagerten Einleitung.</w:t>
      </w:r>
    </w:p>
    <w:p>
      <w:pPr>
        <w:pStyle w:val="BodyText"/>
      </w:pPr>
      <w:r>
        <w:t xml:space="preserve">Als Einflussbereich wird der Gewässerabschnitt bezeichnet, der durch Regenwetterabflüsse wesentlich hydraulisch und/oder stofflich belastet wird.</w:t>
      </w:r>
      <w:r>
        <w:t xml:space="preserve"> </w:t>
      </w:r>
      <w:r>
        <w:t xml:space="preserve">Eine genaue Abschätzung ist i.d.R.schwierig. Hilfestellung liefert Tabelle 8 in Kapitel 5.7.</w:t>
      </w:r>
    </w:p>
    <w:p>
      <w:pPr>
        <w:pStyle w:val="BodyText"/>
      </w:pPr>
      <w:r>
        <w:t xml:space="preserve">Der Einflussberich endet ebenfalls wenn:</w:t>
      </w:r>
    </w:p>
    <w:p>
      <w:pPr>
        <w:pStyle w:val="BodyText"/>
      </w:pPr>
      <w:r>
        <w:br/>
      </w:r>
    </w:p>
    <w:p>
      <w:pPr>
        <w:pStyle w:val="BodyText"/>
      </w:pPr>
      <m:oMathPara>
        <m:oMathParaPr>
          <m:jc m:val="center"/>
        </m:oMathParaPr>
        <m:oMath>
          <m:r>
            <m:t>∑</m:t>
          </m:r>
          <m:f>
            <m:fPr>
              <m:type m:val="bar"/>
            </m:fPr>
            <m:num>
              <m:sSub>
                <m:e>
                  <m:r>
                    <m:t>A</m:t>
                  </m:r>
                </m:e>
                <m:sub>
                  <m:r>
                    <m:t>U</m:t>
                  </m:r>
                </m:sub>
              </m:sSub>
            </m:num>
            <m:den>
              <m:sSub>
                <m:e>
                  <m:r>
                    <m:t>A</m:t>
                  </m:r>
                </m:e>
                <m:sub>
                  <m:r>
                    <m:t>E</m:t>
                  </m:r>
                  <m:r>
                    <m:t>0</m:t>
                  </m:r>
                </m:sub>
              </m:sSub>
            </m:den>
          </m:f>
          <m:r>
            <m:t>&lt;</m:t>
          </m:r>
          <m:r>
            <m:t>0.01</m:t>
          </m:r>
        </m:oMath>
      </m:oMathPara>
    </w:p>
    <w:p>
      <w:pPr>
        <w:pStyle w:val="FirstParagraph"/>
      </w:pPr>
      <w:r>
        <w:br/>
      </w:r>
    </w:p>
    <w:p>
      <w:pPr>
        <w:pStyle w:val="BodyText"/>
      </w:pPr>
      <w:r>
        <w:t xml:space="preserve">wobei:</w:t>
      </w:r>
    </w:p>
    <w:p>
      <w:pPr>
        <w:pStyle w:val="BodyText"/>
      </w:pPr>
      <w:r>
        <w:br/>
      </w:r>
    </w:p>
    <w:p>
      <w:pPr>
        <w:pStyle w:val="BodyText"/>
      </w:pPr>
      <w:r>
        <w:t xml:space="preserve">A</w:t>
      </w:r>
      <w:r>
        <w:rPr>
          <w:vertAlign w:val="subscript"/>
        </w:rPr>
        <w:t xml:space="preserve">U</w:t>
      </w:r>
      <w:r>
        <w:t xml:space="preserve"> </w:t>
      </w:r>
      <w:r>
        <w:t xml:space="preserve">= undurchlässige Fläche</w:t>
      </w:r>
      <w:r>
        <w:br/>
      </w:r>
      <w:r>
        <w:t xml:space="preserve">A</w:t>
      </w:r>
      <w:r>
        <w:rPr>
          <w:vertAlign w:val="subscript"/>
        </w:rPr>
        <w:t xml:space="preserve">E0</w:t>
      </w:r>
      <w:r>
        <w:t xml:space="preserve"> </w:t>
      </w:r>
      <w:r>
        <w:t xml:space="preserve">= oberirdisches Gewässereinzugsgebiet</w:t>
      </w:r>
    </w:p>
    <w:p>
      <w:pPr>
        <w:pStyle w:val="BodyText"/>
      </w:pPr>
      <w:r>
        <w:br/>
      </w:r>
    </w:p>
    <w:p>
      <w:pPr>
        <w:pStyle w:val="Heading4"/>
      </w:pPr>
      <w:bookmarkStart w:id="23" w:name="X2173d9f63fa6456bdfb65d4cf759f29caa480f7"/>
      <w:r>
        <w:t xml:space="preserve">2.2 Stofflicher Nachweis nach DWA-A 102-3 (vereinfacht)</w:t>
      </w:r>
      <w:bookmarkEnd w:id="23"/>
    </w:p>
    <w:p>
      <w:pPr>
        <w:pStyle w:val="FirstParagraph"/>
      </w:pPr>
      <w:r>
        <w:t xml:space="preserve">Für jeden Nachweis Ort müssen Grnzwerte für Ammoniak, Sauerstoff und AFS(fein) eingehalten werden. Auf eine vereinfachte</w:t>
      </w:r>
      <w:r>
        <w:t xml:space="preserve"> </w:t>
      </w:r>
      <w:r>
        <w:t xml:space="preserve">rechnerische NAchweisführung kann verzichtet werden, wenn die Kriterien des Relevanznachweises erfüllt sind (siehe Kapitel 6.4.4).</w:t>
      </w:r>
    </w:p>
    <w:p>
      <w:pPr>
        <w:pStyle w:val="BodyText"/>
      </w:pPr>
      <w:r>
        <w:br/>
      </w:r>
    </w:p>
    <w:p>
      <w:pPr>
        <w:pStyle w:val="BodyText"/>
      </w:pPr>
      <w:r>
        <w:t xml:space="preserve">Grenzwerte:</w:t>
      </w:r>
    </w:p>
    <w:p>
      <w:pPr>
        <w:pStyle w:val="Compact"/>
        <w:numPr>
          <w:numId w:val="1002"/>
          <w:ilvl w:val="0"/>
        </w:numPr>
      </w:pPr>
      <w:r>
        <w:t xml:space="preserve">Sauerstoff: 5 mg/L (darf im Nachgang von Regenwassereinleitungen nicht unterschritten werden)</w:t>
      </w:r>
    </w:p>
    <w:p>
      <w:pPr>
        <w:pStyle w:val="Compact"/>
        <w:numPr>
          <w:numId w:val="1002"/>
          <w:ilvl w:val="0"/>
        </w:numPr>
      </w:pPr>
      <w:r>
        <w:t xml:space="preserve">Ammoniak: 0.1 mg/L (darf im Nachgang von Regenwassereinleitungen nicht überschritten werden)</w:t>
      </w:r>
    </w:p>
    <w:p>
      <w:pPr>
        <w:pStyle w:val="Compact"/>
        <w:numPr>
          <w:numId w:val="1002"/>
          <w:ilvl w:val="0"/>
        </w:numPr>
      </w:pPr>
      <w:r>
        <w:t xml:space="preserve">AFS63: Grenzfracht 9600 kg/(km² x a), für empfindliche Gewässer 6400 kg/(km² x a)</w:t>
      </w:r>
    </w:p>
    <w:p>
      <w:pPr>
        <w:pStyle w:val="FirstParagraph"/>
      </w:pPr>
      <w:r>
        <w:br/>
      </w:r>
    </w:p>
    <w:p>
      <w:pPr>
        <w:pStyle w:val="BodyText"/>
      </w:pPr>
      <w:r>
        <w:t xml:space="preserve">Die Belastung wird durch Einleitabflüsse und die Gewässervorbelastung bestimmt.</w:t>
      </w:r>
    </w:p>
    <w:p>
      <w:pPr>
        <w:pStyle w:val="BodyText"/>
      </w:pPr>
      <w:r>
        <w:br/>
      </w:r>
    </w:p>
    <w:p>
      <w:pPr>
        <w:pStyle w:val="Heading5"/>
      </w:pPr>
      <w:bookmarkStart w:id="24" w:name="einleitabflüsse"/>
      <w:r>
        <w:t xml:space="preserve">2.2.1 Einleitabflüsse</w:t>
      </w:r>
      <w:bookmarkEnd w:id="24"/>
    </w:p>
    <w:p>
      <w:pPr>
        <w:pStyle w:val="FirstParagraph"/>
      </w:pPr>
      <w:r>
        <w:t xml:space="preserve">Annahmen Regenabflusskonzentrationen:</w:t>
      </w:r>
    </w:p>
    <w:p>
      <w:pPr>
        <w:pStyle w:val="BodyText"/>
      </w:pPr>
      <w:r>
        <w:br/>
      </w:r>
    </w:p>
    <w:p>
      <w:pPr>
        <w:pStyle w:val="Compact"/>
        <w:numPr>
          <w:numId w:val="1003"/>
          <w:ilvl w:val="0"/>
        </w:numPr>
      </w:pPr>
      <w:r>
        <w:t xml:space="preserve">C</w:t>
      </w:r>
      <w:r>
        <w:rPr>
          <w:vertAlign w:val="subscript"/>
        </w:rPr>
        <w:t xml:space="preserve">R,BSB5</w:t>
      </w:r>
      <w:r>
        <w:t xml:space="preserve"> </w:t>
      </w:r>
      <w:r>
        <w:t xml:space="preserve">= 20 mg/L</w:t>
      </w:r>
    </w:p>
    <w:p>
      <w:pPr>
        <w:pStyle w:val="Compact"/>
        <w:numPr>
          <w:numId w:val="1003"/>
          <w:ilvl w:val="0"/>
        </w:numPr>
      </w:pPr>
      <w:r>
        <w:t xml:space="preserve">C</w:t>
      </w:r>
      <w:r>
        <w:rPr>
          <w:vertAlign w:val="subscript"/>
        </w:rPr>
        <w:t xml:space="preserve">R,Nges</w:t>
      </w:r>
      <w:r>
        <w:t xml:space="preserve"> </w:t>
      </w:r>
      <w:r>
        <w:t xml:space="preserve">= 5 mg/L</w:t>
      </w:r>
    </w:p>
    <w:p>
      <w:pPr>
        <w:pStyle w:val="Compact"/>
        <w:numPr>
          <w:numId w:val="1003"/>
          <w:ilvl w:val="0"/>
        </w:numPr>
      </w:pPr>
      <w:r>
        <w:t xml:space="preserve">C</w:t>
      </w:r>
      <w:r>
        <w:rPr>
          <w:vertAlign w:val="subscript"/>
        </w:rPr>
        <w:t xml:space="preserve">AFS63</w:t>
      </w:r>
      <w:r>
        <w:t xml:space="preserve"> </w:t>
      </w:r>
      <w:r>
        <w:t xml:space="preserve">= berechnet sich aus den Annahmen aus DWA A102-2 und berücksichtigt Flächenkategorien I-III</w:t>
      </w:r>
    </w:p>
    <w:p>
      <w:pPr>
        <w:pStyle w:val="FirstParagraph"/>
      </w:pPr>
      <w:r>
        <w:br/>
      </w:r>
    </w:p>
    <w:p>
      <w:pPr>
        <w:pStyle w:val="BlockText"/>
      </w:pPr>
      <w:r>
        <w:rPr>
          <w:b/>
        </w:rPr>
        <w:t xml:space="preserve">Anmerkung</w:t>
      </w:r>
      <w:r>
        <w:br/>
      </w:r>
      <w:r>
        <w:rPr>
          <w:i/>
        </w:rPr>
        <w:t xml:space="preserve">Die von KWB vorschlagene Methodik erweitert das vorgeschlagene Spekturm an Zielparameter durch nach WRRL relvante Stoffe,</w:t>
      </w:r>
      <w:r>
        <w:rPr>
          <w:i/>
        </w:rPr>
        <w:t xml:space="preserve"> </w:t>
      </w:r>
      <w:r>
        <w:rPr>
          <w:i/>
        </w:rPr>
        <w:t xml:space="preserve">beispielsweise Pestizide aus Bitumendächern, oder Schwermetalle wie Zink aus Metalldächern.</w:t>
      </w:r>
    </w:p>
    <w:p>
      <w:pPr>
        <w:pStyle w:val="FirstParagraph"/>
      </w:pPr>
      <w:r>
        <w:br/>
      </w:r>
    </w:p>
    <w:p>
      <w:pPr>
        <w:pStyle w:val="Heading5"/>
      </w:pPr>
      <w:bookmarkStart w:id="25" w:name="gewässervorbelastung"/>
      <w:r>
        <w:t xml:space="preserve">2.2.2 Gewässervorbelastung</w:t>
      </w:r>
      <w:bookmarkEnd w:id="25"/>
    </w:p>
    <w:p>
      <w:pPr>
        <w:pStyle w:val="FirstParagraph"/>
      </w:pPr>
      <w:r>
        <w:t xml:space="preserve">Für die Gewässervorbelastung wird die Vorbelastungskonzentration bei Niedrigwasserababfluss angesetzt.</w:t>
      </w:r>
    </w:p>
    <w:p>
      <w:pPr>
        <w:pStyle w:val="BodyText"/>
      </w:pPr>
      <w:r>
        <w:br/>
      </w:r>
    </w:p>
    <w:p>
      <w:pPr>
        <w:pStyle w:val="Heading4"/>
      </w:pPr>
      <w:bookmarkStart w:id="26" w:name="hydraulischer-nachweis"/>
      <w:r>
        <w:t xml:space="preserve">2.3 Hydraulischer Nachweis</w:t>
      </w:r>
      <w:bookmarkEnd w:id="26"/>
    </w:p>
    <w:p>
      <w:pPr>
        <w:pStyle w:val="FirstParagraph"/>
      </w:pPr>
      <w:r>
        <w:t xml:space="preserve">Als Zielgröße für die Bewertung hydraulische Belastungen zählt der potenziell naturnahe</w:t>
      </w:r>
      <w:r>
        <w:t xml:space="preserve"> </w:t>
      </w:r>
      <w:r>
        <w:t xml:space="preserve">Hochwasserabfluss</w:t>
      </w:r>
      <w:r>
        <w:t xml:space="preserve"> </w:t>
      </w:r>
      <w:r>
        <w:rPr>
          <w:b/>
        </w:rPr>
        <w:t xml:space="preserve">HQ</w:t>
      </w:r>
      <w:r>
        <w:rPr>
          <w:vertAlign w:val="subscript"/>
          <w:b/>
        </w:rPr>
        <w:t xml:space="preserve">n,pnat</w:t>
      </w:r>
      <w:r>
        <w:t xml:space="preserve">. Die Bedingung, unter der ein guter ökologische Zustand erreicht werden kann,</w:t>
      </w:r>
      <w:r>
        <w:t xml:space="preserve"> </w:t>
      </w:r>
      <w:r>
        <w:t xml:space="preserve">wird über den Faktor</w:t>
      </w:r>
      <w:r>
        <w:t xml:space="preserve"> </w:t>
      </w:r>
      <w:r>
        <w:rPr>
          <w:b/>
        </w:rPr>
        <w:t xml:space="preserve">x</w:t>
      </w:r>
      <w:r>
        <w:t xml:space="preserve"> </w:t>
      </w:r>
      <w:r>
        <w:t xml:space="preserve">nachgewiesen.</w:t>
      </w:r>
    </w:p>
    <w:p>
      <w:pPr>
        <w:pStyle w:val="BodyText"/>
      </w:pPr>
      <w:r>
        <w:br/>
      </w:r>
    </w:p>
    <w:p>
      <w:pPr>
        <w:pStyle w:val="BodyText"/>
      </w:pPr>
      <m:oMathPara>
        <m:oMathParaPr>
          <m:jc m:val="center"/>
        </m:oMathParaPr>
        <m:oMath>
          <m:r>
            <m:t>x</m:t>
          </m:r>
          <m:r>
            <m:t>=</m:t>
          </m:r>
          <m:f>
            <m:fPr>
              <m:type m:val="bar"/>
            </m:fPr>
            <m:num>
              <m:r>
                <m:t>H</m:t>
              </m:r>
              <m:sSub>
                <m:e>
                  <m:r>
                    <m:t>q</m:t>
                  </m:r>
                </m:e>
                <m:sub>
                  <m:r>
                    <m:t>2</m:t>
                  </m:r>
                  <m:r>
                    <m:t>,</m:t>
                  </m:r>
                  <m:r>
                    <m:t>p</m:t>
                  </m:r>
                  <m:r>
                    <m:t>n</m:t>
                  </m:r>
                  <m:r>
                    <m:t>a</m:t>
                  </m:r>
                  <m:r>
                    <m:t>t</m:t>
                  </m:r>
                </m:sub>
              </m:sSub>
            </m:num>
            <m:den>
              <m:r>
                <m:t>H</m:t>
              </m:r>
              <m:sSub>
                <m:e>
                  <m:r>
                    <m:t>q</m:t>
                  </m:r>
                </m:e>
                <m:sub>
                  <m:r>
                    <m:t>1</m:t>
                  </m:r>
                  <m:r>
                    <m:t>,</m:t>
                  </m:r>
                  <m:r>
                    <m:t>p</m:t>
                  </m:r>
                  <m:r>
                    <m:t>n</m:t>
                  </m:r>
                  <m:r>
                    <m:t>a</m:t>
                  </m:r>
                  <m:r>
                    <m:t>t</m:t>
                  </m:r>
                </m:sub>
              </m:sSub>
            </m:den>
          </m:f>
          <m:r>
            <m:t>−</m:t>
          </m:r>
          <m:r>
            <m:t>1</m:t>
          </m:r>
        </m:oMath>
      </m:oMathPara>
    </w:p>
    <w:p>
      <w:pPr>
        <w:pStyle w:val="FirstParagraph"/>
      </w:pPr>
      <w:r>
        <w:br/>
      </w:r>
    </w:p>
    <w:p>
      <w:pPr>
        <w:pStyle w:val="Heading5"/>
      </w:pPr>
      <w:bookmarkStart w:id="27" w:name="Xdc08e75e12268a93f2fae1c5c9b9c45b5f00f6a"/>
      <w:r>
        <w:t xml:space="preserve">2.3.1 Berechnung des zulässigen Einleitabflusses</w:t>
      </w:r>
      <w:bookmarkEnd w:id="27"/>
    </w:p>
    <w:p>
      <w:pPr>
        <w:pStyle w:val="FirstParagraph"/>
      </w:pPr>
      <w:r>
        <w:t xml:space="preserve">Darauf basierend lässt sich der zulässige Einleitungsabfluss an einem Nachweisort wie folgt festlegen:</w:t>
      </w:r>
    </w:p>
    <w:p>
      <w:pPr>
        <w:pStyle w:val="BodyText"/>
      </w:pPr>
      <w:r>
        <w:br/>
      </w:r>
    </w:p>
    <w:p>
      <w:pPr>
        <w:pStyle w:val="BodyText"/>
      </w:pPr>
      <m:oMathPara>
        <m:oMathParaPr>
          <m:jc m:val="center"/>
        </m:oMathParaPr>
        <m:oMath>
          <m:sSub>
            <m:e>
              <m:r>
                <m:t>Q</m:t>
              </m:r>
            </m:e>
            <m:sub>
              <m:r>
                <m:t>E</m:t>
              </m:r>
              <m:r>
                <m:t>1</m:t>
              </m:r>
              <m:r>
                <m:t>,</m:t>
              </m:r>
              <m:r>
                <m:t>z</m:t>
              </m:r>
              <m:r>
                <m:t>u</m:t>
              </m:r>
              <m:r>
                <m:t>l</m:t>
              </m:r>
            </m:sub>
          </m:sSub>
          <m:r>
            <m:t>=</m:t>
          </m:r>
          <m:r>
            <m:t>H</m:t>
          </m:r>
          <m:sSub>
            <m:e>
              <m:r>
                <m:t>q</m:t>
              </m:r>
            </m:e>
            <m:sub>
              <m:r>
                <m:t>1</m:t>
              </m:r>
              <m:r>
                <m:t>,</m:t>
              </m:r>
              <m:r>
                <m:t>p</m:t>
              </m:r>
              <m:r>
                <m:t>n</m:t>
              </m:r>
              <m:r>
                <m:t>a</m:t>
              </m:r>
              <m:r>
                <m:t>t</m:t>
              </m:r>
            </m:sub>
          </m:sSub>
          <m:f>
            <m:fPr>
              <m:type m:val="bar"/>
            </m:fPr>
            <m:num>
              <m:sSub>
                <m:e>
                  <m:r>
                    <m:t>A</m:t>
                  </m:r>
                </m:e>
                <m:sub>
                  <m:r>
                    <m:t>b</m:t>
                  </m:r>
                  <m:r>
                    <m:t>,</m:t>
                  </m:r>
                  <m:r>
                    <m:t>a</m:t>
                  </m:r>
                </m:sub>
              </m:sSub>
            </m:num>
            <m:den>
              <m:r>
                <m:t>100</m:t>
              </m:r>
            </m:den>
          </m:f>
          <m:r>
            <m:t>+</m:t>
          </m:r>
          <m:r>
            <m:t>x</m:t>
          </m:r>
          <m:r>
            <m:t>*</m:t>
          </m:r>
          <m:r>
            <m:t>H</m:t>
          </m:r>
          <m:sSub>
            <m:e>
              <m:r>
                <m:t>q</m:t>
              </m:r>
            </m:e>
            <m:sub>
              <m:r>
                <m:t>1</m:t>
              </m:r>
              <m:r>
                <m:t>,</m:t>
              </m:r>
              <m:r>
                <m:t>p</m:t>
              </m:r>
              <m:r>
                <m:t>n</m:t>
              </m:r>
              <m:r>
                <m:t>a</m:t>
              </m:r>
              <m:r>
                <m:t>t</m:t>
              </m:r>
            </m:sub>
          </m:sSub>
          <m:r>
            <m:t>*</m:t>
          </m:r>
          <m:sSub>
            <m:e>
              <m:r>
                <m:t>A</m:t>
              </m:r>
            </m:e>
            <m:sub>
              <m:r>
                <m:t>E</m:t>
              </m:r>
              <m:r>
                <m:t>0</m:t>
              </m:r>
            </m:sub>
          </m:sSub>
          <m:r>
            <m:t> </m:t>
          </m:r>
          <m:r>
            <m:t> </m:t>
          </m:r>
          <m:r>
            <m:t> </m:t>
          </m:r>
          <m:r>
            <m:t> </m:t>
          </m:r>
          <m:r>
            <m:t>i</m:t>
          </m:r>
          <m:r>
            <m:t>n</m:t>
          </m:r>
          <m:r>
            <m:t> </m:t>
          </m:r>
          <m:r>
            <m:t>[</m:t>
          </m:r>
          <m:r>
            <m:t>L</m:t>
          </m:r>
          <m:r>
            <m:t>/</m:t>
          </m:r>
          <m:r>
            <m:t>s</m:t>
          </m:r>
          <m:r>
            <m:t>]</m:t>
          </m:r>
        </m:oMath>
      </m:oMathPara>
    </w:p>
    <w:p>
      <w:pPr>
        <w:pStyle w:val="FirstParagraph"/>
      </w:pPr>
      <w:r>
        <w:br/>
      </w:r>
    </w:p>
    <w:p>
      <w:pPr>
        <w:pStyle w:val="BodyText"/>
      </w:pPr>
      <w:r>
        <w:t xml:space="preserve">mit:</w:t>
      </w:r>
    </w:p>
    <w:p>
      <w:pPr>
        <w:pStyle w:val="BodyText"/>
      </w:pPr>
      <w:r>
        <w:t xml:space="preserve">A</w:t>
      </w:r>
      <w:r>
        <w:rPr>
          <w:vertAlign w:val="subscript"/>
        </w:rPr>
        <w:t xml:space="preserve">b,a</w:t>
      </w:r>
      <w:r>
        <w:t xml:space="preserve">: angeschlossene befestigte Fläche in [ha]</w:t>
      </w:r>
      <w:r>
        <w:br/>
      </w:r>
      <w:r>
        <w:t xml:space="preserve">A</w:t>
      </w:r>
      <w:r>
        <w:rPr>
          <w:vertAlign w:val="subscript"/>
        </w:rPr>
        <w:t xml:space="preserve">E0</w:t>
      </w:r>
      <w:r>
        <w:t xml:space="preserve"> </w:t>
      </w:r>
      <w:r>
        <w:t xml:space="preserve">: oberirdisches Einzugsgebiet bis zur Einleitstelle [km²]</w:t>
      </w:r>
      <w:r>
        <w:br/>
      </w:r>
      <w:r>
        <w:t xml:space="preserve">Q</w:t>
      </w:r>
      <w:r>
        <w:rPr>
          <w:vertAlign w:val="subscript"/>
        </w:rPr>
        <w:t xml:space="preserve">E1,zul</w:t>
      </w:r>
      <w:r>
        <w:t xml:space="preserve">: zulässiger kritischer jährlicher Einleitabfluss [L/s]</w:t>
      </w:r>
      <w:r>
        <w:br/>
      </w:r>
    </w:p>
    <w:p>
      <w:pPr>
        <w:pStyle w:val="BodyText"/>
      </w:pPr>
      <w:r>
        <w:t xml:space="preserve">Der hydraulische Nachweis ist erbracht wenn die Summe der Einleitescheitel Q</w:t>
      </w:r>
      <w:r>
        <w:rPr>
          <w:vertAlign w:val="subscript"/>
        </w:rPr>
        <w:t xml:space="preserve">E1</w:t>
      </w:r>
      <w:r>
        <w:t xml:space="preserve"> </w:t>
      </w:r>
      <w:r>
        <w:t xml:space="preserve">kleiner ist als Q</w:t>
      </w:r>
      <w:r>
        <w:rPr>
          <w:vertAlign w:val="subscript"/>
        </w:rPr>
        <w:t xml:space="preserve">E1,zul</w:t>
      </w:r>
      <w:r>
        <w:t xml:space="preserve">.</w:t>
      </w:r>
    </w:p>
    <w:p>
      <w:pPr>
        <w:pStyle w:val="BodyText"/>
      </w:pPr>
      <w:r>
        <w:br/>
      </w:r>
    </w:p>
    <w:p>
      <w:pPr>
        <w:pStyle w:val="BlockText"/>
      </w:pPr>
      <w:r>
        <w:rPr>
          <w:b/>
        </w:rPr>
        <w:t xml:space="preserve">Anmerkung</w:t>
      </w:r>
      <w:r>
        <w:t xml:space="preserve">:  </w:t>
      </w:r>
      <w:r>
        <w:t xml:space="preserve"> </w:t>
      </w:r>
      <w:r>
        <w:t xml:space="preserve">Der Faktor x kann aus nach Anhang B oder durch Simulationsrechnungen bestimmt werden. Liegt beides nicht vor, ist ein Wert von</w:t>
      </w:r>
      <w:r>
        <w:t xml:space="preserve"> </w:t>
      </w:r>
      <w:r>
        <w:t xml:space="preserve">0.1 anzusetzen. Dieser Wert zählt nur für flache Gebiete (kann z.B. im Mittelgebirge bis zu x = 0.4 betragen, und ist in den Alpen manchmal noch höher)</w:t>
      </w:r>
    </w:p>
    <w:p>
      <w:pPr>
        <w:pStyle w:val="FirstParagraph"/>
      </w:pPr>
      <w:r>
        <w:br/>
      </w:r>
    </w:p>
    <w:p>
      <w:pPr>
        <w:pStyle w:val="BlockText"/>
      </w:pPr>
      <w:r>
        <w:t xml:space="preserve">Der Faktor Hq</w:t>
      </w:r>
      <w:r>
        <w:rPr>
          <w:vertAlign w:val="subscript"/>
        </w:rPr>
        <w:t xml:space="preserve">1pnat</w:t>
      </w:r>
      <w:r>
        <w:t xml:space="preserve"> </w:t>
      </w:r>
      <w:r>
        <w:t xml:space="preserve">kan aus den Hüllkurven im Anhang des Dokuments ermitelt werden.</w:t>
      </w:r>
    </w:p>
    <w:p>
      <w:pPr>
        <w:pStyle w:val="FirstParagraph"/>
      </w:pPr>
      <w:r>
        <w:br/>
      </w:r>
    </w:p>
    <w:p>
      <w:pPr>
        <w:pStyle w:val="BodyText"/>
      </w:pPr>
      <w:r>
        <w:rPr>
          <w:b/>
        </w:rPr>
        <w:t xml:space="preserve">Beispielrechnung</w:t>
      </w:r>
    </w:p>
    <w:p>
      <w:pPr>
        <w:pStyle w:val="SourceCode"/>
      </w:pPr>
      <w:r>
        <w:rPr>
          <w:rStyle w:val="KeywordTok"/>
        </w:rPr>
        <w:t xml:space="preserve">library</w:t>
      </w:r>
      <w:r>
        <w:rPr>
          <w:rStyle w:val="NormalTok"/>
        </w:rPr>
        <w:t xml:space="preserve">(tidyverse)</w:t>
      </w:r>
      <w:r>
        <w:br/>
      </w:r>
      <w:r>
        <w:br/>
      </w:r>
      <w:r>
        <w:rPr>
          <w:rStyle w:val="NormalTok"/>
        </w:rPr>
        <w:t xml:space="preserve">A_befestigt &lt;-</w:t>
      </w:r>
      <w:r>
        <w:rPr>
          <w:rStyle w:val="StringTok"/>
        </w:rPr>
        <w:t xml:space="preserve"> </w:t>
      </w:r>
      <w:r>
        <w:rPr>
          <w:rStyle w:val="DecValTok"/>
        </w:rPr>
        <w:t xml:space="preserve">0</w:t>
      </w:r>
      <w:r>
        <w:rPr>
          <w:rStyle w:val="OperatorTok"/>
        </w:rPr>
        <w:t xml:space="preserve">:</w:t>
      </w:r>
      <w:r>
        <w:rPr>
          <w:rStyle w:val="DecValTok"/>
        </w:rPr>
        <w:t xml:space="preserve">200</w:t>
      </w:r>
      <w:r>
        <w:rPr>
          <w:rStyle w:val="NormalTok"/>
        </w:rPr>
        <w:t xml:space="preserve"> </w:t>
      </w:r>
      <w:r>
        <w:rPr>
          <w:rStyle w:val="CommentTok"/>
        </w:rPr>
        <w:t xml:space="preserve">#ha</w:t>
      </w:r>
      <w:r>
        <w:br/>
      </w:r>
      <w:r>
        <w:rPr>
          <w:rStyle w:val="NormalTok"/>
        </w:rPr>
        <w:t xml:space="preserve">A_EZG1 &lt;-</w:t>
      </w:r>
      <w:r>
        <w:rPr>
          <w:rStyle w:val="StringTok"/>
        </w:rPr>
        <w:t xml:space="preserve"> </w:t>
      </w:r>
      <w:r>
        <w:rPr>
          <w:rStyle w:val="DecValTok"/>
        </w:rPr>
        <w:t xml:space="preserve">50</w:t>
      </w:r>
      <w:r>
        <w:rPr>
          <w:rStyle w:val="NormalTok"/>
        </w:rPr>
        <w:t xml:space="preserve"> </w:t>
      </w:r>
      <w:r>
        <w:rPr>
          <w:rStyle w:val="CommentTok"/>
        </w:rPr>
        <w:t xml:space="preserve"># km²</w:t>
      </w:r>
      <w:r>
        <w:br/>
      </w:r>
      <w:r>
        <w:rPr>
          <w:rStyle w:val="NormalTok"/>
        </w:rPr>
        <w:t xml:space="preserve">A_EZG2 &lt;-</w:t>
      </w:r>
      <w:r>
        <w:rPr>
          <w:rStyle w:val="StringTok"/>
        </w:rPr>
        <w:t xml:space="preserve"> </w:t>
      </w:r>
      <w:r>
        <w:rPr>
          <w:rStyle w:val="DecValTok"/>
        </w:rPr>
        <w:t xml:space="preserve">100</w:t>
      </w:r>
      <w:r>
        <w:rPr>
          <w:rStyle w:val="NormalTok"/>
        </w:rPr>
        <w:t xml:space="preserve"> </w:t>
      </w:r>
      <w:r>
        <w:rPr>
          <w:rStyle w:val="CommentTok"/>
        </w:rPr>
        <w:t xml:space="preserve"># km²</w:t>
      </w:r>
      <w:r>
        <w:br/>
      </w:r>
      <w:r>
        <w:br/>
      </w:r>
      <w:r>
        <w:rPr>
          <w:rStyle w:val="CommentTok"/>
        </w:rPr>
        <w:t xml:space="preserve">#Gefaelle  &lt; 0.5</w:t>
      </w:r>
      <w:r>
        <w:br/>
      </w:r>
      <w:r>
        <w:br/>
      </w:r>
      <w:r>
        <w:rPr>
          <w:rStyle w:val="CommentTok"/>
        </w:rPr>
        <w:t xml:space="preserve"># Aus Hüllkurven im Anhang</w:t>
      </w:r>
      <w:r>
        <w:br/>
      </w:r>
      <w:r>
        <w:br/>
      </w:r>
      <w:r>
        <w:rPr>
          <w:rStyle w:val="NormalTok"/>
        </w:rPr>
        <w:t xml:space="preserve">Hq1_pnat &lt;-</w:t>
      </w:r>
      <w:r>
        <w:rPr>
          <w:rStyle w:val="StringTok"/>
        </w:rPr>
        <w:t xml:space="preserve"> </w:t>
      </w:r>
      <w:r>
        <w:rPr>
          <w:rStyle w:val="DecValTok"/>
        </w:rPr>
        <w:t xml:space="preserve">25</w:t>
      </w:r>
      <w:r>
        <w:rPr>
          <w:rStyle w:val="NormalTok"/>
        </w:rPr>
        <w:t xml:space="preserve"> </w:t>
      </w:r>
      <w:r>
        <w:rPr>
          <w:rStyle w:val="CommentTok"/>
        </w:rPr>
        <w:t xml:space="preserve"># l/(s*km²)</w:t>
      </w:r>
      <w:r>
        <w:br/>
      </w:r>
      <w:r>
        <w:br/>
      </w:r>
      <w:r>
        <w:rPr>
          <w:rStyle w:val="CommentTok"/>
        </w:rPr>
        <w:t xml:space="preserve"># Hq2, pnat ist unbekant desweegen wird x = 0.1 gesetzt</w:t>
      </w:r>
      <w:r>
        <w:br/>
      </w:r>
      <w:r>
        <w:br/>
      </w:r>
      <w:r>
        <w:rPr>
          <w:rStyle w:val="NormalTok"/>
        </w:rPr>
        <w:t xml:space="preserve">x &lt;-</w:t>
      </w:r>
      <w:r>
        <w:rPr>
          <w:rStyle w:val="StringTok"/>
        </w:rPr>
        <w:t xml:space="preserve"> </w:t>
      </w:r>
      <w:r>
        <w:rPr>
          <w:rStyle w:val="FloatTok"/>
        </w:rPr>
        <w:t xml:space="preserve">0.1</w:t>
      </w:r>
      <w:r>
        <w:rPr>
          <w:rStyle w:val="NormalTok"/>
        </w:rPr>
        <w:t xml:space="preserve"> </w:t>
      </w:r>
      <w:r>
        <w:br/>
      </w:r>
      <w:r>
        <w:br/>
      </w:r>
      <w:r>
        <w:rPr>
          <w:rStyle w:val="CommentTok"/>
        </w:rPr>
        <w:t xml:space="preserve"># Berechnung</w:t>
      </w:r>
      <w:r>
        <w:br/>
      </w:r>
      <w:r>
        <w:rPr>
          <w:rStyle w:val="NormalTok"/>
        </w:rPr>
        <w:t xml:space="preserve">QE1_zul &lt;-</w:t>
      </w:r>
      <w:r>
        <w:rPr>
          <w:rStyle w:val="StringTok"/>
        </w:rPr>
        <w:t xml:space="preserve"> </w:t>
      </w:r>
      <w:r>
        <w:rPr>
          <w:rStyle w:val="NormalTok"/>
        </w:rPr>
        <w:t xml:space="preserve">Hq1_pnat</w:t>
      </w:r>
      <w:r>
        <w:rPr>
          <w:rStyle w:val="OperatorTok"/>
        </w:rPr>
        <w:t xml:space="preserve">*</w:t>
      </w:r>
      <w:r>
        <w:rPr>
          <w:rStyle w:val="NormalTok"/>
        </w:rPr>
        <w:t xml:space="preserve">A_befestigt</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FloatTok"/>
        </w:rPr>
        <w:t xml:space="preserve">0.1</w:t>
      </w:r>
      <w:r>
        <w:rPr>
          <w:rStyle w:val="OperatorTok"/>
        </w:rPr>
        <w:t xml:space="preserve">*</w:t>
      </w:r>
      <w:r>
        <w:rPr>
          <w:rStyle w:val="NormalTok"/>
        </w:rPr>
        <w:t xml:space="preserve">Hq1_pnat</w:t>
      </w:r>
      <w:r>
        <w:rPr>
          <w:rStyle w:val="OperatorTok"/>
        </w:rPr>
        <w:t xml:space="preserve">*</w:t>
      </w:r>
      <w:r>
        <w:rPr>
          <w:rStyle w:val="NormalTok"/>
        </w:rPr>
        <w:t xml:space="preserve">A_EZG1</w:t>
      </w:r>
      <w:r>
        <w:br/>
      </w:r>
      <w:r>
        <w:rPr>
          <w:rStyle w:val="NormalTok"/>
        </w:rPr>
        <w:t xml:space="preserve">QE1_zul2 &lt;-</w:t>
      </w:r>
      <w:r>
        <w:rPr>
          <w:rStyle w:val="StringTok"/>
        </w:rPr>
        <w:t xml:space="preserve"> </w:t>
      </w:r>
      <w:r>
        <w:rPr>
          <w:rStyle w:val="NormalTok"/>
        </w:rPr>
        <w:t xml:space="preserve">Hq1_pnat</w:t>
      </w:r>
      <w:r>
        <w:rPr>
          <w:rStyle w:val="OperatorTok"/>
        </w:rPr>
        <w:t xml:space="preserve">*</w:t>
      </w:r>
      <w:r>
        <w:rPr>
          <w:rStyle w:val="NormalTok"/>
        </w:rPr>
        <w:t xml:space="preserve">(A_befestigt</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FloatTok"/>
        </w:rPr>
        <w:t xml:space="preserve">0.1</w:t>
      </w:r>
      <w:r>
        <w:rPr>
          <w:rStyle w:val="OperatorTok"/>
        </w:rPr>
        <w:t xml:space="preserve">*</w:t>
      </w:r>
      <w:r>
        <w:rPr>
          <w:rStyle w:val="NormalTok"/>
        </w:rPr>
        <w:t xml:space="preserve">A_EZG2)</w:t>
      </w:r>
      <w:r>
        <w:br/>
      </w:r>
      <w:r>
        <w:br/>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A_befestigt =</w:t>
      </w:r>
      <w:r>
        <w:rPr>
          <w:rStyle w:val="NormalTok"/>
        </w:rPr>
        <w:t xml:space="preserve"> A_befestigt, </w:t>
      </w:r>
      <w:r>
        <w:br/>
      </w:r>
      <w:r>
        <w:rPr>
          <w:rStyle w:val="NormalTok"/>
        </w:rPr>
        <w:t xml:space="preserve">                 </w:t>
      </w:r>
      <w:r>
        <w:rPr>
          <w:rStyle w:val="DataTypeTok"/>
        </w:rPr>
        <w:t xml:space="preserve">EZG =</w:t>
      </w:r>
      <w:r>
        <w:rPr>
          <w:rStyle w:val="NormalTok"/>
        </w:rPr>
        <w:t xml:space="preserve"> </w:t>
      </w:r>
      <w:r>
        <w:rPr>
          <w:rStyle w:val="KeywordTok"/>
        </w:rPr>
        <w:t xml:space="preserve">as.factor</w:t>
      </w:r>
      <w:r>
        <w:rPr>
          <w:rStyle w:val="NormalTok"/>
        </w:rPr>
        <w:t xml:space="preserve">(</w:t>
      </w:r>
      <w:r>
        <w:rPr>
          <w:rStyle w:val="KeywordTok"/>
        </w:rPr>
        <w:t xml:space="preserve">rep</w:t>
      </w:r>
      <w:r>
        <w:rPr>
          <w:rStyle w:val="NormalTok"/>
        </w:rPr>
        <w:t xml:space="preserve">(</w:t>
      </w:r>
      <w:r>
        <w:rPr>
          <w:rStyle w:val="KeywordTok"/>
        </w:rPr>
        <w:t xml:space="preserve">c</w:t>
      </w:r>
      <w:r>
        <w:rPr>
          <w:rStyle w:val="NormalTok"/>
        </w:rPr>
        <w:t xml:space="preserve">(A_EZG1, A_EZG2), </w:t>
      </w:r>
      <w:r>
        <w:rPr>
          <w:rStyle w:val="DataTypeTok"/>
        </w:rPr>
        <w:t xml:space="preserve">each =</w:t>
      </w:r>
      <w:r>
        <w:rPr>
          <w:rStyle w:val="NormalTok"/>
        </w:rPr>
        <w:t xml:space="preserve"> </w:t>
      </w:r>
      <w:r>
        <w:rPr>
          <w:rStyle w:val="DecValTok"/>
        </w:rPr>
        <w:t xml:space="preserve">201</w:t>
      </w:r>
      <w:r>
        <w:rPr>
          <w:rStyle w:val="NormalTok"/>
        </w:rPr>
        <w:t xml:space="preserve">)),</w:t>
      </w:r>
      <w:r>
        <w:br/>
      </w:r>
      <w:r>
        <w:rPr>
          <w:rStyle w:val="NormalTok"/>
        </w:rPr>
        <w:t xml:space="preserve">                 </w:t>
      </w:r>
      <w:r>
        <w:rPr>
          <w:rStyle w:val="DataTypeTok"/>
        </w:rPr>
        <w:t xml:space="preserve">QE1_zul =</w:t>
      </w:r>
      <w:r>
        <w:rPr>
          <w:rStyle w:val="NormalTok"/>
        </w:rPr>
        <w:t xml:space="preserve"> </w:t>
      </w:r>
      <w:r>
        <w:rPr>
          <w:rStyle w:val="KeywordTok"/>
        </w:rPr>
        <w:t xml:space="preserve">c</w:t>
      </w:r>
      <w:r>
        <w:rPr>
          <w:rStyle w:val="NormalTok"/>
        </w:rPr>
        <w:t xml:space="preserve">(QE1_zul, QE1_zul2))</w:t>
      </w:r>
      <w:r>
        <w:br/>
      </w:r>
      <w:r>
        <w:br/>
      </w:r>
      <w:r>
        <w:rPr>
          <w:rStyle w:val="KeywordTok"/>
        </w:rPr>
        <w:t xml:space="preserve">ggplot</w:t>
      </w:r>
      <w:r>
        <w:rPr>
          <w:rStyle w:val="NormalTok"/>
        </w:rPr>
        <w:t xml:space="preserve">(df, </w:t>
      </w:r>
      <w:r>
        <w:rPr>
          <w:rStyle w:val="KeywordTok"/>
        </w:rPr>
        <w:t xml:space="preserve">aes</w:t>
      </w:r>
      <w:r>
        <w:rPr>
          <w:rStyle w:val="NormalTok"/>
        </w:rPr>
        <w:t xml:space="preserve">( </w:t>
      </w:r>
      <w:r>
        <w:rPr>
          <w:rStyle w:val="DataTypeTok"/>
        </w:rPr>
        <w:t xml:space="preserve">x =</w:t>
      </w:r>
      <w:r>
        <w:rPr>
          <w:rStyle w:val="NormalTok"/>
        </w:rPr>
        <w:t xml:space="preserve"> A_befestigt, </w:t>
      </w:r>
      <w:r>
        <w:rPr>
          <w:rStyle w:val="DataTypeTok"/>
        </w:rPr>
        <w:t xml:space="preserve">y =</w:t>
      </w:r>
      <w:r>
        <w:rPr>
          <w:rStyle w:val="NormalTok"/>
        </w:rPr>
        <w:t xml:space="preserve"> QE1_zul, </w:t>
      </w:r>
      <w:r>
        <w:rPr>
          <w:rStyle w:val="DataTypeTok"/>
        </w:rPr>
        <w:t xml:space="preserve">col =</w:t>
      </w:r>
      <w:r>
        <w:rPr>
          <w:rStyle w:val="NormalTok"/>
        </w:rPr>
        <w:t xml:space="preserve"> EZG))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lwd =</w:t>
      </w:r>
      <w:r>
        <w:rPr>
          <w:rStyle w:val="NormalTok"/>
        </w:rPr>
        <w:t xml:space="preserve"> </w:t>
      </w:r>
      <w:r>
        <w:rPr>
          <w:rStyle w:val="Float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"Befestigte Fläche gegen QE1, zulässig"</w:t>
      </w:r>
      <w:r>
        <w:rPr>
          <w:rStyle w:val="NormalTok"/>
        </w:rPr>
        <w:t xml:space="preserve">, </w:t>
      </w:r>
      <w:r>
        <w:br/>
      </w:r>
      <w:r>
        <w:rPr>
          <w:rStyle w:val="NormalTok"/>
        </w:rPr>
        <w:t xml:space="preserve">          </w:t>
      </w:r>
      <w:r>
        <w:rPr>
          <w:rStyle w:val="DataTypeTok"/>
        </w:rPr>
        <w:t xml:space="preserve">subtitle =</w:t>
      </w:r>
      <w:r>
        <w:rPr>
          <w:rStyle w:val="NormalTok"/>
        </w:rPr>
        <w:t xml:space="preserve"> </w:t>
      </w:r>
      <w:r>
        <w:rPr>
          <w:rStyle w:val="StringTok"/>
        </w:rPr>
        <w:t xml:space="preserve">"Wert für Hq1_pnat aus Hüllkurven mit 25 l/(s*km²) geschätzt"</w:t>
      </w:r>
      <w:r>
        <w:rPr>
          <w:rStyle w:val="NormalTok"/>
        </w:rPr>
        <w:t xml:space="preserve">) </w:t>
      </w:r>
      <w:r>
        <w:rPr>
          <w:rStyle w:val="OperatorTok"/>
        </w:rPr>
        <w:t xml:space="preserve">+</w:t>
      </w:r>
      <w:r>
        <w:br/>
      </w:r>
      <w:r>
        <w:rPr>
          <w:rStyle w:val="StringTok"/>
        </w:rPr>
        <w:t xml:space="preserve">  </w:t>
      </w:r>
      <w:r>
        <w:rPr>
          <w:rStyle w:val="KeywordTok"/>
        </w:rPr>
        <w:t xml:space="preserve">scale_color_viridis_d</w:t>
      </w:r>
      <w:r>
        <w:rPr>
          <w:rStyle w:val="NormalTok"/>
        </w:rPr>
        <w:t xml:space="preserve">()</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"angeschlossene befestigte Fläche [ha]"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"zulässiger jährlicher Einleitabfluss [L/s]"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okumentation_files/figure-docx/unnamed-chunk-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br/>
      </w:r>
    </w:p>
    <w:p>
      <w:pPr>
        <w:pStyle w:val="Heading5"/>
      </w:pPr>
      <w:bookmarkStart w:id="29" w:name="Xde38835cba953fdb5cba8026ceb3e2faaae3abb"/>
      <w:r>
        <w:t xml:space="preserve">2.3.2 Berechnung des maßgeblichen Einleitabflusses</w:t>
      </w:r>
      <w:bookmarkEnd w:id="29"/>
    </w:p>
    <w:p>
      <w:pPr>
        <w:pStyle w:val="FirstParagraph"/>
      </w:pPr>
      <w:r>
        <w:t xml:space="preserve">Zur Berechnung des maßgeblichen Einleitabflusses wird auf Anhang A2 DWA 102-3 zurückgegriffen.</w:t>
      </w:r>
      <w:r>
        <w:t xml:space="preserve"> </w:t>
      </w:r>
      <w:r>
        <w:t xml:space="preserve">Für Einleitungen aus dem Trenngebiet sind für die hydrologischen Nachweis die Summe der Regenwassereinleitungen</w:t>
      </w:r>
      <w:r>
        <w:t xml:space="preserve"> </w:t>
      </w:r>
      <w:r>
        <w:t xml:space="preserve">maßgeblich. Diese bechnen sich durch:</w:t>
      </w:r>
    </w:p>
    <w:p>
      <w:pPr>
        <w:pStyle w:val="BodyText"/>
      </w:pPr>
      <w:r>
        <w:br/>
      </w:r>
    </w:p>
    <w:p>
      <w:pPr>
        <w:pStyle w:val="BodyText"/>
      </w:pPr>
      <m:oMathPara>
        <m:oMathParaPr>
          <m:jc m:val="center"/>
        </m:oMathParaPr>
        <m:oMath>
          <m:sSub>
            <m:e>
              <m:r>
                <m:t>Q</m:t>
              </m:r>
            </m:e>
            <m:sub>
              <m:r>
                <m:t>E</m:t>
              </m:r>
              <m:r>
                <m:t>1</m:t>
              </m:r>
            </m:sub>
          </m:sSub>
          <m:r>
            <m:t>=</m:t>
          </m:r>
          <m:r>
            <m:t>∑</m:t>
          </m:r>
          <m:r>
            <m:t>(</m:t>
          </m:r>
          <m:sSub>
            <m:e>
              <m:r>
                <m:t>A</m:t>
              </m:r>
            </m:e>
            <m:sub>
              <m:r>
                <m:t>b</m:t>
              </m:r>
              <m:r>
                <m:t>,</m:t>
              </m:r>
              <m:r>
                <m:t>a</m:t>
              </m:r>
            </m:sub>
          </m:sSub>
          <m:r>
            <m:t>*</m:t>
          </m:r>
          <m:sSub>
            <m:e>
              <m:r>
                <m:t>f</m:t>
              </m:r>
            </m:e>
            <m:sub>
              <m:r>
                <m:t>D</m:t>
              </m:r>
            </m:sub>
          </m:sSub>
          <m:r>
            <m:t>*</m:t>
          </m:r>
          <m:sSub>
            <m:e>
              <m:r>
                <m:t>r</m:t>
              </m:r>
            </m:e>
            <m:sub>
              <m:r>
                <m:t>t</m:t>
              </m:r>
              <m:r>
                <m:t>f</m:t>
              </m:r>
              <m:r>
                <m:t>,</m:t>
              </m:r>
              <m:r>
                <m:t>1</m:t>
              </m:r>
            </m:sub>
          </m:sSub>
          <m:r>
            <m:t>)</m:t>
          </m:r>
        </m:oMath>
      </m:oMathPara>
    </w:p>
    <w:p>
      <w:pPr>
        <w:pStyle w:val="FirstParagraph"/>
      </w:pPr>
      <w:r>
        <w:br/>
      </w:r>
    </w:p>
    <w:p>
      <w:pPr>
        <w:pStyle w:val="BodyText"/>
      </w:pPr>
      <w:r>
        <w:t xml:space="preserve">mit</w:t>
      </w:r>
    </w:p>
    <w:p>
      <w:pPr>
        <w:pStyle w:val="BodyText"/>
      </w:pPr>
      <w:r>
        <w:t xml:space="preserve">A</w:t>
      </w:r>
      <w:r>
        <w:rPr>
          <w:vertAlign w:val="subscript"/>
        </w:rPr>
        <w:t xml:space="preserve">b,a</w:t>
      </w:r>
      <w:r>
        <w:t xml:space="preserve">: angeschlossene befestigte Fläche</w:t>
      </w:r>
      <w:r>
        <w:br/>
      </w:r>
      <w:r>
        <w:t xml:space="preserve">f</w:t>
      </w:r>
      <w:r>
        <w:rPr>
          <w:vertAlign w:val="subscript"/>
        </w:rPr>
        <w:t xml:space="preserve">D</w:t>
      </w:r>
      <w:r>
        <w:t xml:space="preserve">: Abminderungswert</w:t>
      </w:r>
      <w:r>
        <w:t xml:space="preserve"> </w:t>
      </w:r>
      <w:r>
        <w:t xml:space="preserve">“</w:t>
      </w:r>
      <w:r>
        <w:t xml:space="preserve">durchlässig befestigte Fläche</w:t>
      </w:r>
      <w:r>
        <w:t xml:space="preserve">”</w:t>
      </w:r>
      <w:r>
        <w:br/>
      </w:r>
      <w:r>
        <w:t xml:space="preserve">r</w:t>
      </w:r>
      <w:r>
        <w:rPr>
          <w:vertAlign w:val="subscript"/>
        </w:rPr>
        <w:t xml:space="preserve">tf,1</w:t>
      </w:r>
      <w:r>
        <w:t xml:space="preserve">: Regenspende eines einjährlichen Regenereignisses dessen Dauerstufe tf entspricht.</w:t>
      </w:r>
    </w:p>
    <w:p>
      <w:pPr>
        <w:pStyle w:val="BodyText"/>
      </w:pPr>
      <w:r>
        <w:br/>
      </w:r>
    </w:p>
    <w:p>
      <w:pPr>
        <w:pStyle w:val="BodyText"/>
      </w:pPr>
      <w:r>
        <w:t xml:space="preserve">Die Dauerstufe tf wird aus der Fließzeit im Kanalnetz und der Fließzeit des resultierenden</w:t>
      </w:r>
      <w:r>
        <w:t xml:space="preserve"> </w:t>
      </w:r>
      <w:r>
        <w:t xml:space="preserve">Gewässerabflusses im Einleitungsfall berechnet mit:</w:t>
      </w:r>
    </w:p>
    <w:p>
      <w:pPr>
        <w:pStyle w:val="BodyText"/>
      </w:pPr>
      <w:r>
        <w:br/>
      </w:r>
    </w:p>
    <w:p>
      <w:pPr>
        <w:pStyle w:val="BodyText"/>
      </w:pPr>
      <m:oMathPara>
        <m:oMathParaPr>
          <m:jc m:val="center"/>
        </m:oMathParaPr>
        <m:oMath>
          <m:sSub>
            <m:e>
              <m:r>
                <m:t>t</m:t>
              </m:r>
            </m:e>
            <m:sub>
              <m:r>
                <m:t>f</m:t>
              </m:r>
            </m:sub>
          </m:sSub>
          <m:r>
            <m:t>=</m:t>
          </m:r>
          <m:sSub>
            <m:e>
              <m:r>
                <m:t>t</m:t>
              </m:r>
            </m:e>
            <m:sub>
              <m:sSub>
                <m:e>
                  <m:r>
                    <m:t>f</m:t>
                  </m:r>
                </m:e>
                <m:sub>
                  <m:r>
                    <m:t>k</m:t>
                  </m:r>
                </m:sub>
              </m:sSub>
            </m:sub>
          </m:sSub>
          <m:r>
            <m:t>+</m:t>
          </m:r>
          <m:sSub>
            <m:e>
              <m:r>
                <m:t>t</m:t>
              </m:r>
            </m:e>
            <m:sub>
              <m:sSub>
                <m:e>
                  <m:r>
                    <m:t>f</m:t>
                  </m:r>
                </m:e>
                <m:sub>
                  <m:r>
                    <m:t>G</m:t>
                  </m:r>
                </m:sub>
              </m:sSub>
            </m:sub>
          </m:sSub>
        </m:oMath>
      </m:oMathPara>
    </w:p>
    <w:p>
      <w:pPr>
        <w:pStyle w:val="FirstParagraph"/>
      </w:pPr>
      <w:r>
        <w:br/>
      </w:r>
    </w:p>
    <w:p>
      <w:pPr>
        <w:pStyle w:val="BodyText"/>
      </w:pPr>
      <w:r>
        <w:t xml:space="preserve">Die Fließzeit t</w:t>
      </w:r>
      <w:r>
        <w:rPr>
          <w:vertAlign w:val="subscript"/>
        </w:rPr>
        <w:t xml:space="preserve">fG</w:t>
      </w:r>
      <w:r>
        <w:t xml:space="preserve"> </w:t>
      </w:r>
      <w:r>
        <w:t xml:space="preserve">wird aus dem resultierenden Durchfluss berechnet.</w:t>
      </w:r>
    </w:p>
    <w:p>
      <w:pPr>
        <w:pStyle w:val="BodyText"/>
      </w:pPr>
      <w:r>
        <w:br/>
      </w:r>
    </w:p>
    <w:p>
      <w:pPr>
        <w:pStyle w:val="BodyText"/>
      </w:pPr>
      <m:oMathPara>
        <m:oMathParaPr>
          <m:jc m:val="center"/>
        </m:oMathParaPr>
        <m:oMath>
          <m:sSub>
            <m:e>
              <m:r>
                <m:t>Q</m:t>
              </m:r>
            </m:e>
            <m:sub>
              <m:r>
                <m:t>G</m:t>
              </m:r>
            </m:sub>
          </m:sSub>
          <m:r>
            <m:t>=</m:t>
          </m:r>
          <m:r>
            <m:t>H</m:t>
          </m:r>
          <m:sSub>
            <m:e>
              <m:r>
                <m:t>Q</m:t>
              </m:r>
            </m:e>
            <m:sub>
              <m:r>
                <m:t>1</m:t>
              </m:r>
              <m:r>
                <m:t>,</m:t>
              </m:r>
              <m:r>
                <m:t>p</m:t>
              </m:r>
              <m:r>
                <m:t>n</m:t>
              </m:r>
              <m:r>
                <m:t>a</m:t>
              </m:r>
              <m:r>
                <m:t>t</m:t>
              </m:r>
            </m:sub>
          </m:sSub>
          <m:r>
            <m:t>+</m:t>
          </m:r>
          <m:sSub>
            <m:e>
              <m:r>
                <m:t>Q</m:t>
              </m:r>
            </m:e>
            <m:sub>
              <m:r>
                <m:t>E</m:t>
              </m:r>
              <m:r>
                <m:t>1</m:t>
              </m:r>
            </m:sub>
          </m:sSub>
          <m:r>
            <m:t> </m:t>
          </m:r>
          <m:r>
            <m:t> </m:t>
          </m:r>
          <m:r>
            <m:t> </m:t>
          </m:r>
          <m:r>
            <m:t>i</m:t>
          </m:r>
          <m:r>
            <m:t>n</m:t>
          </m:r>
          <m:r>
            <m:t> </m:t>
          </m:r>
          <m:r>
            <m:t>[</m:t>
          </m:r>
          <m:r>
            <m:t>L</m:t>
          </m:r>
          <m:r>
            <m:t>/</m:t>
          </m:r>
          <m:r>
            <m:t>s</m:t>
          </m:r>
          <m:r>
            <m:t>]</m:t>
          </m:r>
        </m:oMath>
      </m:oMathPara>
    </w:p>
    <w:p>
      <w:pPr>
        <w:pStyle w:val="FirstParagraph"/>
      </w:pPr>
      <w:r>
        <w:br/>
      </w:r>
    </w:p>
    <w:p>
      <w:pPr>
        <w:pStyle w:val="BodyText"/>
      </w:pPr>
      <w:r>
        <w:t xml:space="preserve">und</w:t>
      </w:r>
    </w:p>
    <w:p>
      <w:pPr>
        <w:pStyle w:val="BodyText"/>
      </w:pPr>
      <m:oMathPara>
        <m:oMathParaPr>
          <m:jc m:val="center"/>
        </m:oMathParaPr>
        <m:oMath>
          <m:sSub>
            <m:e>
              <m:r>
                <m:t>Q</m:t>
              </m:r>
            </m:e>
            <m:sub>
              <m:r>
                <m:t>G</m:t>
              </m:r>
            </m:sub>
          </m:sSub>
          <m:r>
            <m:t>=</m:t>
          </m:r>
          <m:sSub>
            <m:e>
              <m:r>
                <m:t>v</m:t>
              </m:r>
            </m:e>
            <m:sub>
              <m:r>
                <m:t>t</m:t>
              </m:r>
              <m:r>
                <m:t>e</m:t>
              </m:r>
              <m:r>
                <m:t>i</m:t>
              </m:r>
              <m:r>
                <m:t>l</m:t>
              </m:r>
            </m:sub>
          </m:sSub>
          <m:r>
            <m:t>*</m:t>
          </m:r>
          <m:sSub>
            <m:e>
              <m:r>
                <m:t>A</m:t>
              </m:r>
            </m:e>
            <m:sub>
              <m:r>
                <m:t>t</m:t>
              </m:r>
              <m:r>
                <m:t>e</m:t>
              </m:r>
              <m:r>
                <m:t>i</m:t>
              </m:r>
              <m:r>
                <m:t>l</m:t>
              </m:r>
            </m:sub>
          </m:sSub>
          <m:r>
            <m:t>=</m:t>
          </m:r>
          <m:f>
            <m:fPr>
              <m:type m:val="bar"/>
            </m:fPr>
            <m:num>
              <m:sSub>
                <m:e>
                  <m:r>
                    <m:t>s</m:t>
                  </m:r>
                </m:e>
                <m:sub>
                  <m:r>
                    <m:t>G</m:t>
                  </m:r>
                </m:sub>
              </m:sSub>
            </m:num>
            <m:den>
              <m:sSub>
                <m:e>
                  <m:r>
                    <m:t>t</m:t>
                  </m:r>
                </m:e>
                <m:sub>
                  <m:sSub>
                    <m:e>
                      <m:r>
                        <m:t>f</m:t>
                      </m:r>
                    </m:e>
                    <m:sub>
                      <m:r>
                        <m:t>G</m:t>
                      </m:r>
                    </m:sub>
                  </m:sSub>
                </m:sub>
              </m:sSub>
            </m:den>
          </m:f>
          <m:r>
            <m:t>*</m:t>
          </m:r>
          <m:sSub>
            <m:e>
              <m:r>
                <m:t>A</m:t>
              </m:r>
            </m:e>
            <m:sub>
              <m:r>
                <m:t>t</m:t>
              </m:r>
              <m:r>
                <m:t>e</m:t>
              </m:r>
              <m:r>
                <m:t>i</m:t>
              </m:r>
              <m:r>
                <m:t>l</m:t>
              </m:r>
            </m:sub>
          </m:sSub>
        </m:oMath>
      </m:oMathPara>
    </w:p>
    <w:p>
      <w:pPr>
        <w:pStyle w:val="FirstParagraph"/>
      </w:pPr>
      <w:r>
        <w:br/>
      </w:r>
    </w:p>
    <w:p>
      <w:pPr>
        <w:pStyle w:val="BodyText"/>
      </w:pPr>
      <m:oMathPara>
        <m:oMathParaPr>
          <m:jc m:val="center"/>
        </m:oMathParaPr>
        <m:oMath>
          <m:sSub>
            <m:e>
              <m:r>
                <m:t>t</m:t>
              </m:r>
            </m:e>
            <m:sub>
              <m:sSub>
                <m:e>
                  <m:r>
                    <m:t>f</m:t>
                  </m:r>
                </m:e>
                <m:sub>
                  <m:r>
                    <m:t>G</m:t>
                  </m:r>
                </m:sub>
              </m:sSub>
            </m:sub>
          </m:sSub>
          <m:r>
            <m:t>=</m:t>
          </m:r>
          <m:f>
            <m:fPr>
              <m:type m:val="bar"/>
            </m:fPr>
            <m:num>
              <m:sSub>
                <m:e>
                  <m:r>
                    <m:t>s</m:t>
                  </m:r>
                </m:e>
                <m:sub>
                  <m:r>
                    <m:t>G</m:t>
                  </m:r>
                </m:sub>
              </m:sSub>
              <m:r>
                <m:t>*</m:t>
              </m:r>
              <m:sSub>
                <m:e>
                  <m:r>
                    <m:t>A</m:t>
                  </m:r>
                </m:e>
                <m:sub>
                  <m:r>
                    <m:t>t</m:t>
                  </m:r>
                  <m:r>
                    <m:t>e</m:t>
                  </m:r>
                  <m:r>
                    <m:t>i</m:t>
                  </m:r>
                  <m:r>
                    <m:t>l</m:t>
                  </m:r>
                </m:sub>
              </m:sSub>
            </m:num>
            <m:den>
              <m:sSub>
                <m:e>
                  <m:r>
                    <m:t>Q</m:t>
                  </m:r>
                </m:e>
                <m:sub>
                  <m:r>
                    <m:t>G</m:t>
                  </m:r>
                </m:sub>
              </m:sSub>
            </m:den>
          </m:f>
        </m:oMath>
      </m:oMathPara>
    </w:p>
    <w:p>
      <w:pPr>
        <w:pStyle w:val="FirstParagraph"/>
      </w:pPr>
      <w:r>
        <w:br/>
      </w:r>
    </w:p>
    <w:p>
      <w:pPr>
        <w:pStyle w:val="BlockText"/>
      </w:pPr>
      <w:r>
        <w:rPr>
          <w:b/>
        </w:rPr>
        <w:t xml:space="preserve">Frage</w:t>
      </w:r>
      <w:r>
        <w:br/>
      </w:r>
      <w:r>
        <w:t xml:space="preserve">Ziel der Berechnung ist die Berechnung von Q</w:t>
      </w:r>
      <w:r>
        <w:rPr>
          <w:vertAlign w:val="subscript"/>
        </w:rPr>
        <w:t xml:space="preserve">E1</w:t>
      </w:r>
      <w:r>
        <w:t xml:space="preserve"> </w:t>
      </w:r>
      <w:r>
        <w:t xml:space="preserve">für den hydraulischen Nachweis.</w:t>
      </w:r>
      <w:r>
        <w:t xml:space="preserve"> </w:t>
      </w:r>
      <w:r>
        <w:t xml:space="preserve">Ich berechne t</w:t>
      </w:r>
      <w:r>
        <w:rPr>
          <w:vertAlign w:val="subscript"/>
        </w:rPr>
        <w:t xml:space="preserve">fG</w:t>
      </w:r>
      <w:r>
        <w:t xml:space="preserve"> </w:t>
      </w:r>
      <w:r>
        <w:t xml:space="preserve">um zusammen mit t</w:t>
      </w:r>
      <w:r>
        <w:rPr>
          <w:vertAlign w:val="subscript"/>
        </w:rPr>
        <w:t xml:space="preserve">fK</w:t>
      </w:r>
      <w:r>
        <w:t xml:space="preserve"> </w:t>
      </w:r>
      <w:r>
        <w:t xml:space="preserve">die Dauerstufe t</w:t>
      </w:r>
      <w:r>
        <w:rPr>
          <w:vertAlign w:val="subscript"/>
        </w:rPr>
        <w:t xml:space="preserve">f</w:t>
      </w:r>
      <w:r>
        <w:t xml:space="preserve"> </w:t>
      </w:r>
      <w:r>
        <w:t xml:space="preserve">für r</w:t>
      </w:r>
      <w:r>
        <w:rPr>
          <w:vertAlign w:val="subscript"/>
        </w:rPr>
        <w:t xml:space="preserve">tf,1</w:t>
      </w:r>
      <w:r>
        <w:t xml:space="preserve"> </w:t>
      </w:r>
      <w:r>
        <w:t xml:space="preserve">zu berechnen. Letztere benötige ich um Q</w:t>
      </w:r>
      <w:r>
        <w:rPr>
          <w:vertAlign w:val="subscript"/>
        </w:rPr>
        <w:t xml:space="preserve">E1</w:t>
      </w:r>
      <w:r>
        <w:t xml:space="preserve"> </w:t>
      </w:r>
      <w:r>
        <w:t xml:space="preserve">zu berechnen.&gt;</w:t>
      </w:r>
      <w:r>
        <w:t xml:space="preserve"> </w:t>
      </w:r>
      <w:r>
        <w:t xml:space="preserve">Gleichzeitig wird aber für die Berechnung von t</w:t>
      </w:r>
      <w:r>
        <w:rPr>
          <w:vertAlign w:val="subscript"/>
        </w:rPr>
        <w:t xml:space="preserve">fG</w:t>
      </w:r>
      <w:r>
        <w:t xml:space="preserve"> </w:t>
      </w:r>
      <w:r>
        <w:t xml:space="preserve">die Nutzung von Q</w:t>
      </w:r>
      <w:r>
        <w:rPr>
          <w:vertAlign w:val="subscript"/>
        </w:rPr>
        <w:t xml:space="preserve">G</w:t>
      </w:r>
      <w:r>
        <w:t xml:space="preserve"> </w:t>
      </w:r>
      <w:r>
        <w:t xml:space="preserve">vorgeschlagen, was die Summe aus HQ</w:t>
      </w:r>
      <w:r>
        <w:rPr>
          <w:vertAlign w:val="subscript"/>
        </w:rPr>
        <w:t xml:space="preserve">1,pnat</w:t>
      </w:r>
      <w:r>
        <w:t xml:space="preserve"> </w:t>
      </w:r>
      <w:r>
        <w:t xml:space="preserve">und</w:t>
      </w:r>
      <w:r>
        <w:t xml:space="preserve"> </w:t>
      </w:r>
      <w:r>
        <w:rPr>
          <w:b/>
        </w:rPr>
        <w:t xml:space="preserve">Q</w:t>
      </w:r>
      <w:r>
        <w:rPr>
          <w:vertAlign w:val="subscript"/>
          <w:b/>
        </w:rPr>
        <w:t xml:space="preserve">E1</w:t>
      </w:r>
      <w:r>
        <w:rPr>
          <w:b/>
        </w:rPr>
        <w:t xml:space="preserve"> </w:t>
      </w:r>
      <w:r>
        <w:rPr>
          <w:b/>
        </w:rPr>
        <w:t xml:space="preserve">(!!!)</w:t>
      </w:r>
      <w:r>
        <w:t xml:space="preserve"> </w:t>
      </w:r>
      <w:r>
        <w:t xml:space="preserve">ist.</w:t>
      </w:r>
    </w:p>
    <w:p>
      <w:pPr>
        <w:pStyle w:val="FirstParagraph"/>
      </w:pPr>
      <w:r>
        <w:br/>
      </w:r>
    </w:p>
    <w:p>
      <w:pPr>
        <w:pStyle w:val="Heading1"/>
      </w:pPr>
      <w:bookmarkStart w:id="30" w:name="diskussion-kwb"/>
      <w:r>
        <w:t xml:space="preserve">3. Diskussion KWB</w:t>
      </w:r>
      <w:bookmarkEnd w:id="30"/>
    </w:p>
    <w:p>
      <w:pPr>
        <w:pStyle w:val="FirstParagraph"/>
      </w:pPr>
      <w:r>
        <w:t xml:space="preserve">Bewertet wird sowohl der IST-Zustand des Gewässers als auch die durch Regenwassereinleitungen zusätzlich eingetragene Belastung im Gewässer.</w:t>
      </w:r>
    </w:p>
    <w:p>
      <w:pPr>
        <w:pStyle w:val="BodyText"/>
      </w:pPr>
      <w:r>
        <w:br/>
      </w:r>
    </w:p>
    <w:p>
      <w:pPr>
        <w:pStyle w:val="Heading3"/>
      </w:pPr>
      <w:bookmarkStart w:id="31" w:name="jahresfracht"/>
      <w:r>
        <w:t xml:space="preserve">3.1 Jahresfracht</w:t>
      </w:r>
      <w:bookmarkEnd w:id="31"/>
    </w:p>
    <w:p>
      <w:pPr>
        <w:pStyle w:val="FirstParagraph"/>
      </w:pPr>
      <w:r>
        <w:br/>
      </w:r>
    </w:p>
    <w:p>
      <w:pPr>
        <w:pStyle w:val="BodyText"/>
      </w:pPr>
      <m:oMathPara>
        <m:oMathParaPr>
          <m:jc m:val="center"/>
        </m:oMathParaPr>
        <m:oMath>
          <m:sSub>
            <m:e>
              <m:r>
                <m:t>C</m:t>
              </m:r>
            </m:e>
            <m:sub>
              <m:r>
                <m:t>f</m:t>
              </m:r>
              <m:r>
                <m:t>i</m:t>
              </m:r>
              <m:r>
                <m:t>k</m:t>
              </m:r>
              <m:r>
                <m:t>t</m:t>
              </m:r>
              <m:r>
                <m:t>i</m:t>
              </m:r>
              <m:r>
                <m:t>v</m:t>
              </m:r>
            </m:sub>
          </m:sSub>
          <m:r>
            <m:t>=</m:t>
          </m:r>
          <m:f>
            <m:fPr>
              <m:type m:val="bar"/>
            </m:fPr>
            <m:num>
              <m:r>
                <m:t>(</m:t>
              </m:r>
              <m:r>
                <m:t>M</m:t>
              </m:r>
              <m:r>
                <m:t>Q</m:t>
              </m:r>
              <m:r>
                <m:t>*</m:t>
              </m:r>
              <m:sSub>
                <m:e>
                  <m:r>
                    <m:t>C</m:t>
                  </m:r>
                </m:e>
                <m:sub>
                  <m:r>
                    <m:t>g</m:t>
                  </m:r>
                  <m:r>
                    <m:t>e</m:t>
                  </m:r>
                  <m:r>
                    <m:t>m</m:t>
                  </m:r>
                  <m:r>
                    <m:t>e</m:t>
                  </m:r>
                  <m:r>
                    <m:t>s</m:t>
                  </m:r>
                  <m:r>
                    <m:t>s</m:t>
                  </m:r>
                  <m:r>
                    <m:t>e</m:t>
                  </m:r>
                  <m:r>
                    <m:t>n</m:t>
                  </m:r>
                </m:sub>
              </m:sSub>
              <m:r>
                <m:t>+</m:t>
              </m:r>
              <m:sSub>
                <m:e>
                  <m:r>
                    <m:t>Q</m:t>
                  </m:r>
                </m:e>
                <m:sub>
                  <m:r>
                    <m:t>R</m:t>
                  </m:r>
                  <m:r>
                    <m:t>e</m:t>
                  </m:r>
                  <m:r>
                    <m:t>g</m:t>
                  </m:r>
                  <m:r>
                    <m:t>e</m:t>
                  </m:r>
                  <m:r>
                    <m:t>n</m:t>
                  </m:r>
                  <m:r>
                    <m:t>,</m:t>
                  </m:r>
                  <m:r>
                    <m:t>E</m:t>
                  </m:r>
                  <m:r>
                    <m:t>Z</m:t>
                  </m:r>
                  <m:r>
                    <m:t>G</m:t>
                  </m:r>
                </m:sub>
              </m:sSub>
              <m:r>
                <m:t>*</m:t>
              </m:r>
              <m:sSub>
                <m:e>
                  <m:r>
                    <m:t>C</m:t>
                  </m:r>
                </m:e>
                <m:sub>
                  <m:r>
                    <m:t>R</m:t>
                  </m:r>
                  <m:r>
                    <m:t>e</m:t>
                  </m:r>
                  <m:r>
                    <m:t>g</m:t>
                  </m:r>
                  <m:r>
                    <m:t>e</m:t>
                  </m:r>
                  <m:r>
                    <m:t>n</m:t>
                  </m:r>
                  <m:r>
                    <m:t>,</m:t>
                  </m:r>
                  <m:r>
                    <m:t>E</m:t>
                  </m:r>
                  <m:r>
                    <m:t>Z</m:t>
                  </m:r>
                  <m:r>
                    <m:t>G</m:t>
                  </m:r>
                </m:sub>
              </m:sSub>
              <m:r>
                <m:t>)</m:t>
              </m:r>
            </m:num>
            <m:den>
              <m:r>
                <m:t>M</m:t>
              </m:r>
              <m:r>
                <m:t>Q</m:t>
              </m:r>
              <m:r>
                <m:t>+</m:t>
              </m:r>
              <m:sSub>
                <m:e>
                  <m:r>
                    <m:t>Q</m:t>
                  </m:r>
                </m:e>
                <m:sub>
                  <m:r>
                    <m:t>R</m:t>
                  </m:r>
                  <m:r>
                    <m:t>e</m:t>
                  </m:r>
                  <m:r>
                    <m:t>g</m:t>
                  </m:r>
                  <m:r>
                    <m:t>e</m:t>
                  </m:r>
                  <m:r>
                    <m:t>n</m:t>
                  </m:r>
                  <m:r>
                    <m:t>,</m:t>
                  </m:r>
                  <m:r>
                    <m:t>E</m:t>
                  </m:r>
                  <m:r>
                    <m:t>Z</m:t>
                  </m:r>
                  <m:r>
                    <m:t>G</m:t>
                  </m:r>
                </m:sub>
              </m:sSub>
            </m:den>
          </m:f>
        </m:oMath>
      </m:oMathPara>
    </w:p>
    <w:p>
      <w:pPr>
        <w:pStyle w:val="FirstParagraph"/>
      </w:pPr>
      <w:r>
        <w:br/>
      </w:r>
    </w:p>
    <w:p>
      <w:pPr>
        <w:pStyle w:val="BodyText"/>
      </w:pPr>
      <w:r>
        <w:t xml:space="preserve">C</w:t>
      </w:r>
      <w:r>
        <w:rPr>
          <w:vertAlign w:val="subscript"/>
        </w:rPr>
        <w:t xml:space="preserve">Regen,EZB</w:t>
      </w:r>
      <w:r>
        <w:t xml:space="preserve">: Annahme eines typischen Einzugsgebiets oder strukturspezifisch</w:t>
      </w:r>
    </w:p>
    <w:p>
      <w:pPr>
        <w:pStyle w:val="BodyText"/>
      </w:pPr>
      <w:r>
        <w:br/>
      </w:r>
    </w:p>
    <w:p>
      <w:pPr>
        <w:pStyle w:val="Heading3"/>
      </w:pPr>
      <w:bookmarkStart w:id="32" w:name="ereignisbelastung-akute-toxizität"/>
      <w:r>
        <w:t xml:space="preserve">3.2 Ereignisbelastung (akute Toxizität)</w:t>
      </w:r>
      <w:bookmarkEnd w:id="32"/>
    </w:p>
    <w:p>
      <w:pPr>
        <w:pStyle w:val="FirstParagraph"/>
      </w:pPr>
      <w:r>
        <w:t xml:space="preserve">Für die Ereignisbelastung wird eine fiktive Ereigniskonzentraiton berechnet.</w:t>
      </w:r>
      <w:r>
        <w:t xml:space="preserve"> </w:t>
      </w:r>
      <w:r>
        <w:t xml:space="preserve">Analog zum hydraulischen Nachweis nach DWA 102-3 wäre noch die Dauerstufe des 1-jährlichen Ereignises abzuklären.</w:t>
      </w:r>
    </w:p>
    <w:p>
      <w:pPr>
        <w:pStyle w:val="BodyText"/>
      </w:pPr>
      <w:r>
        <w:br/>
      </w:r>
    </w:p>
    <w:p>
      <w:pPr>
        <w:pStyle w:val="BodyText"/>
      </w:pPr>
      <m:oMathPara>
        <m:oMathParaPr>
          <m:jc m:val="center"/>
        </m:oMathParaPr>
        <m:oMath>
          <m:sSub>
            <m:e>
              <m:r>
                <m:t>C</m:t>
              </m:r>
            </m:e>
            <m:sub>
              <m:r>
                <m:t>f</m:t>
              </m:r>
              <m:r>
                <m:t>i</m:t>
              </m:r>
              <m:r>
                <m:t>k</m:t>
              </m:r>
              <m:r>
                <m:t>t</m:t>
              </m:r>
              <m:r>
                <m:t>i</m:t>
              </m:r>
              <m:r>
                <m:t>v</m:t>
              </m:r>
            </m:sub>
          </m:sSub>
          <m:r>
            <m:t>=</m:t>
          </m:r>
          <m:f>
            <m:fPr>
              <m:type m:val="bar"/>
            </m:fPr>
            <m:num>
              <m:r>
                <m:t>(</m:t>
              </m:r>
              <m:r>
                <m:t>H</m:t>
              </m:r>
              <m:r>
                <m:t>Q</m:t>
              </m:r>
              <m:sSub>
                <m:e>
                  <m:r>
                    <m:t>1</m:t>
                  </m:r>
                </m:e>
                <m:sub>
                  <m:r>
                    <m:t>g</m:t>
                  </m:r>
                  <m:r>
                    <m:t>e</m:t>
                  </m:r>
                  <m:r>
                    <m:t>m</m:t>
                  </m:r>
                  <m:r>
                    <m:t>e</m:t>
                  </m:r>
                  <m:r>
                    <m:t>s</m:t>
                  </m:r>
                  <m:r>
                    <m:t>s</m:t>
                  </m:r>
                  <m:r>
                    <m:t>e</m:t>
                  </m:r>
                  <m:r>
                    <m:t>n</m:t>
                  </m:r>
                  <m:r>
                    <m:t>?</m:t>
                  </m:r>
                </m:sub>
              </m:sSub>
              <m:r>
                <m:t>*</m:t>
              </m:r>
              <m:sSub>
                <m:e>
                  <m:r>
                    <m:t>C</m:t>
                  </m:r>
                </m:e>
                <m:sub>
                  <m:r>
                    <m:t>g</m:t>
                  </m:r>
                  <m:r>
                    <m:t>e</m:t>
                  </m:r>
                  <m:r>
                    <m:t>m</m:t>
                  </m:r>
                  <m:r>
                    <m:t>e</m:t>
                  </m:r>
                  <m:r>
                    <m:t>s</m:t>
                  </m:r>
                  <m:r>
                    <m:t>s</m:t>
                  </m:r>
                  <m:r>
                    <m:t>e</m:t>
                  </m:r>
                  <m:r>
                    <m:t>n</m:t>
                  </m:r>
                </m:sub>
              </m:sSub>
              <m:r>
                <m:t>+</m:t>
              </m:r>
              <m:sSub>
                <m:e>
                  <m:r>
                    <m:t>Q</m:t>
                  </m:r>
                </m:e>
                <m:sub>
                  <m:r>
                    <m:t>E</m:t>
                  </m:r>
                  <m:r>
                    <m:t>r</m:t>
                  </m:r>
                  <m:r>
                    <m:t>e</m:t>
                  </m:r>
                  <m:r>
                    <m:t>i</m:t>
                  </m:r>
                  <m:r>
                    <m:t>g</m:t>
                  </m:r>
                  <m:r>
                    <m:t>n</m:t>
                  </m:r>
                  <m:r>
                    <m:t>i</m:t>
                  </m:r>
                  <m:r>
                    <m:t>s</m:t>
                  </m:r>
                  <m:r>
                    <m:t>,</m:t>
                  </m:r>
                  <m:r>
                    <m:t>P</m:t>
                  </m:r>
                  <m:r>
                    <m:t>l</m:t>
                  </m:r>
                  <m:r>
                    <m:t>a</m:t>
                  </m:r>
                  <m:r>
                    <m:t>n</m:t>
                  </m:r>
                  <m:r>
                    <m:t>,</m:t>
                  </m:r>
                  <m:r>
                    <m:t>1</m:t>
                  </m:r>
                  <m:r>
                    <m:t>a</m:t>
                  </m:r>
                </m:sub>
              </m:sSub>
              <m:r>
                <m:t>*</m:t>
              </m:r>
              <m:sSub>
                <m:e>
                  <m:r>
                    <m:t>C</m:t>
                  </m:r>
                </m:e>
                <m:sub>
                  <m:r>
                    <m:t>R</m:t>
                  </m:r>
                  <m:r>
                    <m:t>e</m:t>
                  </m:r>
                  <m:r>
                    <m:t>g</m:t>
                  </m:r>
                  <m:r>
                    <m:t>e</m:t>
                  </m:r>
                  <m:r>
                    <m:t>n</m:t>
                  </m:r>
                </m:sub>
              </m:sSub>
              <m:r>
                <m:t>)</m:t>
              </m:r>
            </m:num>
            <m:den>
              <m:r>
                <m:t>H</m:t>
              </m:r>
              <m:r>
                <m:t>Q</m:t>
              </m:r>
              <m:sSub>
                <m:e>
                  <m:r>
                    <m:t>1</m:t>
                  </m:r>
                </m:e>
                <m:sub>
                  <m:r>
                    <m:t>g</m:t>
                  </m:r>
                  <m:r>
                    <m:t>e</m:t>
                  </m:r>
                  <m:r>
                    <m:t>m</m:t>
                  </m:r>
                  <m:r>
                    <m:t>e</m:t>
                  </m:r>
                  <m:r>
                    <m:t>s</m:t>
                  </m:r>
                  <m:r>
                    <m:t>s</m:t>
                  </m:r>
                  <m:r>
                    <m:t>e</m:t>
                  </m:r>
                  <m:r>
                    <m:t>n</m:t>
                  </m:r>
                  <m:r>
                    <m:t>?</m:t>
                  </m:r>
                </m:sub>
              </m:sSub>
              <m:r>
                <m:t>+</m:t>
              </m:r>
              <m:sSub>
                <m:e>
                  <m:r>
                    <m:t>Q</m:t>
                  </m:r>
                </m:e>
                <m:sub>
                  <m:r>
                    <m:t>E</m:t>
                  </m:r>
                  <m:r>
                    <m:t>r</m:t>
                  </m:r>
                  <m:r>
                    <m:t>e</m:t>
                  </m:r>
                  <m:r>
                    <m:t>i</m:t>
                  </m:r>
                  <m:r>
                    <m:t>g</m:t>
                  </m:r>
                  <m:r>
                    <m:t>n</m:t>
                  </m:r>
                  <m:r>
                    <m:t>i</m:t>
                  </m:r>
                  <m:r>
                    <m:t>s</m:t>
                  </m:r>
                  <m:r>
                    <m:t>,</m:t>
                  </m:r>
                  <m:r>
                    <m:t>P</m:t>
                  </m:r>
                  <m:r>
                    <m:t>l</m:t>
                  </m:r>
                  <m:r>
                    <m:t>a</m:t>
                  </m:r>
                  <m:r>
                    <m:t>n</m:t>
                  </m:r>
                  <m:r>
                    <m:t>,</m:t>
                  </m:r>
                  <m:r>
                    <m:t>1</m:t>
                  </m:r>
                  <m:r>
                    <m:t>a</m:t>
                  </m:r>
                </m:sub>
              </m:sSub>
            </m:den>
          </m:f>
        </m:oMath>
      </m:oMathPara>
    </w:p>
    <w:p>
      <w:pPr>
        <w:pStyle w:val="FirstParagraph"/>
      </w:pPr>
      <w:r>
        <w:br/>
      </w:r>
    </w:p>
    <w:p>
      <w:pPr>
        <w:pStyle w:val="BodyText"/>
      </w:pPr>
      <w:r>
        <w:t xml:space="preserve">wobei HQ1</w:t>
      </w:r>
      <w:r>
        <w:rPr>
          <w:vertAlign w:val="subscript"/>
        </w:rPr>
        <w:t xml:space="preserve">gemessen</w:t>
      </w:r>
      <w:r>
        <w:t xml:space="preserve"> </w:t>
      </w:r>
      <w:r>
        <w:t xml:space="preserve">aus Hüllkurven für H</w:t>
      </w:r>
      <w:r>
        <w:rPr>
          <w:vertAlign w:val="subscript"/>
        </w:rPr>
        <w:t xml:space="preserve">q1,nat</w:t>
      </w:r>
      <w:r>
        <w:t xml:space="preserve"> </w:t>
      </w:r>
      <w:r>
        <w:t xml:space="preserve">und der Einzugsgebietsfläche A</w:t>
      </w:r>
      <w:r>
        <w:rPr>
          <w:vertAlign w:val="subscript"/>
        </w:rPr>
        <w:t xml:space="preserve">E0</w:t>
      </w:r>
      <w:r>
        <w:t xml:space="preserve"> </w:t>
      </w:r>
      <w:r>
        <w:t xml:space="preserve">abgeschätzt werden kann.</w:t>
      </w:r>
    </w:p>
    <w:p>
      <w:pPr>
        <w:pStyle w:val="BlockText"/>
      </w:pPr>
      <w:r>
        <w:rPr>
          <w:b/>
        </w:rPr>
        <w:t xml:space="preserve">Frage</w:t>
      </w:r>
      <w:r>
        <w:t xml:space="preserve"> </w:t>
      </w:r>
      <w:r>
        <w:t xml:space="preserve">Warum nehmen wir hier HQ1? Erscheint sinnvoll für kleinere Einzugsgebiete und Gewässer, bei denen lokaler Regen Q beeinflusst.</w:t>
      </w:r>
      <w:r>
        <w:t xml:space="preserve"> </w:t>
      </w:r>
      <w:r>
        <w:t xml:space="preserve">Bei größeren Einzugsgebieten hat lokaler Regen eventuell kaum Einfluss auf Q?</w:t>
      </w:r>
    </w:p>
    <w:p>
      <w:pPr>
        <w:pStyle w:val="FirstParagraph"/>
      </w:pPr>
      <w:r>
        <w:br/>
      </w:r>
    </w:p>
    <w:p>
      <w:pPr>
        <w:pStyle w:val="Heading3"/>
      </w:pPr>
      <w:bookmarkStart w:id="33" w:name="flächenbezug-und-relevante-parameter"/>
      <w:r>
        <w:t xml:space="preserve">3.3 Flächenbezug und relevante Parameter</w:t>
      </w:r>
      <w:bookmarkEnd w:id="33"/>
    </w:p>
    <w:p>
      <w:pPr>
        <w:pStyle w:val="FirstParagraph"/>
      </w:pPr>
      <w:r>
        <w:t xml:space="preserve">Zu klären wäre welche PArameter ergänzt werden und ob die Flächenkategorien aus DWA 102-2 für diese neuen Stoffgruppen angepasst werden.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Bewertung Regenwassereinleitung</dc:title>
  <dc:creator>Wolfgang Seis</dc:creator>
  <cp:keywords/>
  <dcterms:created xsi:type="dcterms:W3CDTF">2020-11-26T12:21:40Z</dcterms:created>
  <dcterms:modified xsi:type="dcterms:W3CDTF">2020-11-26T12:21:40Z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22 11 2020</vt:lpwstr>
  </property>
  <property fmtid="{D5CDD505-2E9C-101B-9397-08002B2CF9AE}" pid="3" name="output">
    <vt:lpwstr/>
  </property>
</Properties>
</file>