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7CFCA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1" w:hRule="atLeast"/>
        </w:trPr>
        <w:tc>
          <w:tcPr>
            <w:tcW w:w="5000" w:type="pct"/>
          </w:tcPr>
          <w:p w14:paraId="0F6026A7">
            <w:pPr>
              <w:pStyle w:val="12"/>
              <w:spacing w:before="100" w:beforeAutospacing="1"/>
              <w:rPr>
                <w:rFonts w:hint="eastAsia" w:ascii="微软雅黑" w:hAnsi="微软雅黑" w:eastAsia="微软雅黑"/>
                <w:b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b/>
                <w:sz w:val="28"/>
                <w:szCs w:val="28"/>
              </w:rPr>
              <w:t>项目简介（200字以内，项目研究的目的和主要研究内容）：</w:t>
            </w:r>
          </w:p>
          <w:p w14:paraId="76B79C85">
            <w:pPr>
              <w:pStyle w:val="12"/>
              <w:spacing w:before="156"/>
              <w:rPr>
                <w:rFonts w:hint="eastAsia" w:ascii="宋体" w:hAnsi="宋体" w:eastAsia="宋体" w:cs="宋体"/>
                <w:color w:val="05073B"/>
                <w:sz w:val="28"/>
                <w:szCs w:val="28"/>
                <w:shd w:val="clear" w:color="auto" w:fill="FDFDF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8"/>
                <w:szCs w:val="28"/>
                <w:shd w:val="clear" w:fill="FFFFFF"/>
              </w:rPr>
              <w:t>本项目针对工业场景中神经辐射场技术存在的计算效率低、位姿精度不足等难题，提出云边协同架构与多模态优化算法融合的创新方案。通过边缘端实时数据采集与云端并行训练的分层架构，将神经辐射场建模时间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404040"/>
                <w:spacing w:val="0"/>
                <w:sz w:val="28"/>
                <w:szCs w:val="28"/>
                <w:shd w:val="clear" w:fill="FFFFFF"/>
                <w:lang w:val="en-US" w:eastAsia="zh-CN"/>
              </w:rPr>
              <w:t>大大减少</w:t>
            </w:r>
            <w:bookmarkStart w:id="0" w:name="_GoBack"/>
            <w:bookmarkEnd w:id="0"/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8"/>
                <w:szCs w:val="28"/>
                <w:shd w:val="clear" w:fill="FFFFFF"/>
              </w:rPr>
              <w:t>；结合D2-Net动态特征提取与g2o优化的位姿估计技术，使重投影误差降低，并融合多分辨率哈希编码与球谐函数构建轻量化渲染引擎，实现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404040"/>
                <w:spacing w:val="0"/>
                <w:sz w:val="28"/>
                <w:szCs w:val="28"/>
                <w:shd w:val="clear" w:fill="FFFFFF"/>
                <w:lang w:val="en-US" w:eastAsia="zh-CN"/>
              </w:rPr>
              <w:t>高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8"/>
                <w:szCs w:val="28"/>
                <w:shd w:val="clear" w:fill="FFFFFF"/>
              </w:rPr>
              <w:t>倍速率的实时三维重建，弱光环境下场景一致性保持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404040"/>
                <w:spacing w:val="0"/>
                <w:sz w:val="28"/>
                <w:szCs w:val="28"/>
                <w:shd w:val="clear" w:fill="FFFFFF"/>
                <w:lang w:val="en-US" w:eastAsia="zh-CN"/>
              </w:rPr>
              <w:t>较高的数值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8"/>
                <w:szCs w:val="28"/>
                <w:shd w:val="clear" w:fill="FFFFFF"/>
              </w:rPr>
              <w:t>。最终形成覆盖数据采集、高精度建模到孪生映射的全流程系统，经精密制造产线验证达到工业精度，为智能制造提供高效可视化决策支持。</w:t>
            </w:r>
          </w:p>
        </w:tc>
      </w:tr>
      <w:tr w14:paraId="5CEC6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9" w:hRule="atLeast"/>
        </w:trPr>
        <w:tc>
          <w:tcPr>
            <w:tcW w:w="5000" w:type="pct"/>
          </w:tcPr>
          <w:p w14:paraId="02DD4557">
            <w:pPr>
              <w:pStyle w:val="12"/>
              <w:spacing w:before="156"/>
              <w:rPr>
                <w:rFonts w:hint="eastAsia" w:ascii="微软雅黑" w:hAnsi="微软雅黑" w:eastAsia="微软雅黑"/>
                <w:b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b/>
                <w:sz w:val="28"/>
                <w:szCs w:val="28"/>
              </w:rPr>
              <w:t>负责人曾经参与科研的情况：</w:t>
            </w:r>
          </w:p>
          <w:p w14:paraId="5A85DFED">
            <w:pPr>
              <w:pStyle w:val="12"/>
              <w:spacing w:before="156"/>
              <w:rPr>
                <w:rFonts w:hint="eastAsia" w:ascii="宋体" w:hAnsi="宋体" w:eastAsia="宋体"/>
                <w:b/>
                <w:sz w:val="28"/>
                <w:szCs w:val="28"/>
              </w:rPr>
            </w:pPr>
          </w:p>
        </w:tc>
      </w:tr>
      <w:tr w14:paraId="5B480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3" w:hRule="atLeast"/>
        </w:trPr>
        <w:tc>
          <w:tcPr>
            <w:tcW w:w="5000" w:type="pct"/>
          </w:tcPr>
          <w:p w14:paraId="73A5E4FA">
            <w:pPr>
              <w:pStyle w:val="12"/>
              <w:spacing w:before="156"/>
              <w:rPr>
                <w:rFonts w:hint="eastAsia" w:ascii="微软雅黑" w:hAnsi="微软雅黑" w:eastAsia="微软雅黑"/>
                <w:b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b/>
                <w:sz w:val="28"/>
                <w:szCs w:val="28"/>
              </w:rPr>
              <w:t>指导教师承担科研课题情况：</w:t>
            </w:r>
          </w:p>
          <w:p w14:paraId="3E4E4208">
            <w:pPr>
              <w:pStyle w:val="12"/>
              <w:spacing w:before="156"/>
              <w:rPr>
                <w:rFonts w:hint="eastAsia" w:ascii="宋体" w:hAnsi="宋体" w:eastAsia="宋体"/>
                <w:b/>
                <w:sz w:val="28"/>
                <w:szCs w:val="28"/>
              </w:rPr>
            </w:pPr>
          </w:p>
        </w:tc>
      </w:tr>
      <w:tr w14:paraId="5A165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6" w:hRule="atLeast"/>
        </w:trPr>
        <w:tc>
          <w:tcPr>
            <w:tcW w:w="5000" w:type="pct"/>
          </w:tcPr>
          <w:p w14:paraId="752C1F93">
            <w:pPr>
              <w:pStyle w:val="12"/>
              <w:spacing w:before="156"/>
              <w:rPr>
                <w:rFonts w:hint="eastAsia" w:ascii="微软雅黑" w:hAnsi="微软雅黑" w:eastAsia="微软雅黑"/>
                <w:b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b/>
                <w:sz w:val="28"/>
                <w:szCs w:val="28"/>
              </w:rPr>
              <w:t>指导教师对本项目的支持情况：</w:t>
            </w:r>
          </w:p>
          <w:p w14:paraId="38C43447">
            <w:pPr>
              <w:pStyle w:val="12"/>
              <w:spacing w:before="156"/>
              <w:rPr>
                <w:rFonts w:hint="eastAsia" w:ascii="宋体" w:hAnsi="宋体" w:eastAsia="宋体"/>
                <w:b/>
                <w:sz w:val="28"/>
                <w:szCs w:val="28"/>
              </w:rPr>
            </w:pPr>
          </w:p>
        </w:tc>
      </w:tr>
      <w:tr w14:paraId="61CFC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1" w:hRule="atLeast"/>
        </w:trPr>
        <w:tc>
          <w:tcPr>
            <w:tcW w:w="5000" w:type="pct"/>
          </w:tcPr>
          <w:p w14:paraId="5CBCA0A8">
            <w:pPr>
              <w:pStyle w:val="12"/>
              <w:numPr>
                <w:ilvl w:val="0"/>
                <w:numId w:val="1"/>
              </w:numPr>
              <w:spacing w:before="156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hint="eastAsia" w:ascii="微软雅黑" w:hAnsi="微软雅黑" w:eastAsia="微软雅黑"/>
                <w:b/>
                <w:sz w:val="28"/>
                <w:szCs w:val="28"/>
              </w:rPr>
              <w:t>研究目的：</w:t>
            </w:r>
          </w:p>
          <w:p w14:paraId="7A8199C9">
            <w:pPr>
              <w:pStyle w:val="12"/>
              <w:numPr>
                <w:ilvl w:val="0"/>
                <w:numId w:val="0"/>
              </w:numPr>
              <w:spacing w:before="156"/>
              <w:ind w:left="792" w:leftChars="330" w:firstLine="0" w:firstLine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</w:rPr>
              <w:t>研发一套基于神经辐射场（NeRF）的云边协同三维场景构建系统，解决工业数字孪生中NeRF技术存在的计算效率低、位姿精度不足及渲染速度慢等核心问题。通过融合云边协同架构、动态位姿优化与轻量化渲染技术，实现高效、高精度的工业场景三维重建，满足智能制造对实时可视化建模与孪生映射的严苛需求，推动NeRF技术在工业数字孪生中的规模化应用。</w:t>
            </w:r>
          </w:p>
          <w:p w14:paraId="4F04519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720" w:right="0"/>
              <w:rPr>
                <w:sz w:val="24"/>
                <w:szCs w:val="24"/>
              </w:rPr>
            </w:pP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</w:rPr>
              <w:t>云边协同架构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</w:rPr>
              <w:t>：边缘端负责实时数据采集与位姿估计，云端进行模型训练与渲染，将NeRF建模时间从16小时压缩至3分钟，支持无人机、无人车等多设备协同数据采集；</w:t>
            </w:r>
          </w:p>
          <w:p w14:paraId="7D17AFF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720" w:right="0"/>
              <w:rPr>
                <w:sz w:val="24"/>
                <w:szCs w:val="24"/>
              </w:rPr>
            </w:pP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</w:rPr>
              <w:t>D2 Net-g2o-SFM位姿优化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</w:rPr>
              <w:t>：结合D2-Net特征匹配与g2o图优化，降低重投影误差至1.03像素，提升多设备场景下的位姿覆盖率与点云重建精度；</w:t>
            </w:r>
          </w:p>
          <w:p w14:paraId="678B307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720" w:right="0"/>
              <w:rPr>
                <w:rFonts w:hint="eastAsia" w:ascii="宋体" w:hAnsi="宋体" w:eastAsia="宋体"/>
                <w:b/>
                <w:sz w:val="28"/>
                <w:szCs w:val="28"/>
              </w:rPr>
            </w:pP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</w:rPr>
              <w:t>多分辨率哈希编码与球谐函数融合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</w:rPr>
              <w:t>：设计轻量化MLP网络，实现秒级训练与3000倍速实时渲染，弱光环境下场景一致性达90%，复杂工业场景建模精度达±0.1mm。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</w:rPr>
              <w:t>在精密制造产线中验证系统效能，显著提升三维重建速度、精度与鲁棒性，支持大范围空间动态场景的实时孪生映射，为工业检测、产线监控等场景提供高效可视化决策支持，推动智能制造向高精度、低延迟方向演进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</w:rPr>
              <w:t>形成覆盖数据采集、高精度建模到数字孪生映射的全流程解决方案，突破传统显式几何建模的局限性，为工业领域提供可扩展、强适应的NeRF应用范式，助力实现工业数字孪生的低成本、高效率落地。</w:t>
            </w:r>
          </w:p>
        </w:tc>
      </w:tr>
      <w:tr w14:paraId="015B9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2" w:hRule="atLeast"/>
        </w:trPr>
        <w:tc>
          <w:tcPr>
            <w:tcW w:w="5000" w:type="pct"/>
          </w:tcPr>
          <w:p w14:paraId="7C61D642">
            <w:pPr>
              <w:pStyle w:val="12"/>
              <w:spacing w:before="156"/>
              <w:rPr>
                <w:rFonts w:hint="eastAsia" w:ascii="微软雅黑" w:hAnsi="微软雅黑" w:eastAsia="微软雅黑"/>
                <w:b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b/>
                <w:sz w:val="28"/>
                <w:szCs w:val="28"/>
              </w:rPr>
              <w:t>（二）研究内容：</w:t>
            </w:r>
          </w:p>
          <w:p w14:paraId="18FAEBBA">
            <w:pPr>
              <w:pStyle w:val="12"/>
              <w:spacing w:before="156"/>
              <w:ind w:firstLine="562" w:firstLineChars="200"/>
              <w:rPr>
                <w:rFonts w:hint="eastAsia" w:ascii="宋体" w:hAnsi="宋体" w:eastAsia="宋体"/>
                <w:b/>
                <w:sz w:val="28"/>
                <w:szCs w:val="28"/>
              </w:rPr>
            </w:pPr>
          </w:p>
          <w:p w14:paraId="78AF8A5A">
            <w:pPr>
              <w:pStyle w:val="12"/>
              <w:spacing w:before="156"/>
              <w:ind w:firstLine="562" w:firstLineChars="200"/>
              <w:rPr>
                <w:rFonts w:hint="eastAsia" w:ascii="宋体" w:hAnsi="宋体" w:eastAsia="宋体"/>
                <w:b/>
                <w:sz w:val="28"/>
                <w:szCs w:val="28"/>
              </w:rPr>
            </w:pPr>
          </w:p>
        </w:tc>
      </w:tr>
      <w:tr w14:paraId="5227D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9" w:hRule="atLeast"/>
        </w:trPr>
        <w:tc>
          <w:tcPr>
            <w:tcW w:w="5000" w:type="pct"/>
          </w:tcPr>
          <w:p w14:paraId="3313ED7E">
            <w:pPr>
              <w:pStyle w:val="12"/>
              <w:spacing w:before="156"/>
              <w:rPr>
                <w:rFonts w:hint="eastAsia" w:ascii="微软雅黑" w:hAnsi="微软雅黑" w:eastAsia="微软雅黑"/>
                <w:b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b/>
                <w:sz w:val="28"/>
                <w:szCs w:val="28"/>
              </w:rPr>
              <w:t>（三）国、内外研究现状和发展动态：</w:t>
            </w:r>
          </w:p>
          <w:p w14:paraId="69A3F62C">
            <w:pPr>
              <w:pStyle w:val="12"/>
              <w:spacing w:before="156"/>
              <w:ind w:firstLine="480" w:firstLineChars="200"/>
              <w:rPr>
                <w:rFonts w:hint="eastAsia" w:ascii="宋体" w:hAnsi="宋体" w:eastAsia="宋体"/>
                <w:b/>
                <w:sz w:val="28"/>
                <w:szCs w:val="2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shd w:val="clear" w:fill="FFFFFF"/>
              </w:rPr>
              <w:t>该项目聚焦于基于神经辐射场（NeRF）的工业数字孪生三维场景构建系统，目前在国内外均已成为智能制造、虚拟现实等领域的重要研究方向，并取得了快速发展。在国外，谷歌、Meta（原Facebook）等科技巨头率先推动了NeRF及其变体在高精度三维重建、虚拟现实和机器人感知等方面的应用。例如，谷歌提出的原始NeRF方法实现了基于多视角图像的高保真三维重建，随后的Instant-NGP、Mip-NeRF等工作通过优化网络结构和编码方式，大幅提升了模型训练和渲染速度，推动了NeRF向实时应用和大规模场景建模方向发展。此外，学术界针对工业应用中的噪声鲁棒性、复杂结构建模和多设备协同等问题开展了深入研究，已初步应用于自动驾驶、机器人导航等实际场景。国内方面，清华大学、中科院等研究团队在NeRF的高效推理、云边协同建模和工业级三维重建等领域取得突破。相关成果包括结合多分辨率哈希编码、球谐方向编码等新技术，提升了大规模工业场景的建模精度与速度。同时，阿里达摩院、腾讯优图等产业界也在推动NeRF在智能制造、数字工厂等领域的落地应用，积极探索云边协同、数据采集与位姿估计优化、弱光鲁棒性等关键技术。总体来看，国内外研究均高度关注NeRF在工业数字孪生和三维场景建构中的高效、精准、鲁棒建模能力，相关技术正加速向工程化、产业化方向演进，为智能制造和数字化转型提供坚实支撑。</w:t>
            </w:r>
          </w:p>
        </w:tc>
      </w:tr>
      <w:tr w14:paraId="2BA12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2" w:hRule="atLeast"/>
        </w:trPr>
        <w:tc>
          <w:tcPr>
            <w:tcW w:w="5000" w:type="pct"/>
          </w:tcPr>
          <w:p w14:paraId="7E01F1AB">
            <w:pPr>
              <w:pStyle w:val="12"/>
              <w:numPr>
                <w:ilvl w:val="0"/>
                <w:numId w:val="2"/>
              </w:numPr>
              <w:spacing w:before="156"/>
              <w:rPr>
                <w:rFonts w:hint="eastAsia" w:ascii="微软雅黑" w:hAnsi="微软雅黑" w:eastAsia="微软雅黑"/>
                <w:b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b/>
                <w:sz w:val="28"/>
                <w:szCs w:val="28"/>
              </w:rPr>
              <w:t>创新点与项目特色：</w:t>
            </w:r>
          </w:p>
          <w:p w14:paraId="7C5FEC6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shd w:val="clear" w:fill="FFFFFF"/>
              </w:rPr>
              <w:t>创新点：</w:t>
            </w:r>
          </w:p>
          <w:p w14:paraId="2C6585C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firstLine="720" w:firstLineChars="30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shd w:val="clear" w:fill="FFFFFF"/>
              </w:rPr>
              <w:t>NeRF云边协同三维建模架构：本项目首创将神经辐射场（NeRF）与云边协同技术深度融合，边缘端负责高效数据采集与位姿估算，云端承担模型训练与渲染任务，实现了高效、灵活、可扩展的工业三维场景建模流程，极大提升了系统整体效率和实时响应能力。</w:t>
            </w:r>
          </w:p>
          <w:p w14:paraId="7C62F5A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0" w:leftChars="0" w:firstLine="720" w:firstLineChars="30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shd w:val="clear" w:fill="FFFFFF"/>
              </w:rPr>
              <w:t>高精度位姿估算与优化算法：提出基于D2-Net深度特征与g2o图优化的SFM方法（D2 Net-g2o-SFM），显著提升多设备协同场景下的特征匹配准确率和位姿估算精度，为复杂和大尺度工业空间的三维重建提供坚实技术保障。</w:t>
            </w:r>
          </w:p>
          <w:p w14:paraId="2C79AF8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Chars="30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shd w:val="clear" w:fill="FFFFFF"/>
              </w:rPr>
              <w:t>3）秒级训练与实时渲染技术：创新性引入球谐方向编码与多分辨率哈希码结构，结合轻量级MLP网络，实现了NeRF模型的秒级训练和实时渲染，显著缩短了三维建模周期，满足工业现场对高效性和时效性的需求。</w:t>
            </w:r>
          </w:p>
          <w:p w14:paraId="1B1797F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Chars="30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shd w:val="clear" w:fill="FFFFFF"/>
              </w:rPr>
              <w:t>4）多样化数据采集与验证体系：构建了包括手持相机、无人车、无人机及其协同多种采集模式的数据采集体系，全面覆盖不同空间和场景，提升了系统的适用范围与鲁棒性。</w:t>
            </w:r>
          </w:p>
          <w:p w14:paraId="76F24AB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shd w:val="clear" w:fill="FFFFFF"/>
                <w:lang w:val="en-US" w:eastAsia="zh-CN"/>
              </w:rPr>
              <w:t>2.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shd w:val="clear" w:fill="FFFFFF"/>
              </w:rPr>
              <w:t>项目特色：</w:t>
            </w:r>
          </w:p>
          <w:p w14:paraId="315D44E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shd w:val="clear" w:fill="FFFFFF"/>
              </w:rPr>
              <w:t>1）面向工业数字孪生的高精度三维建模：项目聚焦于工业生产线等复杂场景，能够实现大空间、高细节级别的三维数字孪生建模，为智能制造和工业可视化提供强有力支撑。</w:t>
            </w:r>
          </w:p>
          <w:p w14:paraId="4059A83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shd w:val="clear" w:fill="FFFFFF"/>
              </w:rPr>
              <w:t>2）云边协同的系统级创新应用：区别于传统单端部署，本项目实现了云边资源的协同利用，兼具高效性、稳定性和可扩展性，适应工业现场多变的需求和复杂的环境。</w:t>
            </w:r>
          </w:p>
          <w:p w14:paraId="777B19D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shd w:val="clear" w:fill="FFFFFF"/>
              </w:rPr>
              <w:t>3）智能化与自动化一体化：系统具备智能采集、自动位姿估算、模型自动训练与渲染等全流程自动化能力，显著减少人工干预，提高应用便捷性和操作友好性。</w:t>
            </w:r>
          </w:p>
          <w:p w14:paraId="27E83FC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eastAsia" w:ascii="微软雅黑" w:hAnsi="微软雅黑" w:eastAsia="微软雅黑"/>
                <w:b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shd w:val="clear" w:fill="FFFFFF"/>
              </w:rPr>
              <w:t>4）工程落地与应用验证充分：已在实际精密零件生产线等工业场景落地应用，系统表现出优异的建模精度、响应速度及环境适应能力，具备良好的推广前景和产业价值。</w:t>
            </w:r>
          </w:p>
        </w:tc>
      </w:tr>
      <w:tr w14:paraId="68DB3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85" w:hRule="atLeast"/>
        </w:trPr>
        <w:tc>
          <w:tcPr>
            <w:tcW w:w="5000" w:type="pct"/>
          </w:tcPr>
          <w:p w14:paraId="60E75FD0">
            <w:pPr>
              <w:pStyle w:val="12"/>
              <w:spacing w:before="156"/>
              <w:rPr>
                <w:rFonts w:hint="eastAsia" w:ascii="微软雅黑" w:hAnsi="微软雅黑" w:eastAsia="微软雅黑"/>
                <w:b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b/>
                <w:sz w:val="28"/>
                <w:szCs w:val="28"/>
              </w:rPr>
              <w:t>（五）技术路线、拟解决的问题及预期成果：</w:t>
            </w:r>
          </w:p>
          <w:p w14:paraId="27539212">
            <w:pPr>
              <w:pStyle w:val="5"/>
              <w:shd w:val="clear" w:color="auto" w:fill="FFFFFF"/>
              <w:spacing w:before="300" w:beforeAutospacing="0" w:after="300" w:afterAutospacing="0"/>
              <w:rPr>
                <w:rFonts w:hint="eastAsia" w:cs="Open Sans"/>
                <w:sz w:val="32"/>
                <w:szCs w:val="32"/>
              </w:rPr>
            </w:pPr>
            <w:r>
              <w:rPr>
                <w:rStyle w:val="10"/>
                <w:rFonts w:cs="Open Sans"/>
                <w:sz w:val="32"/>
                <w:szCs w:val="32"/>
              </w:rPr>
              <w:t>技术路线：</w:t>
            </w:r>
          </w:p>
          <w:p w14:paraId="60484A15">
            <w:pPr>
              <w:pStyle w:val="12"/>
              <w:spacing w:before="156"/>
              <w:rPr>
                <w:rFonts w:eastAsia="宋体" w:cs="Open Sans"/>
                <w:b/>
                <w:bCs/>
                <w:sz w:val="32"/>
                <w:szCs w:val="32"/>
              </w:rPr>
            </w:pPr>
            <w:r>
              <w:rPr>
                <w:rFonts w:hint="eastAsia" w:eastAsia="宋体" w:cs="Open Sans"/>
                <w:b/>
                <w:bCs/>
                <w:sz w:val="32"/>
                <w:szCs w:val="32"/>
              </w:rPr>
              <w:t>拟解决的问题包括:</w:t>
            </w:r>
          </w:p>
          <w:p w14:paraId="69EF7747">
            <w:pPr>
              <w:pStyle w:val="12"/>
              <w:spacing w:before="156"/>
              <w:rPr>
                <w:rFonts w:eastAsiaTheme="minorEastAsia"/>
                <w:b/>
                <w:bCs/>
                <w:sz w:val="32"/>
                <w:szCs w:val="32"/>
              </w:rPr>
            </w:pPr>
            <w:r>
              <w:rPr>
                <w:rFonts w:hint="eastAsia" w:eastAsiaTheme="minorEastAsia"/>
                <w:b/>
                <w:bCs/>
                <w:sz w:val="32"/>
                <w:szCs w:val="32"/>
              </w:rPr>
              <w:t>预期成果：</w:t>
            </w:r>
          </w:p>
          <w:p w14:paraId="4ED1FCC7">
            <w:pPr>
              <w:pStyle w:val="12"/>
              <w:spacing w:before="156"/>
              <w:rPr>
                <w:rFonts w:eastAsiaTheme="minorEastAsia"/>
                <w:b/>
                <w:bCs/>
                <w:sz w:val="36"/>
                <w:szCs w:val="36"/>
              </w:rPr>
            </w:pPr>
          </w:p>
        </w:tc>
      </w:tr>
      <w:tr w14:paraId="0D2AE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2" w:hRule="atLeast"/>
        </w:trPr>
        <w:tc>
          <w:tcPr>
            <w:tcW w:w="5000" w:type="pct"/>
          </w:tcPr>
          <w:p w14:paraId="3BE8AED4">
            <w:pPr>
              <w:pStyle w:val="12"/>
              <w:spacing w:before="156"/>
              <w:rPr>
                <w:rFonts w:hint="eastAsia" w:ascii="微软雅黑" w:hAnsi="微软雅黑" w:eastAsia="微软雅黑"/>
                <w:b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b/>
                <w:sz w:val="28"/>
                <w:szCs w:val="28"/>
              </w:rPr>
              <w:t>（六）项目研究进度安排：</w:t>
            </w:r>
          </w:p>
          <w:p w14:paraId="162E66CF">
            <w:pPr>
              <w:pStyle w:val="12"/>
              <w:spacing w:before="156"/>
              <w:ind w:left="440"/>
              <w:rPr>
                <w:rFonts w:hint="eastAsia" w:ascii="宋体" w:hAnsi="宋体" w:eastAsia="宋体"/>
                <w:b/>
                <w:sz w:val="28"/>
                <w:szCs w:val="28"/>
              </w:rPr>
            </w:pPr>
          </w:p>
        </w:tc>
      </w:tr>
      <w:tr w14:paraId="6277D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5" w:hRule="atLeast"/>
        </w:trPr>
        <w:tc>
          <w:tcPr>
            <w:tcW w:w="5000" w:type="pct"/>
          </w:tcPr>
          <w:p w14:paraId="4172DA36">
            <w:pPr>
              <w:pStyle w:val="12"/>
              <w:spacing w:before="156"/>
              <w:rPr>
                <w:rFonts w:hint="eastAsia" w:ascii="微软雅黑" w:hAnsi="微软雅黑" w:eastAsia="微软雅黑"/>
                <w:b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b/>
                <w:sz w:val="28"/>
                <w:szCs w:val="28"/>
              </w:rPr>
              <w:t>（七）已有基础：</w:t>
            </w:r>
          </w:p>
          <w:p w14:paraId="67A5E610">
            <w:pPr>
              <w:pStyle w:val="12"/>
              <w:spacing w:before="156"/>
              <w:rPr>
                <w:rFonts w:hint="eastAsia" w:ascii="宋体" w:hAnsi="宋体" w:eastAsia="宋体"/>
                <w:b/>
                <w:sz w:val="28"/>
                <w:szCs w:val="28"/>
              </w:rPr>
            </w:pPr>
          </w:p>
        </w:tc>
      </w:tr>
    </w:tbl>
    <w:tbl>
      <w:tblPr>
        <w:tblStyle w:val="7"/>
        <w:tblW w:w="5000" w:type="pct"/>
        <w:tblInd w:w="0" w:type="dxa"/>
        <w:tblBorders>
          <w:top w:val="single" w:color="E7ECF1" w:sz="6" w:space="0"/>
          <w:left w:val="single" w:color="E7ECF1" w:sz="6" w:space="0"/>
          <w:bottom w:val="single" w:color="E7ECF1" w:sz="6" w:space="0"/>
          <w:right w:val="single" w:color="E7ECF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4"/>
        <w:gridCol w:w="1492"/>
        <w:gridCol w:w="3156"/>
        <w:gridCol w:w="1492"/>
        <w:gridCol w:w="1492"/>
      </w:tblGrid>
      <w:tr w14:paraId="3A80F61D">
        <w:tblPrEx>
          <w:tblBorders>
            <w:top w:val="single" w:color="E7ECF1" w:sz="6" w:space="0"/>
            <w:left w:val="single" w:color="E7ECF1" w:sz="6" w:space="0"/>
            <w:bottom w:val="single" w:color="E7ECF1" w:sz="6" w:space="0"/>
            <w:right w:val="single" w:color="E7ECF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79" w:type="pct"/>
            <w:vMerge w:val="restart"/>
            <w:tcBorders>
              <w:top w:val="nil"/>
              <w:left w:val="single" w:color="E7ECF1" w:sz="6" w:space="0"/>
              <w:bottom w:val="nil"/>
              <w:right w:val="single" w:color="E7ECF1" w:sz="6" w:space="0"/>
            </w:tcBorders>
            <w:shd w:val="clear" w:color="auto" w:fill="F1F4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2B6C5692">
            <w:pPr>
              <w:widowControl/>
              <w:suppressAutoHyphens w:val="0"/>
              <w:autoSpaceDN/>
              <w:spacing w:after="150"/>
              <w:jc w:val="center"/>
              <w:textAlignment w:val="auto"/>
              <w:rPr>
                <w:rFonts w:hint="eastAsia" w:ascii="宋体" w:hAnsi="宋体" w:cs="Open Sans"/>
                <w:b/>
                <w:color w:val="3F444A"/>
                <w:kern w:val="0"/>
                <w:lang w:bidi="ar-SA"/>
              </w:rPr>
            </w:pPr>
            <w:r>
              <w:rPr>
                <w:rFonts w:ascii="宋体" w:hAnsi="宋体" w:cs="Open Sans"/>
                <w:b/>
                <w:color w:val="3F444A"/>
                <w:kern w:val="0"/>
                <w:lang w:bidi="ar-SA"/>
              </w:rPr>
              <w:t>开支科目</w:t>
            </w:r>
          </w:p>
        </w:tc>
        <w:tc>
          <w:tcPr>
            <w:tcW w:w="747" w:type="pct"/>
            <w:vMerge w:val="restart"/>
            <w:tcBorders>
              <w:top w:val="nil"/>
              <w:left w:val="single" w:color="E7ECF1" w:sz="6" w:space="0"/>
              <w:bottom w:val="nil"/>
              <w:right w:val="single" w:color="E7ECF1" w:sz="6" w:space="0"/>
            </w:tcBorders>
            <w:shd w:val="clear" w:color="auto" w:fill="F1F4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7641EF5C">
            <w:pPr>
              <w:widowControl/>
              <w:suppressAutoHyphens w:val="0"/>
              <w:autoSpaceDN/>
              <w:spacing w:after="150"/>
              <w:jc w:val="center"/>
              <w:textAlignment w:val="auto"/>
              <w:rPr>
                <w:rFonts w:hint="eastAsia" w:ascii="宋体" w:hAnsi="宋体" w:cs="Open Sans"/>
                <w:b/>
                <w:color w:val="3F444A"/>
                <w:kern w:val="0"/>
                <w:lang w:bidi="ar-SA"/>
              </w:rPr>
            </w:pPr>
            <w:r>
              <w:rPr>
                <w:rFonts w:ascii="宋体" w:hAnsi="宋体" w:cs="Open Sans"/>
                <w:b/>
                <w:color w:val="3F444A"/>
                <w:kern w:val="0"/>
                <w:lang w:bidi="ar-SA"/>
              </w:rPr>
              <w:t>预算经费(元）</w:t>
            </w:r>
          </w:p>
        </w:tc>
        <w:tc>
          <w:tcPr>
            <w:tcW w:w="1580" w:type="pct"/>
            <w:vMerge w:val="restart"/>
            <w:tcBorders>
              <w:top w:val="nil"/>
              <w:left w:val="single" w:color="E7ECF1" w:sz="6" w:space="0"/>
              <w:bottom w:val="nil"/>
              <w:right w:val="single" w:color="E7ECF1" w:sz="6" w:space="0"/>
            </w:tcBorders>
            <w:shd w:val="clear" w:color="auto" w:fill="F1F4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5A8891D5">
            <w:pPr>
              <w:widowControl/>
              <w:suppressAutoHyphens w:val="0"/>
              <w:autoSpaceDN/>
              <w:spacing w:after="150"/>
              <w:jc w:val="center"/>
              <w:textAlignment w:val="auto"/>
              <w:rPr>
                <w:rFonts w:hint="eastAsia" w:ascii="宋体" w:hAnsi="宋体" w:cs="Open Sans"/>
                <w:b/>
                <w:color w:val="3F444A"/>
                <w:kern w:val="0"/>
                <w:lang w:bidi="ar-SA"/>
              </w:rPr>
            </w:pPr>
            <w:r>
              <w:rPr>
                <w:rFonts w:ascii="宋体" w:hAnsi="宋体" w:cs="Open Sans"/>
                <w:b/>
                <w:color w:val="3F444A"/>
                <w:kern w:val="0"/>
                <w:lang w:bidi="ar-SA"/>
              </w:rPr>
              <w:t>主要用途</w:t>
            </w:r>
          </w:p>
        </w:tc>
        <w:tc>
          <w:tcPr>
            <w:tcW w:w="1493" w:type="pct"/>
            <w:gridSpan w:val="2"/>
            <w:tcBorders>
              <w:top w:val="nil"/>
              <w:left w:val="single" w:color="E7ECF1" w:sz="6" w:space="0"/>
              <w:bottom w:val="nil"/>
              <w:right w:val="single" w:color="E7ECF1" w:sz="6" w:space="0"/>
            </w:tcBorders>
            <w:shd w:val="clear" w:color="auto" w:fill="F1F4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444F8A7F">
            <w:pPr>
              <w:widowControl/>
              <w:suppressAutoHyphens w:val="0"/>
              <w:autoSpaceDN/>
              <w:spacing w:after="150"/>
              <w:jc w:val="center"/>
              <w:textAlignment w:val="auto"/>
              <w:rPr>
                <w:rFonts w:hint="eastAsia" w:ascii="宋体" w:hAnsi="宋体" w:cs="Open Sans"/>
                <w:b/>
                <w:color w:val="3F444A"/>
                <w:kern w:val="0"/>
                <w:lang w:bidi="ar-SA"/>
              </w:rPr>
            </w:pPr>
            <w:r>
              <w:rPr>
                <w:rFonts w:ascii="宋体" w:hAnsi="宋体" w:cs="Open Sans"/>
                <w:b/>
                <w:color w:val="3F444A"/>
                <w:kern w:val="0"/>
                <w:lang w:bidi="ar-SA"/>
              </w:rPr>
              <w:t>阶段下达经费计划（元）</w:t>
            </w:r>
          </w:p>
        </w:tc>
      </w:tr>
      <w:tr w14:paraId="2BC1BD5E">
        <w:tblPrEx>
          <w:tblBorders>
            <w:top w:val="single" w:color="E7ECF1" w:sz="6" w:space="0"/>
            <w:left w:val="single" w:color="E7ECF1" w:sz="6" w:space="0"/>
            <w:bottom w:val="single" w:color="E7ECF1" w:sz="6" w:space="0"/>
            <w:right w:val="single" w:color="E7ECF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79" w:type="pct"/>
            <w:vMerge w:val="continue"/>
            <w:tcBorders>
              <w:top w:val="nil"/>
              <w:left w:val="single" w:color="E7ECF1" w:sz="6" w:space="0"/>
              <w:bottom w:val="nil"/>
              <w:right w:val="single" w:color="E7ECF1" w:sz="6" w:space="0"/>
            </w:tcBorders>
            <w:shd w:val="clear" w:color="auto" w:fill="FFFFFF"/>
            <w:vAlign w:val="center"/>
          </w:tcPr>
          <w:p w14:paraId="006E976C">
            <w:pPr>
              <w:widowControl/>
              <w:suppressAutoHyphens w:val="0"/>
              <w:autoSpaceDN/>
              <w:spacing w:after="150"/>
              <w:jc w:val="left"/>
              <w:textAlignment w:val="auto"/>
              <w:rPr>
                <w:rFonts w:hint="eastAsia" w:ascii="宋体" w:hAnsi="宋体" w:cs="Open Sans"/>
                <w:b/>
                <w:color w:val="3F444A"/>
                <w:kern w:val="0"/>
                <w:lang w:bidi="ar-SA"/>
              </w:rPr>
            </w:pPr>
          </w:p>
        </w:tc>
        <w:tc>
          <w:tcPr>
            <w:tcW w:w="747" w:type="pct"/>
            <w:vMerge w:val="continue"/>
            <w:tcBorders>
              <w:top w:val="nil"/>
              <w:left w:val="single" w:color="E7ECF1" w:sz="6" w:space="0"/>
              <w:bottom w:val="nil"/>
              <w:right w:val="single" w:color="E7ECF1" w:sz="6" w:space="0"/>
            </w:tcBorders>
            <w:shd w:val="clear" w:color="auto" w:fill="FFFFFF"/>
            <w:vAlign w:val="center"/>
          </w:tcPr>
          <w:p w14:paraId="2DB3B864">
            <w:pPr>
              <w:widowControl/>
              <w:suppressAutoHyphens w:val="0"/>
              <w:autoSpaceDN/>
              <w:spacing w:after="150"/>
              <w:jc w:val="left"/>
              <w:textAlignment w:val="auto"/>
              <w:rPr>
                <w:rFonts w:hint="eastAsia" w:ascii="宋体" w:hAnsi="宋体" w:cs="Open Sans"/>
                <w:b/>
                <w:color w:val="3F444A"/>
                <w:kern w:val="0"/>
                <w:lang w:bidi="ar-SA"/>
              </w:rPr>
            </w:pPr>
          </w:p>
        </w:tc>
        <w:tc>
          <w:tcPr>
            <w:tcW w:w="1580" w:type="pct"/>
            <w:vMerge w:val="continue"/>
            <w:tcBorders>
              <w:top w:val="nil"/>
              <w:left w:val="single" w:color="E7ECF1" w:sz="6" w:space="0"/>
              <w:bottom w:val="nil"/>
              <w:right w:val="single" w:color="E7ECF1" w:sz="6" w:space="0"/>
            </w:tcBorders>
            <w:shd w:val="clear" w:color="auto" w:fill="FFFFFF"/>
            <w:vAlign w:val="center"/>
          </w:tcPr>
          <w:p w14:paraId="62B5A9F8">
            <w:pPr>
              <w:widowControl/>
              <w:suppressAutoHyphens w:val="0"/>
              <w:autoSpaceDN/>
              <w:spacing w:after="150"/>
              <w:jc w:val="left"/>
              <w:textAlignment w:val="auto"/>
              <w:rPr>
                <w:rFonts w:hint="eastAsia" w:ascii="宋体" w:hAnsi="宋体" w:cs="Open Sans"/>
                <w:b/>
                <w:color w:val="3F444A"/>
                <w:kern w:val="0"/>
                <w:lang w:bidi="ar-SA"/>
              </w:rPr>
            </w:pPr>
          </w:p>
        </w:tc>
        <w:tc>
          <w:tcPr>
            <w:tcW w:w="747" w:type="pct"/>
            <w:tcBorders>
              <w:top w:val="single" w:color="E7ECF1" w:sz="6" w:space="0"/>
              <w:left w:val="single" w:color="E7ECF1" w:sz="6" w:space="0"/>
              <w:bottom w:val="nil"/>
              <w:right w:val="single" w:color="E7ECF1" w:sz="6" w:space="0"/>
            </w:tcBorders>
            <w:shd w:val="clear" w:color="auto" w:fill="F1F4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6E468C09">
            <w:pPr>
              <w:widowControl/>
              <w:suppressAutoHyphens w:val="0"/>
              <w:autoSpaceDN/>
              <w:spacing w:after="150"/>
              <w:jc w:val="center"/>
              <w:textAlignment w:val="auto"/>
              <w:rPr>
                <w:rFonts w:hint="eastAsia" w:ascii="宋体" w:hAnsi="宋体" w:cs="Open Sans"/>
                <w:b/>
                <w:color w:val="3F444A"/>
                <w:kern w:val="0"/>
                <w:lang w:bidi="ar-SA"/>
              </w:rPr>
            </w:pPr>
            <w:r>
              <w:rPr>
                <w:rFonts w:ascii="宋体" w:hAnsi="宋体" w:cs="Open Sans"/>
                <w:b/>
                <w:color w:val="3F444A"/>
                <w:kern w:val="0"/>
                <w:lang w:bidi="ar-SA"/>
              </w:rPr>
              <w:t>前半阶段</w:t>
            </w:r>
          </w:p>
        </w:tc>
        <w:tc>
          <w:tcPr>
            <w:tcW w:w="746" w:type="pct"/>
            <w:tcBorders>
              <w:top w:val="single" w:color="E7ECF1" w:sz="6" w:space="0"/>
              <w:left w:val="single" w:color="E7ECF1" w:sz="6" w:space="0"/>
              <w:bottom w:val="nil"/>
              <w:right w:val="single" w:color="E7ECF1" w:sz="6" w:space="0"/>
            </w:tcBorders>
            <w:shd w:val="clear" w:color="auto" w:fill="F1F4F7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23771DDF">
            <w:pPr>
              <w:widowControl/>
              <w:suppressAutoHyphens w:val="0"/>
              <w:autoSpaceDN/>
              <w:spacing w:after="150"/>
              <w:jc w:val="center"/>
              <w:textAlignment w:val="auto"/>
              <w:rPr>
                <w:rFonts w:hint="eastAsia" w:ascii="宋体" w:hAnsi="宋体" w:cs="Open Sans"/>
                <w:b/>
                <w:color w:val="3F444A"/>
                <w:kern w:val="0"/>
                <w:lang w:bidi="ar-SA"/>
              </w:rPr>
            </w:pPr>
            <w:r>
              <w:rPr>
                <w:rFonts w:ascii="宋体" w:hAnsi="宋体" w:cs="Open Sans"/>
                <w:b/>
                <w:color w:val="3F444A"/>
                <w:kern w:val="0"/>
                <w:lang w:bidi="ar-SA"/>
              </w:rPr>
              <w:t>后半阶段</w:t>
            </w:r>
          </w:p>
        </w:tc>
      </w:tr>
      <w:tr w14:paraId="4D6E208E">
        <w:tblPrEx>
          <w:tblBorders>
            <w:top w:val="single" w:color="E7ECF1" w:sz="6" w:space="0"/>
            <w:left w:val="single" w:color="E7ECF1" w:sz="6" w:space="0"/>
            <w:bottom w:val="single" w:color="E7ECF1" w:sz="6" w:space="0"/>
            <w:right w:val="single" w:color="E7ECF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79" w:type="pct"/>
            <w:tcBorders>
              <w:top w:val="single" w:color="E7ECF1" w:sz="6" w:space="0"/>
              <w:left w:val="single" w:color="E7ECF1" w:sz="12" w:space="0"/>
              <w:bottom w:val="single" w:color="E7ECF1" w:sz="6" w:space="0"/>
              <w:right w:val="single" w:color="E7ECF1" w:sz="6" w:space="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8A9252">
            <w:pPr>
              <w:widowControl/>
              <w:suppressAutoHyphens w:val="0"/>
              <w:autoSpaceDN/>
              <w:spacing w:after="150"/>
              <w:jc w:val="left"/>
              <w:textAlignment w:val="auto"/>
              <w:rPr>
                <w:rFonts w:hint="eastAsia" w:ascii="宋体" w:hAnsi="宋体" w:cs="Open Sans"/>
                <w:b/>
                <w:color w:val="333333"/>
                <w:kern w:val="0"/>
                <w:lang w:bidi="ar-SA"/>
              </w:rPr>
            </w:pPr>
            <w:r>
              <w:rPr>
                <w:rFonts w:ascii="宋体" w:hAnsi="宋体" w:cs="Open Sans"/>
                <w:b/>
                <w:color w:val="333333"/>
                <w:kern w:val="0"/>
                <w:lang w:bidi="ar-SA"/>
              </w:rPr>
              <w:t>1.业务费</w:t>
            </w:r>
          </w:p>
        </w:tc>
        <w:tc>
          <w:tcPr>
            <w:tcW w:w="747" w:type="pct"/>
            <w:tcBorders>
              <w:top w:val="single" w:color="E7ECF1" w:sz="6" w:space="0"/>
              <w:left w:val="single" w:color="E7ECF1" w:sz="6" w:space="0"/>
              <w:bottom w:val="single" w:color="E7ECF1" w:sz="6" w:space="0"/>
              <w:right w:val="single" w:color="E7ECF1" w:sz="6" w:space="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1C1F17">
            <w:pPr>
              <w:widowControl/>
              <w:suppressAutoHyphens w:val="0"/>
              <w:autoSpaceDN/>
              <w:spacing w:after="150"/>
              <w:jc w:val="left"/>
              <w:textAlignment w:val="auto"/>
              <w:rPr>
                <w:rFonts w:hint="eastAsia" w:ascii="宋体" w:hAnsi="宋体" w:cs="Open Sans"/>
                <w:bCs/>
                <w:color w:val="333333"/>
                <w:kern w:val="0"/>
                <w:lang w:bidi="ar-SA"/>
              </w:rPr>
            </w:pPr>
            <w:r>
              <w:rPr>
                <w:rFonts w:hint="eastAsia" w:ascii="宋体" w:hAnsi="宋体" w:cs="Open Sans"/>
                <w:bCs/>
                <w:color w:val="333333"/>
                <w:kern w:val="0"/>
                <w:lang w:bidi="ar-SA"/>
              </w:rPr>
              <w:t>2000</w:t>
            </w:r>
          </w:p>
        </w:tc>
        <w:tc>
          <w:tcPr>
            <w:tcW w:w="1580" w:type="pct"/>
            <w:tcBorders>
              <w:top w:val="single" w:color="E7ECF1" w:sz="6" w:space="0"/>
              <w:left w:val="single" w:color="E7ECF1" w:sz="6" w:space="0"/>
              <w:bottom w:val="single" w:color="E7ECF1" w:sz="6" w:space="0"/>
              <w:right w:val="single" w:color="E7ECF1" w:sz="6" w:space="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E1A440">
            <w:pPr>
              <w:widowControl/>
              <w:suppressAutoHyphens w:val="0"/>
              <w:autoSpaceDN/>
              <w:spacing w:after="150"/>
              <w:jc w:val="left"/>
              <w:textAlignment w:val="auto"/>
              <w:rPr>
                <w:rFonts w:hint="eastAsia" w:ascii="宋体" w:hAnsi="宋体" w:cs="Open Sans"/>
                <w:b/>
                <w:color w:val="333333"/>
                <w:kern w:val="0"/>
                <w:lang w:bidi="ar-SA"/>
              </w:rPr>
            </w:pPr>
          </w:p>
        </w:tc>
        <w:tc>
          <w:tcPr>
            <w:tcW w:w="747" w:type="pct"/>
            <w:tcBorders>
              <w:top w:val="single" w:color="E7ECF1" w:sz="6" w:space="0"/>
              <w:left w:val="single" w:color="E7ECF1" w:sz="6" w:space="0"/>
              <w:bottom w:val="single" w:color="E7ECF1" w:sz="6" w:space="0"/>
              <w:right w:val="single" w:color="E7ECF1" w:sz="6" w:space="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66FE7F">
            <w:pPr>
              <w:widowControl/>
              <w:suppressAutoHyphens w:val="0"/>
              <w:autoSpaceDN/>
              <w:spacing w:after="150"/>
              <w:jc w:val="left"/>
              <w:textAlignment w:val="auto"/>
              <w:rPr>
                <w:rFonts w:hint="eastAsia" w:ascii="宋体" w:hAnsi="宋体" w:cs="Open Sans"/>
                <w:bCs/>
                <w:color w:val="333333"/>
                <w:kern w:val="0"/>
                <w:lang w:bidi="ar-SA"/>
              </w:rPr>
            </w:pPr>
            <w:r>
              <w:rPr>
                <w:rFonts w:hint="eastAsia" w:ascii="宋体" w:hAnsi="宋体" w:cs="Open Sans"/>
                <w:bCs/>
                <w:color w:val="333333"/>
                <w:kern w:val="0"/>
                <w:lang w:bidi="ar-SA"/>
              </w:rPr>
              <w:t>200</w:t>
            </w:r>
          </w:p>
        </w:tc>
        <w:tc>
          <w:tcPr>
            <w:tcW w:w="746" w:type="pct"/>
            <w:tcBorders>
              <w:top w:val="single" w:color="E7ECF1" w:sz="6" w:space="0"/>
              <w:left w:val="single" w:color="E7ECF1" w:sz="6" w:space="0"/>
              <w:bottom w:val="single" w:color="E7ECF1" w:sz="6" w:space="0"/>
              <w:right w:val="single" w:color="E7ECF1" w:sz="6" w:space="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3E2069">
            <w:pPr>
              <w:widowControl/>
              <w:suppressAutoHyphens w:val="0"/>
              <w:autoSpaceDN/>
              <w:spacing w:after="150"/>
              <w:jc w:val="left"/>
              <w:textAlignment w:val="auto"/>
              <w:rPr>
                <w:rFonts w:hint="eastAsia" w:ascii="宋体" w:hAnsi="宋体" w:cs="Open Sans"/>
                <w:bCs/>
                <w:color w:val="333333"/>
                <w:kern w:val="0"/>
                <w:lang w:bidi="ar-SA"/>
              </w:rPr>
            </w:pPr>
            <w:r>
              <w:rPr>
                <w:rFonts w:hint="eastAsia" w:ascii="宋体" w:hAnsi="宋体" w:cs="Open Sans"/>
                <w:bCs/>
                <w:color w:val="333333"/>
                <w:kern w:val="0"/>
                <w:lang w:bidi="ar-SA"/>
              </w:rPr>
              <w:t>1800</w:t>
            </w:r>
          </w:p>
        </w:tc>
      </w:tr>
      <w:tr w14:paraId="7EBD3575">
        <w:tblPrEx>
          <w:tblBorders>
            <w:top w:val="single" w:color="E7ECF1" w:sz="6" w:space="0"/>
            <w:left w:val="single" w:color="E7ECF1" w:sz="6" w:space="0"/>
            <w:bottom w:val="single" w:color="E7ECF1" w:sz="6" w:space="0"/>
            <w:right w:val="single" w:color="E7ECF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79" w:type="pct"/>
            <w:tcBorders>
              <w:top w:val="single" w:color="E7ECF1" w:sz="6" w:space="0"/>
              <w:left w:val="single" w:color="E7ECF1" w:sz="12" w:space="0"/>
              <w:bottom w:val="single" w:color="E7ECF1" w:sz="6" w:space="0"/>
              <w:right w:val="single" w:color="E7ECF1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E3BB35">
            <w:pPr>
              <w:widowControl/>
              <w:suppressAutoHyphens w:val="0"/>
              <w:autoSpaceDN/>
              <w:spacing w:after="150"/>
              <w:jc w:val="left"/>
              <w:textAlignment w:val="auto"/>
              <w:rPr>
                <w:rFonts w:hint="eastAsia" w:ascii="宋体" w:hAnsi="宋体" w:cs="Open Sans"/>
                <w:b/>
                <w:color w:val="333333"/>
                <w:kern w:val="0"/>
                <w:lang w:bidi="ar-SA"/>
              </w:rPr>
            </w:pPr>
            <w:r>
              <w:rPr>
                <w:rFonts w:ascii="宋体" w:hAnsi="宋体" w:cs="Open Sans"/>
                <w:b/>
                <w:color w:val="333333"/>
                <w:kern w:val="0"/>
                <w:lang w:bidi="ar-SA"/>
              </w:rPr>
              <w:t>(1)计算、分析、测试费</w:t>
            </w:r>
          </w:p>
        </w:tc>
        <w:tc>
          <w:tcPr>
            <w:tcW w:w="747" w:type="pct"/>
            <w:tcBorders>
              <w:top w:val="single" w:color="E7ECF1" w:sz="6" w:space="0"/>
              <w:left w:val="single" w:color="E7ECF1" w:sz="6" w:space="0"/>
              <w:bottom w:val="single" w:color="E7ECF1" w:sz="6" w:space="0"/>
              <w:right w:val="single" w:color="E7ECF1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91AF00">
            <w:pPr>
              <w:widowControl/>
              <w:suppressAutoHyphens w:val="0"/>
              <w:autoSpaceDN/>
              <w:spacing w:after="150"/>
              <w:jc w:val="left"/>
              <w:textAlignment w:val="auto"/>
              <w:rPr>
                <w:rFonts w:hint="eastAsia" w:ascii="宋体" w:hAnsi="宋体" w:cs="Open Sans"/>
                <w:bCs/>
                <w:color w:val="333333"/>
                <w:kern w:val="0"/>
                <w:lang w:bidi="ar-SA"/>
              </w:rPr>
            </w:pPr>
          </w:p>
        </w:tc>
        <w:tc>
          <w:tcPr>
            <w:tcW w:w="1580" w:type="pct"/>
            <w:tcBorders>
              <w:top w:val="single" w:color="E7ECF1" w:sz="6" w:space="0"/>
              <w:left w:val="single" w:color="E7ECF1" w:sz="6" w:space="0"/>
              <w:bottom w:val="single" w:color="E7ECF1" w:sz="6" w:space="0"/>
              <w:right w:val="single" w:color="E7ECF1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F38F89">
            <w:pPr>
              <w:widowControl/>
              <w:suppressAutoHyphens w:val="0"/>
              <w:autoSpaceDN/>
              <w:spacing w:after="150"/>
              <w:jc w:val="left"/>
              <w:textAlignment w:val="auto"/>
              <w:rPr>
                <w:rFonts w:hint="eastAsia" w:ascii="宋体" w:hAnsi="宋体" w:cs="Open Sans"/>
                <w:b/>
                <w:color w:val="333333"/>
                <w:kern w:val="0"/>
                <w:lang w:bidi="ar-SA"/>
              </w:rPr>
            </w:pPr>
          </w:p>
        </w:tc>
        <w:tc>
          <w:tcPr>
            <w:tcW w:w="747" w:type="pct"/>
            <w:tcBorders>
              <w:top w:val="single" w:color="E7ECF1" w:sz="6" w:space="0"/>
              <w:left w:val="single" w:color="E7ECF1" w:sz="6" w:space="0"/>
              <w:bottom w:val="single" w:color="E7ECF1" w:sz="6" w:space="0"/>
              <w:right w:val="single" w:color="E7ECF1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D62A0D">
            <w:pPr>
              <w:widowControl/>
              <w:suppressAutoHyphens w:val="0"/>
              <w:autoSpaceDN/>
              <w:spacing w:after="150"/>
              <w:jc w:val="left"/>
              <w:textAlignment w:val="auto"/>
              <w:rPr>
                <w:rFonts w:hint="eastAsia" w:ascii="宋体" w:hAnsi="宋体" w:cs="Open Sans"/>
                <w:b/>
                <w:color w:val="333333"/>
                <w:kern w:val="0"/>
                <w:lang w:bidi="ar-SA"/>
              </w:rPr>
            </w:pPr>
            <w:r>
              <w:rPr>
                <w:rFonts w:hint="eastAsia" w:ascii="宋体" w:hAnsi="宋体" w:cs="Open Sans"/>
                <w:bCs/>
                <w:color w:val="333333"/>
                <w:kern w:val="0"/>
                <w:lang w:bidi="ar-SA"/>
              </w:rPr>
              <w:t>0</w:t>
            </w:r>
          </w:p>
        </w:tc>
        <w:tc>
          <w:tcPr>
            <w:tcW w:w="746" w:type="pct"/>
            <w:tcBorders>
              <w:top w:val="single" w:color="E7ECF1" w:sz="6" w:space="0"/>
              <w:left w:val="single" w:color="E7ECF1" w:sz="6" w:space="0"/>
              <w:bottom w:val="single" w:color="E7ECF1" w:sz="6" w:space="0"/>
              <w:right w:val="single" w:color="E7ECF1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17FFCD">
            <w:pPr>
              <w:widowControl/>
              <w:suppressAutoHyphens w:val="0"/>
              <w:autoSpaceDN/>
              <w:spacing w:after="150"/>
              <w:jc w:val="left"/>
              <w:textAlignment w:val="auto"/>
              <w:rPr>
                <w:rFonts w:hint="eastAsia" w:ascii="宋体" w:hAnsi="宋体" w:cs="Open Sans"/>
                <w:bCs/>
                <w:color w:val="333333"/>
                <w:kern w:val="0"/>
                <w:lang w:bidi="ar-SA"/>
              </w:rPr>
            </w:pPr>
            <w:r>
              <w:rPr>
                <w:rFonts w:hint="eastAsia" w:ascii="宋体" w:hAnsi="宋体" w:cs="Open Sans"/>
                <w:bCs/>
                <w:color w:val="333333"/>
                <w:kern w:val="0"/>
                <w:lang w:bidi="ar-SA"/>
              </w:rPr>
              <w:t>1000</w:t>
            </w:r>
          </w:p>
        </w:tc>
      </w:tr>
      <w:tr w14:paraId="3057BD5E">
        <w:tblPrEx>
          <w:tblBorders>
            <w:top w:val="single" w:color="E7ECF1" w:sz="6" w:space="0"/>
            <w:left w:val="single" w:color="E7ECF1" w:sz="6" w:space="0"/>
            <w:bottom w:val="single" w:color="E7ECF1" w:sz="6" w:space="0"/>
            <w:right w:val="single" w:color="E7ECF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79" w:type="pct"/>
            <w:tcBorders>
              <w:top w:val="single" w:color="E7ECF1" w:sz="6" w:space="0"/>
              <w:left w:val="single" w:color="E7ECF1" w:sz="12" w:space="0"/>
              <w:bottom w:val="single" w:color="E7ECF1" w:sz="6" w:space="0"/>
              <w:right w:val="single" w:color="E7ECF1" w:sz="6" w:space="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B8CF7A">
            <w:pPr>
              <w:widowControl/>
              <w:suppressAutoHyphens w:val="0"/>
              <w:autoSpaceDN/>
              <w:spacing w:after="150"/>
              <w:jc w:val="left"/>
              <w:textAlignment w:val="auto"/>
              <w:rPr>
                <w:rFonts w:hint="eastAsia" w:ascii="宋体" w:hAnsi="宋体" w:cs="Open Sans"/>
                <w:b/>
                <w:color w:val="333333"/>
                <w:kern w:val="0"/>
                <w:lang w:bidi="ar-SA"/>
              </w:rPr>
            </w:pPr>
            <w:r>
              <w:rPr>
                <w:rFonts w:ascii="宋体" w:hAnsi="宋体" w:cs="Open Sans"/>
                <w:b/>
                <w:color w:val="333333"/>
                <w:kern w:val="0"/>
                <w:lang w:bidi="ar-SA"/>
              </w:rPr>
              <w:t>(2)能源动力费</w:t>
            </w:r>
          </w:p>
        </w:tc>
        <w:tc>
          <w:tcPr>
            <w:tcW w:w="747" w:type="pct"/>
            <w:tcBorders>
              <w:top w:val="single" w:color="E7ECF1" w:sz="6" w:space="0"/>
              <w:left w:val="single" w:color="E7ECF1" w:sz="6" w:space="0"/>
              <w:bottom w:val="single" w:color="E7ECF1" w:sz="6" w:space="0"/>
              <w:right w:val="single" w:color="E7ECF1" w:sz="6" w:space="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FC4C78">
            <w:pPr>
              <w:widowControl/>
              <w:suppressAutoHyphens w:val="0"/>
              <w:autoSpaceDN/>
              <w:spacing w:after="150"/>
              <w:jc w:val="left"/>
              <w:textAlignment w:val="auto"/>
              <w:rPr>
                <w:rFonts w:hint="eastAsia" w:ascii="宋体" w:hAnsi="宋体" w:cs="Open Sans"/>
                <w:bCs/>
                <w:color w:val="333333"/>
                <w:kern w:val="0"/>
                <w:lang w:bidi="ar-SA"/>
              </w:rPr>
            </w:pPr>
          </w:p>
        </w:tc>
        <w:tc>
          <w:tcPr>
            <w:tcW w:w="1580" w:type="pct"/>
            <w:tcBorders>
              <w:top w:val="single" w:color="E7ECF1" w:sz="6" w:space="0"/>
              <w:left w:val="single" w:color="E7ECF1" w:sz="6" w:space="0"/>
              <w:bottom w:val="single" w:color="E7ECF1" w:sz="6" w:space="0"/>
              <w:right w:val="single" w:color="E7ECF1" w:sz="6" w:space="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0E6691">
            <w:pPr>
              <w:widowControl/>
              <w:suppressAutoHyphens w:val="0"/>
              <w:autoSpaceDN/>
              <w:spacing w:after="150"/>
              <w:jc w:val="left"/>
              <w:textAlignment w:val="auto"/>
              <w:rPr>
                <w:rFonts w:hint="eastAsia" w:ascii="宋体" w:hAnsi="宋体" w:cs="Open Sans"/>
                <w:b/>
                <w:color w:val="333333"/>
                <w:kern w:val="0"/>
                <w:lang w:bidi="ar-SA"/>
              </w:rPr>
            </w:pPr>
          </w:p>
        </w:tc>
        <w:tc>
          <w:tcPr>
            <w:tcW w:w="747" w:type="pct"/>
            <w:tcBorders>
              <w:top w:val="single" w:color="E7ECF1" w:sz="6" w:space="0"/>
              <w:left w:val="single" w:color="E7ECF1" w:sz="6" w:space="0"/>
              <w:bottom w:val="single" w:color="E7ECF1" w:sz="6" w:space="0"/>
              <w:right w:val="single" w:color="E7ECF1" w:sz="6" w:space="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81B3C0">
            <w:pPr>
              <w:widowControl/>
              <w:suppressAutoHyphens w:val="0"/>
              <w:autoSpaceDN/>
              <w:spacing w:after="150"/>
              <w:jc w:val="left"/>
              <w:textAlignment w:val="auto"/>
              <w:rPr>
                <w:rFonts w:hint="eastAsia" w:ascii="宋体" w:hAnsi="宋体" w:cs="Open Sans"/>
                <w:b/>
                <w:color w:val="333333"/>
                <w:kern w:val="0"/>
                <w:lang w:bidi="ar-SA"/>
              </w:rPr>
            </w:pPr>
            <w:r>
              <w:rPr>
                <w:rFonts w:hint="eastAsia" w:ascii="宋体" w:hAnsi="宋体" w:cs="Open Sans"/>
                <w:bCs/>
                <w:color w:val="333333"/>
                <w:kern w:val="0"/>
                <w:lang w:bidi="ar-SA"/>
              </w:rPr>
              <w:t>0</w:t>
            </w:r>
          </w:p>
        </w:tc>
        <w:tc>
          <w:tcPr>
            <w:tcW w:w="746" w:type="pct"/>
            <w:tcBorders>
              <w:top w:val="single" w:color="E7ECF1" w:sz="6" w:space="0"/>
              <w:left w:val="single" w:color="E7ECF1" w:sz="6" w:space="0"/>
              <w:bottom w:val="single" w:color="E7ECF1" w:sz="6" w:space="0"/>
              <w:right w:val="single" w:color="E7ECF1" w:sz="6" w:space="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D995E1">
            <w:pPr>
              <w:widowControl/>
              <w:suppressAutoHyphens w:val="0"/>
              <w:autoSpaceDN/>
              <w:spacing w:after="150"/>
              <w:jc w:val="left"/>
              <w:textAlignment w:val="auto"/>
              <w:rPr>
                <w:rFonts w:hint="eastAsia" w:ascii="宋体" w:hAnsi="宋体" w:cs="Open Sans"/>
                <w:bCs/>
                <w:color w:val="333333"/>
                <w:kern w:val="0"/>
                <w:lang w:bidi="ar-SA"/>
              </w:rPr>
            </w:pPr>
            <w:r>
              <w:rPr>
                <w:rFonts w:hint="eastAsia" w:ascii="宋体" w:hAnsi="宋体" w:cs="Open Sans"/>
                <w:bCs/>
                <w:color w:val="333333"/>
                <w:kern w:val="0"/>
                <w:lang w:bidi="ar-SA"/>
              </w:rPr>
              <w:t>0</w:t>
            </w:r>
          </w:p>
        </w:tc>
      </w:tr>
      <w:tr w14:paraId="180BCEF1">
        <w:tblPrEx>
          <w:tblBorders>
            <w:top w:val="single" w:color="E7ECF1" w:sz="6" w:space="0"/>
            <w:left w:val="single" w:color="E7ECF1" w:sz="6" w:space="0"/>
            <w:bottom w:val="single" w:color="E7ECF1" w:sz="6" w:space="0"/>
            <w:right w:val="single" w:color="E7ECF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79" w:type="pct"/>
            <w:tcBorders>
              <w:top w:val="single" w:color="E7ECF1" w:sz="6" w:space="0"/>
              <w:left w:val="single" w:color="E7ECF1" w:sz="12" w:space="0"/>
              <w:bottom w:val="single" w:color="E7ECF1" w:sz="6" w:space="0"/>
              <w:right w:val="single" w:color="E7ECF1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0896D1">
            <w:pPr>
              <w:widowControl/>
              <w:suppressAutoHyphens w:val="0"/>
              <w:autoSpaceDN/>
              <w:spacing w:after="150"/>
              <w:jc w:val="left"/>
              <w:textAlignment w:val="auto"/>
              <w:rPr>
                <w:rFonts w:hint="eastAsia" w:ascii="宋体" w:hAnsi="宋体" w:cs="Open Sans"/>
                <w:b/>
                <w:color w:val="333333"/>
                <w:kern w:val="0"/>
                <w:lang w:bidi="ar-SA"/>
              </w:rPr>
            </w:pPr>
            <w:r>
              <w:rPr>
                <w:rFonts w:ascii="宋体" w:hAnsi="宋体" w:cs="Open Sans"/>
                <w:b/>
                <w:color w:val="333333"/>
                <w:kern w:val="0"/>
                <w:lang w:bidi="ar-SA"/>
              </w:rPr>
              <w:t>(3)会议、差旅费</w:t>
            </w:r>
          </w:p>
        </w:tc>
        <w:tc>
          <w:tcPr>
            <w:tcW w:w="747" w:type="pct"/>
            <w:tcBorders>
              <w:top w:val="single" w:color="E7ECF1" w:sz="6" w:space="0"/>
              <w:left w:val="single" w:color="E7ECF1" w:sz="6" w:space="0"/>
              <w:bottom w:val="single" w:color="E7ECF1" w:sz="6" w:space="0"/>
              <w:right w:val="single" w:color="E7ECF1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8E9755">
            <w:pPr>
              <w:widowControl/>
              <w:suppressAutoHyphens w:val="0"/>
              <w:autoSpaceDN/>
              <w:spacing w:after="150"/>
              <w:jc w:val="left"/>
              <w:textAlignment w:val="auto"/>
              <w:rPr>
                <w:rFonts w:hint="eastAsia" w:ascii="宋体" w:hAnsi="宋体" w:cs="Open Sans"/>
                <w:bCs/>
                <w:color w:val="333333"/>
                <w:kern w:val="0"/>
                <w:lang w:bidi="ar-SA"/>
              </w:rPr>
            </w:pPr>
          </w:p>
        </w:tc>
        <w:tc>
          <w:tcPr>
            <w:tcW w:w="1580" w:type="pct"/>
            <w:tcBorders>
              <w:top w:val="single" w:color="E7ECF1" w:sz="6" w:space="0"/>
              <w:left w:val="single" w:color="E7ECF1" w:sz="6" w:space="0"/>
              <w:bottom w:val="single" w:color="E7ECF1" w:sz="6" w:space="0"/>
              <w:right w:val="single" w:color="E7ECF1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5075B0">
            <w:pPr>
              <w:widowControl/>
              <w:suppressAutoHyphens w:val="0"/>
              <w:autoSpaceDN/>
              <w:spacing w:after="150"/>
              <w:jc w:val="left"/>
              <w:textAlignment w:val="auto"/>
              <w:rPr>
                <w:rFonts w:hint="eastAsia" w:ascii="宋体" w:hAnsi="宋体" w:cs="Open Sans"/>
                <w:b/>
                <w:color w:val="333333"/>
                <w:kern w:val="0"/>
                <w:lang w:bidi="ar-SA"/>
              </w:rPr>
            </w:pPr>
          </w:p>
        </w:tc>
        <w:tc>
          <w:tcPr>
            <w:tcW w:w="747" w:type="pct"/>
            <w:tcBorders>
              <w:top w:val="single" w:color="E7ECF1" w:sz="6" w:space="0"/>
              <w:left w:val="single" w:color="E7ECF1" w:sz="6" w:space="0"/>
              <w:bottom w:val="single" w:color="E7ECF1" w:sz="6" w:space="0"/>
              <w:right w:val="single" w:color="E7ECF1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BFCAAA">
            <w:pPr>
              <w:widowControl/>
              <w:suppressAutoHyphens w:val="0"/>
              <w:autoSpaceDN/>
              <w:spacing w:after="150"/>
              <w:jc w:val="left"/>
              <w:textAlignment w:val="auto"/>
              <w:rPr>
                <w:rFonts w:hint="eastAsia" w:ascii="宋体" w:hAnsi="宋体" w:cs="Open Sans"/>
                <w:b/>
                <w:color w:val="333333"/>
                <w:kern w:val="0"/>
                <w:lang w:bidi="ar-SA"/>
              </w:rPr>
            </w:pPr>
            <w:r>
              <w:rPr>
                <w:rFonts w:hint="eastAsia" w:ascii="宋体" w:hAnsi="宋体" w:cs="Open Sans"/>
                <w:bCs/>
                <w:color w:val="333333"/>
                <w:kern w:val="0"/>
                <w:lang w:bidi="ar-SA"/>
              </w:rPr>
              <w:t>0</w:t>
            </w:r>
          </w:p>
        </w:tc>
        <w:tc>
          <w:tcPr>
            <w:tcW w:w="746" w:type="pct"/>
            <w:tcBorders>
              <w:top w:val="single" w:color="E7ECF1" w:sz="6" w:space="0"/>
              <w:left w:val="single" w:color="E7ECF1" w:sz="6" w:space="0"/>
              <w:bottom w:val="single" w:color="E7ECF1" w:sz="6" w:space="0"/>
              <w:right w:val="single" w:color="E7ECF1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CE9A8C">
            <w:pPr>
              <w:widowControl/>
              <w:suppressAutoHyphens w:val="0"/>
              <w:autoSpaceDN/>
              <w:spacing w:after="150"/>
              <w:jc w:val="left"/>
              <w:textAlignment w:val="auto"/>
              <w:rPr>
                <w:rFonts w:hint="eastAsia" w:ascii="宋体" w:hAnsi="宋体" w:cs="Open Sans"/>
                <w:bCs/>
                <w:color w:val="333333"/>
                <w:kern w:val="0"/>
                <w:lang w:bidi="ar-SA"/>
              </w:rPr>
            </w:pPr>
            <w:r>
              <w:rPr>
                <w:rFonts w:hint="eastAsia" w:ascii="宋体" w:hAnsi="宋体" w:cs="Open Sans"/>
                <w:bCs/>
                <w:color w:val="333333"/>
                <w:kern w:val="0"/>
                <w:lang w:bidi="ar-SA"/>
              </w:rPr>
              <w:t>0</w:t>
            </w:r>
          </w:p>
        </w:tc>
      </w:tr>
      <w:tr w14:paraId="585470B7">
        <w:tblPrEx>
          <w:tblBorders>
            <w:top w:val="single" w:color="E7ECF1" w:sz="6" w:space="0"/>
            <w:left w:val="single" w:color="E7ECF1" w:sz="6" w:space="0"/>
            <w:bottom w:val="single" w:color="E7ECF1" w:sz="6" w:space="0"/>
            <w:right w:val="single" w:color="E7ECF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79" w:type="pct"/>
            <w:tcBorders>
              <w:top w:val="single" w:color="E7ECF1" w:sz="6" w:space="0"/>
              <w:left w:val="single" w:color="E7ECF1" w:sz="12" w:space="0"/>
              <w:bottom w:val="single" w:color="E7ECF1" w:sz="6" w:space="0"/>
              <w:right w:val="single" w:color="E7ECF1" w:sz="6" w:space="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0EC47A">
            <w:pPr>
              <w:widowControl/>
              <w:suppressAutoHyphens w:val="0"/>
              <w:autoSpaceDN/>
              <w:spacing w:after="150"/>
              <w:jc w:val="left"/>
              <w:textAlignment w:val="auto"/>
              <w:rPr>
                <w:rFonts w:hint="eastAsia" w:ascii="宋体" w:hAnsi="宋体" w:cs="Open Sans"/>
                <w:b/>
                <w:color w:val="333333"/>
                <w:kern w:val="0"/>
                <w:lang w:bidi="ar-SA"/>
              </w:rPr>
            </w:pPr>
            <w:r>
              <w:rPr>
                <w:rFonts w:ascii="宋体" w:hAnsi="宋体" w:cs="Open Sans"/>
                <w:b/>
                <w:color w:val="333333"/>
                <w:kern w:val="0"/>
                <w:lang w:bidi="ar-SA"/>
              </w:rPr>
              <w:t>(4)文献检索费</w:t>
            </w:r>
          </w:p>
        </w:tc>
        <w:tc>
          <w:tcPr>
            <w:tcW w:w="747" w:type="pct"/>
            <w:tcBorders>
              <w:top w:val="single" w:color="E7ECF1" w:sz="6" w:space="0"/>
              <w:left w:val="single" w:color="E7ECF1" w:sz="6" w:space="0"/>
              <w:bottom w:val="single" w:color="E7ECF1" w:sz="6" w:space="0"/>
              <w:right w:val="single" w:color="E7ECF1" w:sz="6" w:space="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943665">
            <w:pPr>
              <w:widowControl/>
              <w:suppressAutoHyphens w:val="0"/>
              <w:autoSpaceDN/>
              <w:spacing w:after="150"/>
              <w:jc w:val="left"/>
              <w:textAlignment w:val="auto"/>
              <w:rPr>
                <w:rFonts w:hint="eastAsia" w:ascii="宋体" w:hAnsi="宋体" w:cs="Open Sans"/>
                <w:bCs/>
                <w:color w:val="333333"/>
                <w:kern w:val="0"/>
                <w:lang w:bidi="ar-SA"/>
              </w:rPr>
            </w:pPr>
            <w:r>
              <w:rPr>
                <w:rFonts w:hint="eastAsia" w:ascii="宋体" w:hAnsi="宋体" w:cs="Open Sans"/>
                <w:bCs/>
                <w:color w:val="333333"/>
                <w:kern w:val="0"/>
                <w:lang w:bidi="ar-SA"/>
              </w:rPr>
              <w:t>500</w:t>
            </w:r>
          </w:p>
        </w:tc>
        <w:tc>
          <w:tcPr>
            <w:tcW w:w="1580" w:type="pct"/>
            <w:tcBorders>
              <w:top w:val="single" w:color="E7ECF1" w:sz="6" w:space="0"/>
              <w:left w:val="single" w:color="E7ECF1" w:sz="6" w:space="0"/>
              <w:bottom w:val="single" w:color="E7ECF1" w:sz="6" w:space="0"/>
              <w:right w:val="single" w:color="E7ECF1" w:sz="6" w:space="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F76B67">
            <w:pPr>
              <w:widowControl/>
              <w:suppressAutoHyphens w:val="0"/>
              <w:autoSpaceDN/>
              <w:spacing w:after="150"/>
              <w:jc w:val="left"/>
              <w:textAlignment w:val="auto"/>
              <w:rPr>
                <w:rFonts w:hint="eastAsia" w:ascii="宋体" w:hAnsi="宋体" w:cs="Open Sans"/>
                <w:b/>
                <w:color w:val="333333"/>
                <w:kern w:val="0"/>
                <w:lang w:bidi="ar-SA"/>
              </w:rPr>
            </w:pPr>
          </w:p>
        </w:tc>
        <w:tc>
          <w:tcPr>
            <w:tcW w:w="747" w:type="pct"/>
            <w:tcBorders>
              <w:top w:val="single" w:color="E7ECF1" w:sz="6" w:space="0"/>
              <w:left w:val="single" w:color="E7ECF1" w:sz="6" w:space="0"/>
              <w:bottom w:val="single" w:color="E7ECF1" w:sz="6" w:space="0"/>
              <w:right w:val="single" w:color="E7ECF1" w:sz="6" w:space="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E0166C">
            <w:pPr>
              <w:widowControl/>
              <w:suppressAutoHyphens w:val="0"/>
              <w:autoSpaceDN/>
              <w:spacing w:after="150"/>
              <w:jc w:val="left"/>
              <w:textAlignment w:val="auto"/>
              <w:rPr>
                <w:rFonts w:hint="eastAsia" w:ascii="宋体" w:hAnsi="宋体" w:cs="Open Sans"/>
                <w:b/>
                <w:color w:val="333333"/>
                <w:kern w:val="0"/>
                <w:lang w:bidi="ar-SA"/>
              </w:rPr>
            </w:pPr>
            <w:r>
              <w:rPr>
                <w:rFonts w:hint="eastAsia" w:ascii="宋体" w:hAnsi="宋体" w:cs="Open Sans"/>
                <w:b/>
                <w:color w:val="333333"/>
                <w:kern w:val="0"/>
                <w:lang w:bidi="ar-SA"/>
              </w:rPr>
              <w:t>200</w:t>
            </w:r>
          </w:p>
        </w:tc>
        <w:tc>
          <w:tcPr>
            <w:tcW w:w="746" w:type="pct"/>
            <w:tcBorders>
              <w:top w:val="single" w:color="E7ECF1" w:sz="6" w:space="0"/>
              <w:left w:val="single" w:color="E7ECF1" w:sz="6" w:space="0"/>
              <w:bottom w:val="single" w:color="E7ECF1" w:sz="6" w:space="0"/>
              <w:right w:val="single" w:color="E7ECF1" w:sz="6" w:space="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C91C6D">
            <w:pPr>
              <w:widowControl/>
              <w:suppressAutoHyphens w:val="0"/>
              <w:autoSpaceDN/>
              <w:spacing w:after="150"/>
              <w:jc w:val="left"/>
              <w:textAlignment w:val="auto"/>
              <w:rPr>
                <w:rFonts w:hint="eastAsia" w:ascii="宋体" w:hAnsi="宋体" w:cs="Open Sans"/>
                <w:bCs/>
                <w:color w:val="333333"/>
                <w:kern w:val="0"/>
                <w:lang w:bidi="ar-SA"/>
              </w:rPr>
            </w:pPr>
            <w:r>
              <w:rPr>
                <w:rFonts w:hint="eastAsia" w:ascii="宋体" w:hAnsi="宋体" w:cs="Open Sans"/>
                <w:bCs/>
                <w:color w:val="333333"/>
                <w:kern w:val="0"/>
                <w:lang w:bidi="ar-SA"/>
              </w:rPr>
              <w:t>300</w:t>
            </w:r>
          </w:p>
        </w:tc>
      </w:tr>
      <w:tr w14:paraId="2290220D">
        <w:tblPrEx>
          <w:tblBorders>
            <w:top w:val="single" w:color="E7ECF1" w:sz="6" w:space="0"/>
            <w:left w:val="single" w:color="E7ECF1" w:sz="6" w:space="0"/>
            <w:bottom w:val="single" w:color="E7ECF1" w:sz="6" w:space="0"/>
            <w:right w:val="single" w:color="E7ECF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79" w:type="pct"/>
            <w:tcBorders>
              <w:top w:val="single" w:color="E7ECF1" w:sz="6" w:space="0"/>
              <w:left w:val="single" w:color="E7ECF1" w:sz="12" w:space="0"/>
              <w:bottom w:val="single" w:color="E7ECF1" w:sz="6" w:space="0"/>
              <w:right w:val="single" w:color="E7ECF1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7504A2">
            <w:pPr>
              <w:widowControl/>
              <w:suppressAutoHyphens w:val="0"/>
              <w:autoSpaceDN/>
              <w:spacing w:after="150"/>
              <w:jc w:val="left"/>
              <w:textAlignment w:val="auto"/>
              <w:rPr>
                <w:rFonts w:hint="eastAsia" w:ascii="宋体" w:hAnsi="宋体" w:cs="Open Sans"/>
                <w:b/>
                <w:color w:val="333333"/>
                <w:kern w:val="0"/>
                <w:lang w:bidi="ar-SA"/>
              </w:rPr>
            </w:pPr>
            <w:r>
              <w:rPr>
                <w:rFonts w:ascii="宋体" w:hAnsi="宋体" w:cs="Open Sans"/>
                <w:b/>
                <w:color w:val="333333"/>
                <w:kern w:val="0"/>
                <w:lang w:bidi="ar-SA"/>
              </w:rPr>
              <w:t>(5)论文出版费</w:t>
            </w:r>
          </w:p>
        </w:tc>
        <w:tc>
          <w:tcPr>
            <w:tcW w:w="747" w:type="pct"/>
            <w:tcBorders>
              <w:top w:val="single" w:color="E7ECF1" w:sz="6" w:space="0"/>
              <w:left w:val="single" w:color="E7ECF1" w:sz="6" w:space="0"/>
              <w:bottom w:val="single" w:color="E7ECF1" w:sz="6" w:space="0"/>
              <w:right w:val="single" w:color="E7ECF1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3F80C3">
            <w:pPr>
              <w:widowControl/>
              <w:suppressAutoHyphens w:val="0"/>
              <w:autoSpaceDN/>
              <w:spacing w:after="150"/>
              <w:jc w:val="left"/>
              <w:textAlignment w:val="auto"/>
              <w:rPr>
                <w:rFonts w:hint="eastAsia" w:ascii="宋体" w:hAnsi="宋体" w:cs="Open Sans"/>
                <w:bCs/>
                <w:color w:val="333333"/>
                <w:kern w:val="0"/>
                <w:lang w:bidi="ar-SA"/>
              </w:rPr>
            </w:pPr>
            <w:r>
              <w:rPr>
                <w:rFonts w:hint="eastAsia" w:ascii="宋体" w:hAnsi="宋体" w:cs="Open Sans"/>
                <w:bCs/>
                <w:color w:val="333333"/>
                <w:kern w:val="0"/>
                <w:lang w:bidi="ar-SA"/>
              </w:rPr>
              <w:t>1500</w:t>
            </w:r>
          </w:p>
        </w:tc>
        <w:tc>
          <w:tcPr>
            <w:tcW w:w="1580" w:type="pct"/>
            <w:tcBorders>
              <w:top w:val="single" w:color="E7ECF1" w:sz="6" w:space="0"/>
              <w:left w:val="single" w:color="E7ECF1" w:sz="6" w:space="0"/>
              <w:bottom w:val="single" w:color="E7ECF1" w:sz="6" w:space="0"/>
              <w:right w:val="single" w:color="E7ECF1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3B7E60">
            <w:pPr>
              <w:widowControl/>
              <w:suppressAutoHyphens w:val="0"/>
              <w:autoSpaceDN/>
              <w:spacing w:after="150"/>
              <w:jc w:val="left"/>
              <w:textAlignment w:val="auto"/>
              <w:rPr>
                <w:rFonts w:hint="eastAsia" w:ascii="宋体" w:hAnsi="宋体" w:cs="Open Sans"/>
                <w:b/>
                <w:color w:val="333333"/>
                <w:kern w:val="0"/>
                <w:lang w:bidi="ar-SA"/>
              </w:rPr>
            </w:pPr>
          </w:p>
        </w:tc>
        <w:tc>
          <w:tcPr>
            <w:tcW w:w="747" w:type="pct"/>
            <w:tcBorders>
              <w:top w:val="single" w:color="E7ECF1" w:sz="6" w:space="0"/>
              <w:left w:val="single" w:color="E7ECF1" w:sz="6" w:space="0"/>
              <w:bottom w:val="single" w:color="E7ECF1" w:sz="6" w:space="0"/>
              <w:right w:val="single" w:color="E7ECF1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6BF1EE">
            <w:pPr>
              <w:widowControl/>
              <w:suppressAutoHyphens w:val="0"/>
              <w:autoSpaceDN/>
              <w:spacing w:after="150"/>
              <w:jc w:val="left"/>
              <w:textAlignment w:val="auto"/>
              <w:rPr>
                <w:rFonts w:hint="eastAsia" w:ascii="宋体" w:hAnsi="宋体" w:cs="Open Sans"/>
                <w:b/>
                <w:color w:val="333333"/>
                <w:kern w:val="0"/>
                <w:lang w:bidi="ar-SA"/>
              </w:rPr>
            </w:pPr>
            <w:r>
              <w:rPr>
                <w:rFonts w:hint="eastAsia" w:ascii="宋体" w:hAnsi="宋体" w:cs="Open Sans"/>
                <w:bCs/>
                <w:color w:val="333333"/>
                <w:kern w:val="0"/>
                <w:lang w:bidi="ar-SA"/>
              </w:rPr>
              <w:t>0</w:t>
            </w:r>
          </w:p>
        </w:tc>
        <w:tc>
          <w:tcPr>
            <w:tcW w:w="746" w:type="pct"/>
            <w:tcBorders>
              <w:top w:val="single" w:color="E7ECF1" w:sz="6" w:space="0"/>
              <w:left w:val="single" w:color="E7ECF1" w:sz="6" w:space="0"/>
              <w:bottom w:val="single" w:color="E7ECF1" w:sz="6" w:space="0"/>
              <w:right w:val="single" w:color="E7ECF1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2D151E">
            <w:pPr>
              <w:widowControl/>
              <w:suppressAutoHyphens w:val="0"/>
              <w:autoSpaceDN/>
              <w:spacing w:after="150"/>
              <w:jc w:val="left"/>
              <w:textAlignment w:val="auto"/>
              <w:rPr>
                <w:rFonts w:hint="eastAsia" w:ascii="宋体" w:hAnsi="宋体" w:cs="Open Sans"/>
                <w:bCs/>
                <w:color w:val="333333"/>
                <w:kern w:val="0"/>
                <w:lang w:bidi="ar-SA"/>
              </w:rPr>
            </w:pPr>
            <w:r>
              <w:rPr>
                <w:rFonts w:hint="eastAsia" w:ascii="宋体" w:hAnsi="宋体" w:cs="Open Sans"/>
                <w:bCs/>
                <w:color w:val="333333"/>
                <w:kern w:val="0"/>
                <w:lang w:bidi="ar-SA"/>
              </w:rPr>
              <w:t>1500</w:t>
            </w:r>
          </w:p>
        </w:tc>
      </w:tr>
      <w:tr w14:paraId="53FF11B5">
        <w:tblPrEx>
          <w:tblBorders>
            <w:top w:val="single" w:color="E7ECF1" w:sz="6" w:space="0"/>
            <w:left w:val="single" w:color="E7ECF1" w:sz="6" w:space="0"/>
            <w:bottom w:val="single" w:color="E7ECF1" w:sz="6" w:space="0"/>
            <w:right w:val="single" w:color="E7ECF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79" w:type="pct"/>
            <w:tcBorders>
              <w:top w:val="single" w:color="E7ECF1" w:sz="6" w:space="0"/>
              <w:left w:val="single" w:color="E7ECF1" w:sz="12" w:space="0"/>
              <w:bottom w:val="single" w:color="E7ECF1" w:sz="6" w:space="0"/>
              <w:right w:val="single" w:color="E7ECF1" w:sz="6" w:space="0"/>
            </w:tcBorders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7713D5">
            <w:pPr>
              <w:widowControl/>
              <w:suppressAutoHyphens w:val="0"/>
              <w:autoSpaceDN/>
              <w:spacing w:after="150"/>
              <w:jc w:val="left"/>
              <w:textAlignment w:val="auto"/>
              <w:rPr>
                <w:rFonts w:hint="eastAsia" w:ascii="宋体" w:hAnsi="宋体" w:cs="Open Sans"/>
                <w:b/>
                <w:color w:val="333333"/>
                <w:kern w:val="0"/>
                <w:lang w:bidi="ar-SA"/>
              </w:rPr>
            </w:pPr>
            <w:r>
              <w:rPr>
                <w:rFonts w:ascii="宋体" w:hAnsi="宋体" w:cs="Open Sans"/>
                <w:b/>
                <w:color w:val="333333"/>
                <w:kern w:val="0"/>
                <w:lang w:bidi="ar-SA"/>
              </w:rPr>
              <w:t>2.仪器设备购置费</w:t>
            </w:r>
          </w:p>
        </w:tc>
        <w:tc>
          <w:tcPr>
            <w:tcW w:w="747" w:type="pct"/>
            <w:tcBorders>
              <w:top w:val="single" w:color="E7ECF1" w:sz="6" w:space="0"/>
              <w:left w:val="single" w:color="E7ECF1" w:sz="6" w:space="0"/>
              <w:bottom w:val="single" w:color="E7ECF1" w:sz="6" w:space="0"/>
              <w:right w:val="single" w:color="E7ECF1" w:sz="6" w:space="0"/>
            </w:tcBorders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409452">
            <w:pPr>
              <w:widowControl/>
              <w:suppressAutoHyphens w:val="0"/>
              <w:autoSpaceDN/>
              <w:spacing w:after="150"/>
              <w:jc w:val="left"/>
              <w:textAlignment w:val="auto"/>
              <w:rPr>
                <w:rFonts w:hint="eastAsia" w:ascii="宋体" w:hAnsi="宋体" w:cs="Open Sans"/>
                <w:bCs/>
                <w:color w:val="333333"/>
                <w:kern w:val="0"/>
                <w:lang w:bidi="ar-SA"/>
              </w:rPr>
            </w:pPr>
            <w:r>
              <w:rPr>
                <w:rFonts w:hint="eastAsia" w:ascii="宋体" w:hAnsi="宋体" w:cs="Open Sans"/>
                <w:bCs/>
                <w:color w:val="333333"/>
                <w:kern w:val="0"/>
                <w:lang w:bidi="ar-SA"/>
              </w:rPr>
              <w:t>16000</w:t>
            </w:r>
          </w:p>
        </w:tc>
        <w:tc>
          <w:tcPr>
            <w:tcW w:w="1580" w:type="pct"/>
            <w:tcBorders>
              <w:top w:val="single" w:color="E7ECF1" w:sz="6" w:space="0"/>
              <w:left w:val="single" w:color="E7ECF1" w:sz="6" w:space="0"/>
              <w:bottom w:val="single" w:color="E7ECF1" w:sz="6" w:space="0"/>
              <w:right w:val="single" w:color="E7ECF1" w:sz="6" w:space="0"/>
            </w:tcBorders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86BB46">
            <w:pPr>
              <w:rPr>
                <w:rFonts w:hint="eastAsia" w:ascii="宋体" w:hAnsi="宋体" w:cs="Open Sans"/>
                <w:b/>
                <w:color w:val="333333"/>
                <w:kern w:val="0"/>
                <w:lang w:bidi="ar-SA"/>
              </w:rPr>
            </w:pPr>
          </w:p>
        </w:tc>
        <w:tc>
          <w:tcPr>
            <w:tcW w:w="747" w:type="pct"/>
            <w:tcBorders>
              <w:top w:val="single" w:color="E7ECF1" w:sz="6" w:space="0"/>
              <w:left w:val="single" w:color="E7ECF1" w:sz="6" w:space="0"/>
              <w:bottom w:val="single" w:color="E7ECF1" w:sz="6" w:space="0"/>
              <w:right w:val="single" w:color="E7ECF1" w:sz="6" w:space="0"/>
            </w:tcBorders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CB29BA">
            <w:pPr>
              <w:widowControl/>
              <w:suppressAutoHyphens w:val="0"/>
              <w:autoSpaceDN/>
              <w:spacing w:after="150"/>
              <w:jc w:val="left"/>
              <w:textAlignment w:val="auto"/>
              <w:rPr>
                <w:rFonts w:hint="eastAsia" w:ascii="宋体" w:hAnsi="宋体" w:cs="Open Sans"/>
                <w:b/>
                <w:color w:val="333333"/>
                <w:kern w:val="0"/>
                <w:lang w:bidi="ar-SA"/>
              </w:rPr>
            </w:pPr>
            <w:r>
              <w:rPr>
                <w:rFonts w:hint="eastAsia" w:ascii="宋体" w:hAnsi="宋体" w:cs="Open Sans"/>
                <w:b/>
                <w:color w:val="333333"/>
                <w:kern w:val="0"/>
                <w:lang w:bidi="ar-SA"/>
              </w:rPr>
              <w:t>13500</w:t>
            </w:r>
          </w:p>
        </w:tc>
        <w:tc>
          <w:tcPr>
            <w:tcW w:w="746" w:type="pct"/>
            <w:tcBorders>
              <w:top w:val="single" w:color="E7ECF1" w:sz="6" w:space="0"/>
              <w:left w:val="single" w:color="E7ECF1" w:sz="6" w:space="0"/>
              <w:bottom w:val="single" w:color="E7ECF1" w:sz="6" w:space="0"/>
              <w:right w:val="single" w:color="E7ECF1" w:sz="6" w:space="0"/>
            </w:tcBorders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0C6804">
            <w:pPr>
              <w:widowControl/>
              <w:suppressAutoHyphens w:val="0"/>
              <w:autoSpaceDN/>
              <w:spacing w:after="150"/>
              <w:jc w:val="left"/>
              <w:textAlignment w:val="auto"/>
              <w:rPr>
                <w:rFonts w:hint="eastAsia" w:ascii="宋体" w:hAnsi="宋体" w:cs="Open Sans"/>
                <w:bCs/>
                <w:color w:val="333333"/>
                <w:kern w:val="0"/>
                <w:lang w:bidi="ar-SA"/>
              </w:rPr>
            </w:pPr>
            <w:r>
              <w:rPr>
                <w:rFonts w:hint="eastAsia" w:ascii="宋体" w:hAnsi="宋体" w:cs="Open Sans"/>
                <w:bCs/>
                <w:color w:val="333333"/>
                <w:kern w:val="0"/>
                <w:lang w:bidi="ar-SA"/>
              </w:rPr>
              <w:t>2500</w:t>
            </w:r>
          </w:p>
        </w:tc>
      </w:tr>
      <w:tr w14:paraId="75543481">
        <w:tblPrEx>
          <w:tblBorders>
            <w:top w:val="single" w:color="E7ECF1" w:sz="6" w:space="0"/>
            <w:left w:val="single" w:color="E7ECF1" w:sz="6" w:space="0"/>
            <w:bottom w:val="single" w:color="E7ECF1" w:sz="6" w:space="0"/>
            <w:right w:val="single" w:color="E7ECF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79" w:type="pct"/>
            <w:tcBorders>
              <w:top w:val="single" w:color="E7ECF1" w:sz="6" w:space="0"/>
              <w:left w:val="single" w:color="E7ECF1" w:sz="12" w:space="0"/>
              <w:bottom w:val="single" w:color="E7ECF1" w:sz="6" w:space="0"/>
              <w:right w:val="single" w:color="E7ECF1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5725B1">
            <w:pPr>
              <w:widowControl/>
              <w:suppressAutoHyphens w:val="0"/>
              <w:autoSpaceDN/>
              <w:spacing w:after="150"/>
              <w:jc w:val="left"/>
              <w:textAlignment w:val="auto"/>
              <w:rPr>
                <w:rFonts w:hint="eastAsia" w:ascii="宋体" w:hAnsi="宋体" w:cs="Open Sans"/>
                <w:b/>
                <w:color w:val="333333"/>
                <w:kern w:val="0"/>
                <w:lang w:bidi="ar-SA"/>
              </w:rPr>
            </w:pPr>
            <w:r>
              <w:rPr>
                <w:rFonts w:ascii="宋体" w:hAnsi="宋体" w:cs="Open Sans"/>
                <w:b/>
                <w:color w:val="333333"/>
                <w:kern w:val="0"/>
                <w:lang w:bidi="ar-SA"/>
              </w:rPr>
              <w:t>3.实验装置试制费</w:t>
            </w:r>
          </w:p>
        </w:tc>
        <w:tc>
          <w:tcPr>
            <w:tcW w:w="747" w:type="pct"/>
            <w:tcBorders>
              <w:top w:val="single" w:color="E7ECF1" w:sz="6" w:space="0"/>
              <w:left w:val="single" w:color="E7ECF1" w:sz="6" w:space="0"/>
              <w:bottom w:val="single" w:color="E7ECF1" w:sz="6" w:space="0"/>
              <w:right w:val="single" w:color="E7ECF1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4DF3E8">
            <w:pPr>
              <w:widowControl/>
              <w:suppressAutoHyphens w:val="0"/>
              <w:autoSpaceDN/>
              <w:spacing w:after="150"/>
              <w:jc w:val="left"/>
              <w:textAlignment w:val="auto"/>
              <w:rPr>
                <w:rFonts w:hint="eastAsia" w:ascii="宋体" w:hAnsi="宋体" w:cs="Open Sans"/>
                <w:bCs/>
                <w:color w:val="333333"/>
                <w:kern w:val="0"/>
                <w:lang w:bidi="ar-SA"/>
              </w:rPr>
            </w:pPr>
          </w:p>
        </w:tc>
        <w:tc>
          <w:tcPr>
            <w:tcW w:w="1580" w:type="pct"/>
            <w:tcBorders>
              <w:top w:val="single" w:color="E7ECF1" w:sz="6" w:space="0"/>
              <w:left w:val="single" w:color="E7ECF1" w:sz="6" w:space="0"/>
              <w:bottom w:val="single" w:color="E7ECF1" w:sz="6" w:space="0"/>
              <w:right w:val="single" w:color="E7ECF1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92E7D2">
            <w:pPr>
              <w:widowControl/>
              <w:suppressAutoHyphens w:val="0"/>
              <w:autoSpaceDN/>
              <w:spacing w:after="150"/>
              <w:jc w:val="left"/>
              <w:textAlignment w:val="auto"/>
              <w:rPr>
                <w:rFonts w:hint="eastAsia" w:ascii="宋体" w:hAnsi="宋体" w:cs="Open Sans"/>
                <w:b/>
                <w:color w:val="333333"/>
                <w:kern w:val="0"/>
                <w:lang w:bidi="ar-SA"/>
              </w:rPr>
            </w:pPr>
          </w:p>
        </w:tc>
        <w:tc>
          <w:tcPr>
            <w:tcW w:w="747" w:type="pct"/>
            <w:tcBorders>
              <w:top w:val="single" w:color="E7ECF1" w:sz="6" w:space="0"/>
              <w:left w:val="single" w:color="E7ECF1" w:sz="6" w:space="0"/>
              <w:bottom w:val="single" w:color="E7ECF1" w:sz="6" w:space="0"/>
              <w:right w:val="single" w:color="E7ECF1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D42348">
            <w:pPr>
              <w:widowControl/>
              <w:suppressAutoHyphens w:val="0"/>
              <w:autoSpaceDN/>
              <w:spacing w:after="150"/>
              <w:jc w:val="left"/>
              <w:textAlignment w:val="auto"/>
              <w:rPr>
                <w:rFonts w:hint="eastAsia" w:ascii="宋体" w:hAnsi="宋体" w:cs="Open Sans"/>
                <w:b/>
                <w:color w:val="333333"/>
                <w:kern w:val="0"/>
                <w:lang w:bidi="ar-SA"/>
              </w:rPr>
            </w:pPr>
            <w:r>
              <w:rPr>
                <w:rFonts w:hint="eastAsia" w:ascii="宋体" w:hAnsi="宋体" w:cs="Open Sans"/>
                <w:bCs/>
                <w:color w:val="333333"/>
                <w:kern w:val="0"/>
                <w:lang w:bidi="ar-SA"/>
              </w:rPr>
              <w:t>0</w:t>
            </w:r>
          </w:p>
        </w:tc>
        <w:tc>
          <w:tcPr>
            <w:tcW w:w="746" w:type="pct"/>
            <w:tcBorders>
              <w:top w:val="single" w:color="E7ECF1" w:sz="6" w:space="0"/>
              <w:left w:val="single" w:color="E7ECF1" w:sz="6" w:space="0"/>
              <w:bottom w:val="single" w:color="E7ECF1" w:sz="6" w:space="0"/>
              <w:right w:val="single" w:color="E7ECF1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5A3947">
            <w:pPr>
              <w:widowControl/>
              <w:suppressAutoHyphens w:val="0"/>
              <w:autoSpaceDN/>
              <w:spacing w:after="150"/>
              <w:jc w:val="left"/>
              <w:textAlignment w:val="auto"/>
              <w:rPr>
                <w:rFonts w:hint="eastAsia" w:ascii="宋体" w:hAnsi="宋体" w:cs="Open Sans"/>
                <w:b/>
                <w:color w:val="333333"/>
                <w:kern w:val="0"/>
                <w:lang w:bidi="ar-SA"/>
              </w:rPr>
            </w:pPr>
            <w:r>
              <w:rPr>
                <w:rFonts w:hint="eastAsia" w:ascii="宋体" w:hAnsi="宋体" w:cs="Open Sans"/>
                <w:bCs/>
                <w:color w:val="333333"/>
                <w:kern w:val="0"/>
                <w:lang w:bidi="ar-SA"/>
              </w:rPr>
              <w:t>0</w:t>
            </w:r>
          </w:p>
        </w:tc>
      </w:tr>
      <w:tr w14:paraId="7C01354B">
        <w:tblPrEx>
          <w:tblBorders>
            <w:top w:val="single" w:color="E7ECF1" w:sz="6" w:space="0"/>
            <w:left w:val="single" w:color="E7ECF1" w:sz="6" w:space="0"/>
            <w:bottom w:val="single" w:color="E7ECF1" w:sz="6" w:space="0"/>
            <w:right w:val="single" w:color="E7ECF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79" w:type="pct"/>
            <w:tcBorders>
              <w:top w:val="single" w:color="E7ECF1" w:sz="6" w:space="0"/>
              <w:left w:val="single" w:color="E7ECF1" w:sz="12" w:space="0"/>
              <w:bottom w:val="single" w:color="E7ECF1" w:sz="6" w:space="0"/>
              <w:right w:val="single" w:color="E7ECF1" w:sz="6" w:space="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6F1F4A">
            <w:pPr>
              <w:widowControl/>
              <w:suppressAutoHyphens w:val="0"/>
              <w:autoSpaceDN/>
              <w:spacing w:after="150"/>
              <w:jc w:val="left"/>
              <w:textAlignment w:val="auto"/>
              <w:rPr>
                <w:rFonts w:hint="eastAsia" w:ascii="宋体" w:hAnsi="宋体" w:cs="Open Sans"/>
                <w:b/>
                <w:color w:val="333333"/>
                <w:kern w:val="0"/>
                <w:lang w:bidi="ar-SA"/>
              </w:rPr>
            </w:pPr>
            <w:r>
              <w:rPr>
                <w:rFonts w:ascii="宋体" w:hAnsi="宋体" w:cs="Open Sans"/>
                <w:b/>
                <w:color w:val="333333"/>
                <w:kern w:val="0"/>
                <w:lang w:bidi="ar-SA"/>
              </w:rPr>
              <w:t>4.材料费</w:t>
            </w:r>
          </w:p>
        </w:tc>
        <w:tc>
          <w:tcPr>
            <w:tcW w:w="747" w:type="pct"/>
            <w:tcBorders>
              <w:top w:val="single" w:color="E7ECF1" w:sz="6" w:space="0"/>
              <w:left w:val="single" w:color="E7ECF1" w:sz="6" w:space="0"/>
              <w:bottom w:val="single" w:color="E7ECF1" w:sz="6" w:space="0"/>
              <w:right w:val="single" w:color="E7ECF1" w:sz="6" w:space="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103F69">
            <w:pPr>
              <w:widowControl/>
              <w:suppressAutoHyphens w:val="0"/>
              <w:autoSpaceDN/>
              <w:spacing w:after="150"/>
              <w:jc w:val="left"/>
              <w:textAlignment w:val="auto"/>
              <w:rPr>
                <w:rFonts w:hint="eastAsia" w:ascii="宋体" w:hAnsi="宋体" w:cs="Open Sans"/>
                <w:bCs/>
                <w:color w:val="333333"/>
                <w:kern w:val="0"/>
                <w:lang w:bidi="ar-SA"/>
              </w:rPr>
            </w:pPr>
            <w:r>
              <w:rPr>
                <w:rFonts w:hint="eastAsia" w:ascii="宋体" w:hAnsi="宋体" w:cs="Open Sans"/>
                <w:bCs/>
                <w:color w:val="333333"/>
                <w:kern w:val="0"/>
                <w:lang w:bidi="ar-SA"/>
              </w:rPr>
              <w:t>2000</w:t>
            </w:r>
          </w:p>
        </w:tc>
        <w:tc>
          <w:tcPr>
            <w:tcW w:w="1580" w:type="pct"/>
            <w:tcBorders>
              <w:top w:val="single" w:color="E7ECF1" w:sz="6" w:space="0"/>
              <w:left w:val="single" w:color="E7ECF1" w:sz="6" w:space="0"/>
              <w:bottom w:val="single" w:color="E7ECF1" w:sz="6" w:space="0"/>
              <w:right w:val="single" w:color="E7ECF1" w:sz="6" w:space="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5D7DB5">
            <w:pPr>
              <w:widowControl/>
              <w:suppressAutoHyphens w:val="0"/>
              <w:autoSpaceDN/>
              <w:spacing w:after="150"/>
              <w:jc w:val="left"/>
              <w:textAlignment w:val="auto"/>
              <w:rPr>
                <w:rFonts w:hint="eastAsia" w:ascii="宋体" w:hAnsi="宋体" w:cs="Open Sans"/>
                <w:b/>
                <w:color w:val="333333"/>
                <w:kern w:val="0"/>
                <w:lang w:bidi="ar-SA"/>
              </w:rPr>
            </w:pPr>
          </w:p>
        </w:tc>
        <w:tc>
          <w:tcPr>
            <w:tcW w:w="747" w:type="pct"/>
            <w:tcBorders>
              <w:top w:val="single" w:color="E7ECF1" w:sz="6" w:space="0"/>
              <w:left w:val="single" w:color="E7ECF1" w:sz="6" w:space="0"/>
              <w:bottom w:val="single" w:color="E7ECF1" w:sz="6" w:space="0"/>
              <w:right w:val="single" w:color="E7ECF1" w:sz="6" w:space="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AC4512">
            <w:pPr>
              <w:widowControl/>
              <w:suppressAutoHyphens w:val="0"/>
              <w:autoSpaceDN/>
              <w:spacing w:after="150"/>
              <w:jc w:val="left"/>
              <w:textAlignment w:val="auto"/>
              <w:rPr>
                <w:rFonts w:hint="eastAsia" w:ascii="宋体" w:hAnsi="宋体" w:cs="Open Sans"/>
                <w:b/>
                <w:color w:val="333333"/>
                <w:kern w:val="0"/>
                <w:lang w:bidi="ar-SA"/>
              </w:rPr>
            </w:pPr>
            <w:r>
              <w:rPr>
                <w:rFonts w:hint="eastAsia" w:ascii="宋体" w:hAnsi="宋体" w:cs="Open Sans"/>
                <w:bCs/>
                <w:color w:val="333333"/>
                <w:kern w:val="0"/>
                <w:lang w:bidi="ar-SA"/>
              </w:rPr>
              <w:t>0</w:t>
            </w:r>
          </w:p>
        </w:tc>
        <w:tc>
          <w:tcPr>
            <w:tcW w:w="746" w:type="pct"/>
            <w:tcBorders>
              <w:top w:val="single" w:color="E7ECF1" w:sz="6" w:space="0"/>
              <w:left w:val="single" w:color="E7ECF1" w:sz="6" w:space="0"/>
              <w:bottom w:val="single" w:color="E7ECF1" w:sz="6" w:space="0"/>
              <w:right w:val="single" w:color="E7ECF1" w:sz="6" w:space="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E2A5D8">
            <w:pPr>
              <w:widowControl/>
              <w:suppressAutoHyphens w:val="0"/>
              <w:autoSpaceDN/>
              <w:spacing w:after="150"/>
              <w:jc w:val="left"/>
              <w:textAlignment w:val="auto"/>
              <w:rPr>
                <w:rFonts w:hint="eastAsia" w:ascii="宋体" w:hAnsi="宋体" w:cs="Open Sans"/>
                <w:b/>
                <w:color w:val="333333"/>
                <w:kern w:val="0"/>
                <w:lang w:bidi="ar-SA"/>
              </w:rPr>
            </w:pPr>
            <w:r>
              <w:rPr>
                <w:rFonts w:hint="eastAsia" w:ascii="宋体" w:hAnsi="宋体" w:cs="Open Sans"/>
                <w:bCs/>
                <w:color w:val="333333"/>
                <w:kern w:val="0"/>
                <w:lang w:bidi="ar-SA"/>
              </w:rPr>
              <w:t>0</w:t>
            </w:r>
          </w:p>
        </w:tc>
      </w:tr>
      <w:tr w14:paraId="68912C58">
        <w:tblPrEx>
          <w:tblBorders>
            <w:top w:val="single" w:color="E7ECF1" w:sz="6" w:space="0"/>
            <w:left w:val="single" w:color="E7ECF1" w:sz="6" w:space="0"/>
            <w:bottom w:val="single" w:color="E7ECF1" w:sz="6" w:space="0"/>
            <w:right w:val="single" w:color="E7ECF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79" w:type="pct"/>
            <w:tcBorders>
              <w:top w:val="single" w:color="E7ECF1" w:sz="6" w:space="0"/>
              <w:left w:val="single" w:color="E7ECF1" w:sz="12" w:space="0"/>
              <w:bottom w:val="single" w:color="E7ECF1" w:sz="6" w:space="0"/>
              <w:right w:val="single" w:color="E7ECF1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6678C1">
            <w:pPr>
              <w:widowControl/>
              <w:suppressAutoHyphens w:val="0"/>
              <w:autoSpaceDN/>
              <w:spacing w:after="150"/>
              <w:jc w:val="center"/>
              <w:textAlignment w:val="auto"/>
              <w:rPr>
                <w:rFonts w:hint="eastAsia" w:ascii="宋体" w:hAnsi="宋体" w:cs="Open Sans"/>
                <w:b/>
                <w:color w:val="333333"/>
                <w:kern w:val="0"/>
                <w:lang w:bidi="ar-SA"/>
              </w:rPr>
            </w:pPr>
            <w:r>
              <w:rPr>
                <w:rFonts w:ascii="宋体" w:hAnsi="宋体" w:cs="Open Sans"/>
                <w:b/>
                <w:color w:val="333333"/>
                <w:kern w:val="0"/>
                <w:lang w:bidi="ar-SA"/>
              </w:rPr>
              <w:t>合计</w:t>
            </w:r>
          </w:p>
        </w:tc>
        <w:tc>
          <w:tcPr>
            <w:tcW w:w="3821" w:type="pct"/>
            <w:gridSpan w:val="4"/>
            <w:tcBorders>
              <w:top w:val="single" w:color="E7ECF1" w:sz="6" w:space="0"/>
              <w:left w:val="single" w:color="E7ECF1" w:sz="6" w:space="0"/>
              <w:bottom w:val="single" w:color="E7ECF1" w:sz="6" w:space="0"/>
              <w:right w:val="single" w:color="E7ECF1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335D5A">
            <w:pPr>
              <w:widowControl/>
              <w:suppressAutoHyphens w:val="0"/>
              <w:autoSpaceDN/>
              <w:spacing w:after="150"/>
              <w:jc w:val="left"/>
              <w:textAlignment w:val="auto"/>
              <w:rPr>
                <w:rFonts w:hint="eastAsia" w:ascii="宋体" w:hAnsi="宋体" w:cs="Open Sans"/>
                <w:bCs/>
                <w:color w:val="333333"/>
                <w:kern w:val="0"/>
                <w:lang w:bidi="ar-SA"/>
              </w:rPr>
            </w:pPr>
            <w:r>
              <w:rPr>
                <w:rFonts w:hint="eastAsia" w:ascii="宋体" w:hAnsi="宋体" w:cs="Open Sans"/>
                <w:bCs/>
                <w:color w:val="333333"/>
                <w:kern w:val="0"/>
                <w:lang w:bidi="ar-SA"/>
              </w:rPr>
              <w:t>20000</w:t>
            </w:r>
          </w:p>
        </w:tc>
      </w:tr>
      <w:tr w14:paraId="147BF9A9">
        <w:tblPrEx>
          <w:tblBorders>
            <w:top w:val="single" w:color="E7ECF1" w:sz="6" w:space="0"/>
            <w:left w:val="single" w:color="E7ECF1" w:sz="6" w:space="0"/>
            <w:bottom w:val="single" w:color="E7ECF1" w:sz="6" w:space="0"/>
            <w:right w:val="single" w:color="E7ECF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79" w:type="pct"/>
            <w:tcBorders>
              <w:top w:val="single" w:color="E7ECF1" w:sz="6" w:space="0"/>
              <w:left w:val="single" w:color="E7ECF1" w:sz="12" w:space="0"/>
              <w:bottom w:val="single" w:color="E7ECF1" w:sz="6" w:space="0"/>
              <w:right w:val="single" w:color="E7ECF1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0F0992">
            <w:pPr>
              <w:widowControl/>
              <w:suppressAutoHyphens w:val="0"/>
              <w:autoSpaceDN/>
              <w:spacing w:after="150"/>
              <w:jc w:val="center"/>
              <w:textAlignment w:val="auto"/>
              <w:rPr>
                <w:rFonts w:hint="eastAsia" w:ascii="宋体" w:hAnsi="宋体" w:cs="Open Sans"/>
                <w:b/>
                <w:color w:val="333333"/>
                <w:kern w:val="0"/>
                <w:lang w:bidi="ar-SA"/>
              </w:rPr>
            </w:pPr>
          </w:p>
        </w:tc>
        <w:tc>
          <w:tcPr>
            <w:tcW w:w="3821" w:type="pct"/>
            <w:gridSpan w:val="4"/>
            <w:tcBorders>
              <w:top w:val="single" w:color="E7ECF1" w:sz="6" w:space="0"/>
              <w:left w:val="single" w:color="E7ECF1" w:sz="6" w:space="0"/>
              <w:bottom w:val="single" w:color="E7ECF1" w:sz="6" w:space="0"/>
              <w:right w:val="single" w:color="E7ECF1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EF0ABE">
            <w:pPr>
              <w:widowControl/>
              <w:suppressAutoHyphens w:val="0"/>
              <w:autoSpaceDN/>
              <w:spacing w:after="150"/>
              <w:jc w:val="left"/>
              <w:textAlignment w:val="auto"/>
              <w:rPr>
                <w:rFonts w:hint="eastAsia" w:ascii="宋体" w:hAnsi="宋体" w:cs="Open Sans"/>
                <w:bCs/>
                <w:color w:val="333333"/>
                <w:kern w:val="0"/>
                <w:lang w:bidi="ar-SA"/>
              </w:rPr>
            </w:pPr>
          </w:p>
        </w:tc>
      </w:tr>
    </w:tbl>
    <w:p w14:paraId="245F2654">
      <w:pPr>
        <w:rPr>
          <w:rFonts w:hint="eastAsia" w:ascii="微软雅黑" w:hAnsi="微软雅黑" w:eastAsia="微软雅黑"/>
          <w:b/>
          <w:sz w:val="28"/>
          <w:szCs w:val="28"/>
        </w:rPr>
      </w:pPr>
    </w:p>
    <w:sectPr>
      <w:pgSz w:w="11906" w:h="16838"/>
      <w:pgMar w:top="1440" w:right="1080" w:bottom="1440" w:left="1080" w:header="720" w:footer="720" w:gutter="0"/>
      <w:cols w:space="720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21" w:usb3="00000000" w:csb0="000001BF" w:csb1="00000000"/>
  </w:font>
  <w:font w:name="Mangal">
    <w:altName w:val="AMGD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宋体, SimSun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Open Sans">
    <w:altName w:val="Times New Roman"/>
    <w:panose1 w:val="00000000000000000000"/>
    <w:charset w:val="00"/>
    <w:family w:val="swiss"/>
    <w:pitch w:val="default"/>
    <w:sig w:usb0="00000000" w:usb1="00000000" w:usb2="00000028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E5F4F8"/>
    <w:multiLevelType w:val="singleLevel"/>
    <w:tmpl w:val="03E5F4F8"/>
    <w:lvl w:ilvl="0" w:tentative="0">
      <w:start w:val="4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1D5CBB48"/>
    <w:multiLevelType w:val="multilevel"/>
    <w:tmpl w:val="1D5CBB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5FB98902"/>
    <w:multiLevelType w:val="singleLevel"/>
    <w:tmpl w:val="5FB98902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3">
    <w:nsid w:val="7AFE2153"/>
    <w:multiLevelType w:val="singleLevel"/>
    <w:tmpl w:val="7AFE2153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NotDisplayPageBoundaries w:val="1"/>
  <w:bordersDoNotSurroundHeader w:val="0"/>
  <w:bordersDoNotSurroundFooter w:val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M1YzFhMDNkNjVhYzNlNjZjZDA3ODAwZTVhMTE1OWEifQ=="/>
  </w:docVars>
  <w:rsids>
    <w:rsidRoot w:val="001C44B8"/>
    <w:rsid w:val="00001C52"/>
    <w:rsid w:val="0001405A"/>
    <w:rsid w:val="000340E5"/>
    <w:rsid w:val="0004732C"/>
    <w:rsid w:val="000532C8"/>
    <w:rsid w:val="000734D0"/>
    <w:rsid w:val="000F2504"/>
    <w:rsid w:val="000F7CEE"/>
    <w:rsid w:val="0010528A"/>
    <w:rsid w:val="00170F6E"/>
    <w:rsid w:val="001744B6"/>
    <w:rsid w:val="0017689B"/>
    <w:rsid w:val="001A67D1"/>
    <w:rsid w:val="001B6C44"/>
    <w:rsid w:val="001C44B8"/>
    <w:rsid w:val="001D12E8"/>
    <w:rsid w:val="001F478B"/>
    <w:rsid w:val="001F7F3D"/>
    <w:rsid w:val="00212DD8"/>
    <w:rsid w:val="0022645A"/>
    <w:rsid w:val="002D3582"/>
    <w:rsid w:val="003077A7"/>
    <w:rsid w:val="0031028F"/>
    <w:rsid w:val="00326B7D"/>
    <w:rsid w:val="003271BB"/>
    <w:rsid w:val="00332DC9"/>
    <w:rsid w:val="0033410A"/>
    <w:rsid w:val="00336940"/>
    <w:rsid w:val="00352B0A"/>
    <w:rsid w:val="00373264"/>
    <w:rsid w:val="003A1F4C"/>
    <w:rsid w:val="00414B55"/>
    <w:rsid w:val="0044620D"/>
    <w:rsid w:val="00451843"/>
    <w:rsid w:val="004A76DE"/>
    <w:rsid w:val="004B7E82"/>
    <w:rsid w:val="004E34BE"/>
    <w:rsid w:val="005201B3"/>
    <w:rsid w:val="00521B70"/>
    <w:rsid w:val="005B29F3"/>
    <w:rsid w:val="005B5141"/>
    <w:rsid w:val="005E3807"/>
    <w:rsid w:val="005E50CA"/>
    <w:rsid w:val="005F1DB4"/>
    <w:rsid w:val="006B2148"/>
    <w:rsid w:val="006F4064"/>
    <w:rsid w:val="008000AA"/>
    <w:rsid w:val="00823FF7"/>
    <w:rsid w:val="00842B13"/>
    <w:rsid w:val="00866652"/>
    <w:rsid w:val="00890817"/>
    <w:rsid w:val="008D6951"/>
    <w:rsid w:val="008E2830"/>
    <w:rsid w:val="00943E92"/>
    <w:rsid w:val="00964D1D"/>
    <w:rsid w:val="00985B6F"/>
    <w:rsid w:val="009D37B0"/>
    <w:rsid w:val="00A00582"/>
    <w:rsid w:val="00A32888"/>
    <w:rsid w:val="00A616C9"/>
    <w:rsid w:val="00A64780"/>
    <w:rsid w:val="00A65D91"/>
    <w:rsid w:val="00B05A6A"/>
    <w:rsid w:val="00B12D98"/>
    <w:rsid w:val="00B5315B"/>
    <w:rsid w:val="00B570B1"/>
    <w:rsid w:val="00B57B4C"/>
    <w:rsid w:val="00B83C2A"/>
    <w:rsid w:val="00BC1155"/>
    <w:rsid w:val="00BF2672"/>
    <w:rsid w:val="00C30F2E"/>
    <w:rsid w:val="00C7021A"/>
    <w:rsid w:val="00CE3E8D"/>
    <w:rsid w:val="00CE7049"/>
    <w:rsid w:val="00DB141C"/>
    <w:rsid w:val="00DD593C"/>
    <w:rsid w:val="00DE5988"/>
    <w:rsid w:val="00E27FE4"/>
    <w:rsid w:val="00E32123"/>
    <w:rsid w:val="00E54B88"/>
    <w:rsid w:val="00E91636"/>
    <w:rsid w:val="00EB4396"/>
    <w:rsid w:val="00EE600F"/>
    <w:rsid w:val="00F17B6B"/>
    <w:rsid w:val="00F21BE3"/>
    <w:rsid w:val="00FC5AE6"/>
    <w:rsid w:val="00FD7E64"/>
    <w:rsid w:val="0C9D5B56"/>
    <w:rsid w:val="1F85085E"/>
    <w:rsid w:val="3A1C2D13"/>
    <w:rsid w:val="439E42E3"/>
    <w:rsid w:val="4A8A4C8C"/>
    <w:rsid w:val="5320699E"/>
    <w:rsid w:val="632E2B36"/>
    <w:rsid w:val="70C6729F"/>
    <w:rsid w:val="72E95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autoSpaceDN w:val="0"/>
      <w:jc w:val="both"/>
      <w:textAlignment w:val="baseline"/>
    </w:pPr>
    <w:rPr>
      <w:rFonts w:ascii="Liberation Serif" w:hAnsi="Liberation Serif" w:eastAsia="宋体" w:cs="Mangal"/>
      <w:kern w:val="3"/>
      <w:sz w:val="24"/>
      <w:szCs w:val="24"/>
      <w:lang w:val="en-US" w:eastAsia="zh-CN" w:bidi="hi-IN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3"/>
    <w:semiHidden/>
    <w:unhideWhenUsed/>
    <w:uiPriority w:val="99"/>
    <w:pPr>
      <w:jc w:val="left"/>
    </w:pPr>
    <w:rPr>
      <w:szCs w:val="21"/>
    </w:rPr>
  </w:style>
  <w:style w:type="paragraph" w:styleId="3">
    <w:name w:val="footer"/>
    <w:basedOn w:val="1"/>
    <w:link w:val="1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6"/>
    </w:rPr>
  </w:style>
  <w:style w:type="paragraph" w:styleId="4">
    <w:name w:val="header"/>
    <w:basedOn w:val="1"/>
    <w:link w:val="1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6"/>
    </w:rPr>
  </w:style>
  <w:style w:type="paragraph" w:styleId="5">
    <w:name w:val="Normal (Web)"/>
    <w:basedOn w:val="1"/>
    <w:unhideWhenUsed/>
    <w:qFormat/>
    <w:uiPriority w:val="99"/>
    <w:pPr>
      <w:widowControl/>
      <w:suppressAutoHyphens w:val="0"/>
      <w:autoSpaceDN/>
      <w:spacing w:before="100" w:beforeAutospacing="1" w:after="100" w:afterAutospacing="1"/>
      <w:jc w:val="left"/>
      <w:textAlignment w:val="auto"/>
    </w:pPr>
    <w:rPr>
      <w:rFonts w:ascii="宋体" w:hAnsi="宋体" w:cs="宋体"/>
      <w:kern w:val="0"/>
      <w:lang w:bidi="ar-SA"/>
    </w:rPr>
  </w:style>
  <w:style w:type="paragraph" w:styleId="6">
    <w:name w:val="annotation subject"/>
    <w:basedOn w:val="2"/>
    <w:next w:val="2"/>
    <w:link w:val="14"/>
    <w:semiHidden/>
    <w:unhideWhenUsed/>
    <w:uiPriority w:val="99"/>
    <w:rPr>
      <w:b/>
      <w:bCs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  <w:bCs/>
    </w:rPr>
  </w:style>
  <w:style w:type="character" w:styleId="11">
    <w:name w:val="annotation reference"/>
    <w:basedOn w:val="9"/>
    <w:semiHidden/>
    <w:unhideWhenUsed/>
    <w:qFormat/>
    <w:uiPriority w:val="99"/>
    <w:rPr>
      <w:sz w:val="21"/>
      <w:szCs w:val="21"/>
    </w:rPr>
  </w:style>
  <w:style w:type="paragraph" w:customStyle="1" w:styleId="12">
    <w:name w:val="Standard"/>
    <w:qFormat/>
    <w:uiPriority w:val="0"/>
    <w:pPr>
      <w:widowControl w:val="0"/>
      <w:suppressAutoHyphens/>
      <w:autoSpaceDN w:val="0"/>
      <w:jc w:val="both"/>
      <w:textAlignment w:val="baseline"/>
    </w:pPr>
    <w:rPr>
      <w:rFonts w:ascii="Times New Roman" w:hAnsi="Times New Roman" w:eastAsia="宋体, SimSun" w:cs="Times New Roman"/>
      <w:kern w:val="3"/>
      <w:sz w:val="21"/>
      <w:szCs w:val="24"/>
      <w:lang w:val="en-US" w:eastAsia="zh-CN" w:bidi="ar-SA"/>
    </w:rPr>
  </w:style>
  <w:style w:type="character" w:customStyle="1" w:styleId="13">
    <w:name w:val="批注文字 字符"/>
    <w:basedOn w:val="9"/>
    <w:link w:val="2"/>
    <w:semiHidden/>
    <w:qFormat/>
    <w:uiPriority w:val="99"/>
    <w:rPr>
      <w:rFonts w:ascii="Liberation Serif" w:hAnsi="Liberation Serif" w:eastAsia="宋体" w:cs="Mangal"/>
      <w:kern w:val="3"/>
      <w:sz w:val="24"/>
      <w:szCs w:val="21"/>
      <w:lang w:bidi="hi-IN"/>
    </w:rPr>
  </w:style>
  <w:style w:type="character" w:customStyle="1" w:styleId="14">
    <w:name w:val="批注主题 字符"/>
    <w:basedOn w:val="13"/>
    <w:link w:val="6"/>
    <w:semiHidden/>
    <w:qFormat/>
    <w:uiPriority w:val="99"/>
    <w:rPr>
      <w:rFonts w:ascii="Liberation Serif" w:hAnsi="Liberation Serif" w:eastAsia="宋体" w:cs="Mangal"/>
      <w:b/>
      <w:bCs/>
      <w:kern w:val="3"/>
      <w:sz w:val="24"/>
      <w:szCs w:val="21"/>
      <w:lang w:bidi="hi-IN"/>
    </w:rPr>
  </w:style>
  <w:style w:type="paragraph" w:styleId="15">
    <w:name w:val="List Paragraph"/>
    <w:basedOn w:val="1"/>
    <w:qFormat/>
    <w:uiPriority w:val="34"/>
    <w:pPr>
      <w:ind w:firstLine="420" w:firstLineChars="200"/>
    </w:pPr>
    <w:rPr>
      <w:szCs w:val="21"/>
    </w:rPr>
  </w:style>
  <w:style w:type="character" w:customStyle="1" w:styleId="16">
    <w:name w:val="页眉 字符"/>
    <w:basedOn w:val="9"/>
    <w:link w:val="4"/>
    <w:uiPriority w:val="99"/>
    <w:rPr>
      <w:rFonts w:ascii="Liberation Serif" w:hAnsi="Liberation Serif" w:eastAsia="宋体" w:cs="Mangal"/>
      <w:kern w:val="3"/>
      <w:sz w:val="18"/>
      <w:szCs w:val="16"/>
      <w:lang w:bidi="hi-IN"/>
    </w:rPr>
  </w:style>
  <w:style w:type="character" w:customStyle="1" w:styleId="17">
    <w:name w:val="页脚 字符"/>
    <w:basedOn w:val="9"/>
    <w:link w:val="3"/>
    <w:uiPriority w:val="99"/>
    <w:rPr>
      <w:rFonts w:ascii="Liberation Serif" w:hAnsi="Liberation Serif" w:eastAsia="宋体" w:cs="Mangal"/>
      <w:kern w:val="3"/>
      <w:sz w:val="18"/>
      <w:szCs w:val="16"/>
      <w:lang w:bidi="hi-IN"/>
    </w:rPr>
  </w:style>
  <w:style w:type="paragraph" w:customStyle="1" w:styleId="18">
    <w:name w:val="正文1"/>
    <w:qFormat/>
    <w:uiPriority w:val="0"/>
    <w:pPr>
      <w:jc w:val="both"/>
    </w:pPr>
    <w:rPr>
      <w:rFonts w:ascii="等线" w:hAnsi="等线" w:eastAsia="宋体" w:cs="宋体"/>
      <w:kern w:val="2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00A18-2AC7-489D-8F34-C3EA003265C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2284</Words>
  <Characters>2496</Characters>
  <Lines>3</Lines>
  <Paragraphs>1</Paragraphs>
  <TotalTime>45</TotalTime>
  <ScaleCrop>false</ScaleCrop>
  <LinksUpToDate>false</LinksUpToDate>
  <CharactersWithSpaces>2498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2024-05-19T10:59:00Z</dcterms:created>
  <dc:creator>MY fke</dc:creator>
  <cp:lastModifiedBy>WPS_1726031649</cp:lastModifiedBy>
  <dcterms:modified xsi:type="dcterms:W3CDTF">2025-04-28T11:49:56Z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4E39E93B032648838173A56A2D682B89_13</vt:lpwstr>
  </property>
  <property fmtid="{D5CDD505-2E9C-101B-9397-08002B2CF9AE}" pid="4" name="KSOTemplateDocerSaveRecord">
    <vt:lpwstr>eyJoZGlkIjoiZDlhZTJjY2IwZWFjZTU4YzJiNmEwZmMxYTk2NDIwMDciLCJ1c2VySWQiOiIxNjMzNDgxMjMzIn0=</vt:lpwstr>
  </property>
</Properties>
</file>