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IEIE와 EMF-DINOv2 실험 비교 및 논문 통합 방안</w:t>
      </w:r>
    </w:p>
    <w:p>
      <w:r>
        <w:t>작성일: 2026년 10월 13일</w:t>
      </w:r>
    </w:p>
    <w:p>
      <w:r>
        <w:t>실험 비교 및 논문 통합 계획 보고서 · 추가 연결 실험은 제안 단계</w:t>
      </w:r>
    </w:p>
    <w:p>
      <w:pPr>
        <w:pStyle w:val="Heading1"/>
      </w:pPr>
      <w:r>
        <w:t>요약</w:t>
      </w:r>
    </w:p>
    <w:p>
      <w:r>
        <w:t>IEIE는 무작위 초기화 대비 인코더 전이 효과를 반복 시드와 데이터 규모로 확인했고, EMF-DINOv2는 일반 영상 사전학습 이후 전이 범위와 적응 조합을 탐색했다. 분할과 평가 규칙이 달라 절대 점수의 직접 순위 비교는 불가능하다. 공통 프로토콜의 연결 실험을 추가하여 통합하거나, 별도 프로토콜의 사례 연구로 구분하여 결합할 수 있다.</w:t>
      </w:r>
    </w:p>
    <w:p>
      <w:r>
        <w:t>주제어: 인코더 전이, DINOv2, 디코더 적응, 실험 비교, 논문 통합</w:t>
      </w:r>
    </w:p>
    <w:p>
      <w:pPr>
        <w:pStyle w:val="Heading1"/>
      </w:pPr>
      <w:r>
        <w:t>핵심 판단</w:t>
      </w:r>
    </w:p>
    <w:p>
      <w:r>
        <w:t>두 연구는 전파 지도에서 학습한 표현을 지향성 안테나 전자기장 영상 예측에 활용한다는 공통 주제를 갖는다. IEIE는 무작위 초기화 대비 인코더 전이의 효과를 데이터 규모와 반복 시드로 검증하였다. EMF-DINOv2는 일반 영상 사전학습 모델에 전파 지도 학습을 추가하고, 전이 범위와 적응 방식을 바꾸었을 때의 효과를 탐색하였다. 하나의 논문에서는 이를 초기 표현, 전이 범위 및 타깃 적응 방식에 따른 전이 효과라는 연구 질문으로 연결할 수 있다.</w:t>
      </w:r>
    </w:p>
    <w:p>
      <w:r>
        <w:t>현재 절대 MAE를 나란히 놓고 모델 우위를 주장할 수는 없다. 분할, 입력, 학습 손실, 평가 영역 및 집계 규칙이 다르기 때문이다. 기존 결과는 각 프로토콜의 근거로 보존하고, 공통 프로토콜의 연결 실험을 추가하는 통합안을 권한다. 추가 실험 없이 통합하는 경우에는 두 개의 사례 연구로 명확히 구분해야 한다.</w:t>
      </w:r>
    </w:p>
    <w:p>
      <w:pPr>
        <w:pStyle w:val="Heading1"/>
      </w:pPr>
      <w:r>
        <w:t>비교 범위와 근거 수준</w:t>
      </w:r>
    </w:p>
    <w:p>
      <w:r>
        <w:t>IEIE는 완료된 본 실험과 추가 실험 결과를 대상으로 한다. 본 CNN 실험은 타깃 시드 5개와 소스 시드 3개를 사용하였고, HRFormer 추가 비교는 타깃 시드 3개와 소스 시드 하나를 사용하였다. 추가 비교 항목 152개와 표본 지표 19,152개에 대한 최종 검증이 통과하였다. 여기서 152개는 기존 체크포인트를 재사용한 조건까지 포함한 비교 항목 수이며, 새 학습 152회를 뜻하지 않는다.</w:t>
      </w:r>
    </w:p>
    <w:p>
      <w:r>
        <w:t>팀원 실험은 2026년 10월 12일의 n2i 반영 결과를 주 대상으로 하며, 이전 입력 버전은 변화 분석에만 사용한다. 현재 EMF-DINOv2 폴더에는 코드와 결과 문서는 있지만 문서가 참조하는 save 폴더, 원본 평가 JSON 및 체크포인트는 없다. 따라서 팀원 수치는 문서에 보고된 결과이며, 이번 비교에서 원본 지표 재계산이나 재로드 추론까지 검증한 값은 아니다.</w:t>
      </w:r>
    </w:p>
    <w:p>
      <w:r>
        <w:t>양쪽 모두 PNG/255의 정규화 영상 단위를 평가한다. 절대 전계 강도, 실제 노출 기준 또는 물리 단위의 정확도 개선으로 환산하지 않는다. 소스와 타깃의 지리적 독립성 및 타깃의 물리 단위 역변환은 확인되지 않았다.</w:t>
      </w:r>
    </w:p>
    <w:p>
      <w:pPr>
        <w:pStyle w:val="Heading1"/>
      </w:pPr>
      <w:r>
        <w:t>연구 질문과 실험 구성</w:t>
      </w:r>
    </w:p>
    <w:p>
      <w:pPr>
        <w:pStyle w:val="Caption"/>
      </w:pPr>
      <w:r>
        <w:t>표 1</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t>항목</w:t>
            </w:r>
          </w:p>
        </w:tc>
        <w:tc>
          <w:tcPr>
            <w:tcW w:type="dxa" w:w="2880"/>
          </w:tcPr>
          <w:p>
            <w:r>
              <w:t>IEIE</w:t>
            </w:r>
          </w:p>
        </w:tc>
        <w:tc>
          <w:tcPr>
            <w:tcW w:type="dxa" w:w="2880"/>
          </w:tcPr>
          <w:p>
            <w:r>
              <w:t>EMF-DINOv2 최신 실험</w:t>
            </w:r>
          </w:p>
        </w:tc>
      </w:tr>
      <w:tr>
        <w:tc>
          <w:tcPr>
            <w:tcW w:type="dxa" w:w="2880"/>
          </w:tcPr>
          <w:p>
            <w:r>
              <w:t>주 연구 질문</w:t>
            </w:r>
          </w:p>
        </w:tc>
        <w:tc>
          <w:tcPr>
            <w:tcW w:type="dxa" w:w="2880"/>
          </w:tcPr>
          <w:p>
            <w:r>
              <w:t>무작위 초기화 대비 소스 인코더 전이 효과</w:t>
            </w:r>
          </w:p>
        </w:tc>
        <w:tc>
          <w:tcPr>
            <w:tcW w:type="dxa" w:w="2880"/>
          </w:tcPr>
          <w:p>
            <w:r>
              <w:t>공개 DINOv2 이후 추가 소스 학습과 전이 범위의 효과</w:t>
            </w:r>
          </w:p>
        </w:tc>
      </w:tr>
      <w:tr>
        <w:tc>
          <w:tcPr>
            <w:tcW w:type="dxa" w:w="2880"/>
          </w:tcPr>
          <w:p>
            <w:r>
              <w:t>백본과 디코더</w:t>
            </w:r>
          </w:p>
        </w:tc>
        <w:tc>
          <w:tcPr>
            <w:tcW w:type="dxa" w:w="2880"/>
          </w:tcPr>
          <w:p>
            <w:r>
              <w:t>조건부 소형 U-Net, 추가 HRFormer 비교</w:t>
            </w:r>
          </w:p>
        </w:tc>
        <w:tc>
          <w:tcPr>
            <w:tcW w:type="dxa" w:w="2880"/>
          </w:tcPr>
          <w:p>
            <w:r>
              <w:t>DINOv2 ViT-B/14 reg4와 DPT</w:t>
            </w:r>
          </w:p>
        </w:tc>
      </w:tr>
      <w:tr>
        <w:tc>
          <w:tcPr>
            <w:tcW w:type="dxa" w:w="2880"/>
          </w:tcPr>
          <w:p>
            <w:r>
              <w:t>기준 모델</w:t>
            </w:r>
          </w:p>
        </w:tc>
        <w:tc>
          <w:tcPr>
            <w:tcW w:type="dxa" w:w="2880"/>
          </w:tcPr>
          <w:p>
            <w:r>
              <w:t>무작위 초기화</w:t>
            </w:r>
          </w:p>
        </w:tc>
        <w:tc>
          <w:tcPr>
            <w:tcW w:type="dxa" w:w="2880"/>
          </w:tcPr>
          <w:p>
            <w:r>
              <w:t>공개 DINOv2 초기화이며 scratch가 아님</w:t>
            </w:r>
          </w:p>
        </w:tc>
      </w:tr>
      <w:tr>
        <w:tc>
          <w:tcPr>
            <w:tcW w:type="dxa" w:w="2880"/>
          </w:tcPr>
          <w:p>
            <w:r>
              <w:t>소스 학습</w:t>
            </w:r>
          </w:p>
        </w:tc>
        <w:tc>
          <w:tcPr>
            <w:tcW w:type="dxa" w:w="2880"/>
          </w:tcPr>
          <w:p>
            <w:r>
              <w:t>DPM 전파 지도, 본 실험 1500회 갱신</w:t>
            </w:r>
          </w:p>
        </w:tc>
        <w:tc>
          <w:tcPr>
            <w:tcW w:type="dxa" w:w="2880"/>
          </w:tcPr>
          <w:p>
            <w:r>
              <w:t>DPM 전파 지도, L1과 M1 비교</w:t>
            </w:r>
          </w:p>
        </w:tc>
      </w:tr>
      <w:tr>
        <w:tc>
          <w:tcPr>
            <w:tcW w:type="dxa" w:w="2880"/>
          </w:tcPr>
          <w:p>
            <w:r>
              <w:t>타깃 적응</w:t>
            </w:r>
          </w:p>
        </w:tc>
        <w:tc>
          <w:tcPr>
            <w:tcW w:type="dxa" w:w="2880"/>
          </w:tcPr>
          <w:p>
            <w:r>
              <w:t>인코더 포함 전체 미세조정</w:t>
            </w:r>
          </w:p>
        </w:tc>
        <w:tc>
          <w:tcPr>
            <w:tcW w:type="dxa" w:w="2880"/>
          </w:tcPr>
          <w:p>
            <w:r>
              <w:t>인코더 LoRA와 일부 모듈 학습, 디코더 전체 학습 또는 전이·동결·LoRA</w:t>
            </w:r>
          </w:p>
        </w:tc>
      </w:tr>
      <w:tr>
        <w:tc>
          <w:tcPr>
            <w:tcW w:type="dxa" w:w="2880"/>
          </w:tcPr>
          <w:p>
            <w:r>
              <w:t>전이 범위</w:t>
            </w:r>
          </w:p>
        </w:tc>
        <w:tc>
          <w:tcPr>
            <w:tcW w:type="dxa" w:w="2880"/>
          </w:tcPr>
          <w:p>
            <w:r>
              <w:t>인코더만 복사, 디코더와 조건화 새 초기화</w:t>
            </w:r>
          </w:p>
        </w:tc>
        <w:tc>
          <w:tcPr>
            <w:tcW w:type="dxa" w:w="2880"/>
          </w:tcPr>
          <w:p>
            <w:r>
              <w:t>인코더만 또는 인코더와 디코더 복사</w:t>
            </w:r>
          </w:p>
        </w:tc>
      </w:tr>
      <w:tr>
        <w:tc>
          <w:tcPr>
            <w:tcW w:type="dxa" w:w="2880"/>
          </w:tcPr>
          <w:p>
            <w:r>
              <w:t>반복</w:t>
            </w:r>
          </w:p>
        </w:tc>
        <w:tc>
          <w:tcPr>
            <w:tcW w:type="dxa" w:w="2880"/>
          </w:tcPr>
          <w:p>
            <w:r>
              <w:t>CNN 타깃 시드 5개, 소스 시드 3개</w:t>
            </w:r>
          </w:p>
        </w:tc>
        <w:tc>
          <w:tcPr>
            <w:tcW w:type="dxa" w:w="2880"/>
          </w:tcPr>
          <w:p>
            <w:r>
              <w:t>타깃 시드 42와 소스 시드 142의 단일 실행</w:t>
            </w:r>
          </w:p>
        </w:tc>
      </w:tr>
      <w:tr>
        <w:tc>
          <w:tcPr>
            <w:tcW w:type="dxa" w:w="2880"/>
          </w:tcPr>
          <w:p>
            <w:r>
              <w:t>주요 추가 분석</w:t>
            </w:r>
          </w:p>
        </w:tc>
        <w:tc>
          <w:tcPr>
            <w:tcW w:type="dxa" w:w="2880"/>
          </w:tcPr>
          <w:p>
            <w:r>
              <w:t>데이터 규모, 패턴 정보, 설정 수, 소스 민감도</w:t>
            </w:r>
          </w:p>
        </w:tc>
        <w:tc>
          <w:tcPr>
            <w:tcW w:type="dxa" w:w="2880"/>
          </w:tcPr>
          <w:p>
            <w:r>
              <w:t>소스·타깃 손실, 디코더 적응, n2i 입력 버전</w:t>
            </w:r>
          </w:p>
        </w:tc>
      </w:tr>
    </w:tbl>
    <w:p>
      <w:r>
        <w:t>두 연구의 BASE를 같은 의미로 사용하면 안 된다. IEIE의 비교는 전파 지도 사전학습과 무작위 초기화 사이의 차이이다. 팀원의 비교는 일반 영상 사전학습을 이미 받은 모델에서 전파 지도 추가 학습의 차이이다. 일반 영상 사전학습과 전파 지도 사전학습 자체의 우열을 분리한 실험은 아니다.</w:t>
      </w:r>
    </w:p>
    <w:p>
      <w:pPr>
        <w:pStyle w:val="Heading1"/>
      </w:pPr>
      <w:r>
        <w:t>데이터와 평가 규칙의 차이</w:t>
      </w:r>
    </w:p>
    <w:p>
      <w:pPr>
        <w:pStyle w:val="Caption"/>
      </w:pPr>
      <w:r>
        <w:t>표 2</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t>항목</w:t>
            </w:r>
          </w:p>
        </w:tc>
        <w:tc>
          <w:tcPr>
            <w:tcW w:type="dxa" w:w="2880"/>
          </w:tcPr>
          <w:p>
            <w:r>
              <w:t>IEIE</w:t>
            </w:r>
          </w:p>
        </w:tc>
        <w:tc>
          <w:tcPr>
            <w:tcW w:type="dxa" w:w="2880"/>
          </w:tcPr>
          <w:p>
            <w:r>
              <w:t>EMF-DINOv2 최신 실험</w:t>
            </w:r>
          </w:p>
        </w:tc>
      </w:tr>
      <w:tr>
        <w:tc>
          <w:tcPr>
            <w:tcW w:type="dxa" w:w="2880"/>
          </w:tcPr>
          <w:p>
            <w:r>
              <w:t>타깃 기본 자료</w:t>
            </w:r>
          </w:p>
        </w:tc>
        <w:tc>
          <w:tcPr>
            <w:tcW w:type="dxa" w:w="2880"/>
          </w:tcPr>
          <w:p>
            <w:r>
              <w:t>영상 768개, 입력 영상 그룹 86개</w:t>
            </w:r>
          </w:p>
        </w:tc>
        <w:tc>
          <w:tcPr>
            <w:tcW w:type="dxa" w:w="2880"/>
          </w:tcPr>
          <w:p>
            <w:r>
              <w:t>영상 768개, 원본 건물 ID 86개</w:t>
            </w:r>
          </w:p>
        </w:tc>
      </w:tr>
      <w:tr>
        <w:tc>
          <w:tcPr>
            <w:tcW w:type="dxa" w:w="2880"/>
          </w:tcPr>
          <w:p>
            <w:r>
              <w:t>학습·검증·테스트 그룹</w:t>
            </w:r>
          </w:p>
        </w:tc>
        <w:tc>
          <w:tcPr>
            <w:tcW w:type="dxa" w:w="2880"/>
          </w:tcPr>
          <w:p>
            <w:r>
              <w:t>60 / 12 / 14</w:t>
            </w:r>
          </w:p>
        </w:tc>
        <w:tc>
          <w:tcPr>
            <w:tcW w:type="dxa" w:w="2880"/>
          </w:tcPr>
          <w:p>
            <w:r>
              <w:t>68 / 9 / 9</w:t>
            </w:r>
          </w:p>
        </w:tc>
      </w:tr>
      <w:tr>
        <w:tc>
          <w:tcPr>
            <w:tcW w:type="dxa" w:w="2880"/>
          </w:tcPr>
          <w:p>
            <w:r>
              <w:t>학습·검증·테스트 영상</w:t>
            </w:r>
          </w:p>
        </w:tc>
        <w:tc>
          <w:tcPr>
            <w:tcW w:type="dxa" w:w="2880"/>
          </w:tcPr>
          <w:p>
            <w:r>
              <w:t>534 / 108 / 126</w:t>
            </w:r>
          </w:p>
        </w:tc>
        <w:tc>
          <w:tcPr>
            <w:tcW w:type="dxa" w:w="2880"/>
          </w:tcPr>
          <w:p>
            <w:r>
              <w:t>609 / 78 / 81</w:t>
            </w:r>
          </w:p>
        </w:tc>
      </w:tr>
      <w:tr>
        <w:tc>
          <w:tcPr>
            <w:tcW w:type="dxa" w:w="2880"/>
          </w:tcPr>
          <w:p>
            <w:r>
              <w:t>소스 지도 목록</w:t>
            </w:r>
          </w:p>
        </w:tc>
        <w:tc>
          <w:tcPr>
            <w:tcW w:type="dxa" w:w="2880"/>
          </w:tcPr>
          <w:p>
            <w:r>
              <w:t>로컬 701개</w:t>
            </w:r>
          </w:p>
        </w:tc>
        <w:tc>
          <w:tcPr>
            <w:tcW w:type="dxa" w:w="2880"/>
          </w:tcPr>
          <w:p>
            <w:r>
              <w:t>지도 0∼699의 700개, 지도 700 제외</w:t>
            </w:r>
          </w:p>
        </w:tc>
      </w:tr>
      <w:tr>
        <w:tc>
          <w:tcPr>
            <w:tcW w:type="dxa" w:w="2880"/>
          </w:tcPr>
          <w:p>
            <w:r>
              <w:t>공간 입력</w:t>
            </w:r>
          </w:p>
        </w:tc>
        <w:tc>
          <w:tcPr>
            <w:tcW w:type="dxa" w:w="2880"/>
          </w:tcPr>
          <w:p>
            <w:r>
              <w:t>B/G가 모두 0인 형상 대리 채널과 위치 픽셀</w:t>
            </w:r>
          </w:p>
        </w:tc>
        <w:tc>
          <w:tcPr>
            <w:tcW w:type="dxa" w:w="2880"/>
          </w:tcPr>
          <w:p>
            <w:r>
              <w:t>B채널이 0인 점유 대리 채널, Gaussian, 로그 거리</w:t>
            </w:r>
          </w:p>
        </w:tc>
      </w:tr>
      <w:tr>
        <w:tc>
          <w:tcPr>
            <w:tcW w:type="dxa" w:w="2880"/>
          </w:tcPr>
          <w:p>
            <w:r>
              <w:t>스칼라</w:t>
            </w:r>
          </w:p>
        </w:tc>
        <w:tc>
          <w:tcPr>
            <w:tcW w:type="dxa" w:w="2880"/>
          </w:tcPr>
          <w:p>
            <w:r>
              <w:t>좌표·높이·틸트·전력·주기적 방위각 7개</w:t>
            </w:r>
          </w:p>
        </w:tc>
        <w:tc>
          <w:tcPr>
            <w:tcW w:type="dxa" w:w="2880"/>
          </w:tcPr>
          <w:p>
            <w:r>
              <w:t>높이·전력·틸트·주기적 방위각 5개</w:t>
            </w:r>
          </w:p>
        </w:tc>
      </w:tr>
      <w:tr>
        <w:tc>
          <w:tcPr>
            <w:tcW w:type="dxa" w:w="2880"/>
          </w:tcPr>
          <w:p>
            <w:r>
              <w:t>패턴</w:t>
            </w:r>
          </w:p>
        </w:tc>
        <w:tc>
          <w:tcPr>
            <w:tcW w:type="dxa" w:w="2880"/>
          </w:tcPr>
          <w:p>
            <w:r>
              <w:t>수평·수직 각 360개의 1차원 입력</w:t>
            </w:r>
          </w:p>
        </w:tc>
        <w:tc>
          <w:tcPr>
            <w:tcW w:type="dxa" w:w="2880"/>
          </w:tcPr>
          <w:p>
            <w:r>
              <w:t>수평·수직 패턴 영상과 n2i 방향 영역</w:t>
            </w:r>
          </w:p>
        </w:tc>
      </w:tr>
      <w:tr>
        <w:tc>
          <w:tcPr>
            <w:tcW w:type="dxa" w:w="2880"/>
          </w:tcPr>
          <w:p>
            <w:r>
              <w:t>학습 손실</w:t>
            </w:r>
          </w:p>
        </w:tc>
        <w:tc>
          <w:tcPr>
            <w:tcW w:type="dxa" w:w="2880"/>
          </w:tcPr>
          <w:p>
            <w:r>
              <w:t>전체 래스터 L1</w:t>
            </w:r>
          </w:p>
        </w:tc>
        <w:tc>
          <w:tcPr>
            <w:tcW w:type="dxa" w:w="2880"/>
          </w:tcPr>
          <w:p>
            <w:r>
              <w:t>masked L1 또는 M1 조합</w:t>
            </w:r>
          </w:p>
        </w:tc>
      </w:tr>
      <w:tr>
        <w:tc>
          <w:tcPr>
            <w:tcW w:type="dxa" w:w="2880"/>
          </w:tcPr>
          <w:p>
            <w:r>
              <w:t>주 MAE</w:t>
            </w:r>
          </w:p>
        </w:tc>
        <w:tc>
          <w:tcPr>
            <w:tcW w:type="dxa" w:w="2880"/>
          </w:tcPr>
          <w:p>
            <w:r>
              <w:t>전체 픽셀에서 표본 평균 후 그룹 동일 가중 평균</w:t>
            </w:r>
          </w:p>
        </w:tc>
        <w:tc>
          <w:tcPr>
            <w:tcW w:type="dxa" w:w="2880"/>
          </w:tcPr>
          <w:p>
            <w:r>
              <w:t>마스크 유효 픽셀 전체 집계</w:t>
            </w:r>
          </w:p>
        </w:tc>
      </w:tr>
      <w:tr>
        <w:tc>
          <w:tcPr>
            <w:tcW w:type="dxa" w:w="2880"/>
          </w:tcPr>
          <w:p>
            <w:r>
              <w:t>SSIM</w:t>
            </w:r>
          </w:p>
        </w:tc>
        <w:tc>
          <w:tcPr>
            <w:tcW w:type="dxa" w:w="2880"/>
          </w:tcPr>
          <w:p>
            <w:r>
              <w:t>전체 래스터의 영상 SSIM</w:t>
            </w:r>
          </w:p>
        </w:tc>
        <w:tc>
          <w:tcPr>
            <w:tcW w:type="dxa" w:w="2880"/>
          </w:tcPr>
          <w:p>
            <w:r>
              <w:t>유효 마스크의 완전한 윈도 지지 영역에서 영상 평균</w:t>
            </w:r>
          </w:p>
        </w:tc>
      </w:tr>
      <w:tr>
        <w:tc>
          <w:tcPr>
            <w:tcW w:type="dxa" w:w="2880"/>
          </w:tcPr>
          <w:p>
            <w:r>
              <w:t>출력</w:t>
            </w:r>
          </w:p>
        </w:tc>
        <w:tc>
          <w:tcPr>
            <w:tcW w:type="dxa" w:w="2880"/>
          </w:tcPr>
          <w:p>
            <w:r>
              <w:t>시그모이드로 제한</w:t>
            </w:r>
          </w:p>
        </w:tc>
        <w:tc>
          <w:tcPr>
            <w:tcW w:type="dxa" w:w="2880"/>
          </w:tcPr>
          <w:p>
            <w:r>
              <w:t>선형 출력, 평가 clamp 미사용</w:t>
            </w:r>
          </w:p>
        </w:tc>
      </w:tr>
    </w:tbl>
    <w:p>
      <w:r>
        <w:t>팀원 L1은 마스크 기반 L1이고, M1은 0.5×smooth L1(beta=0.05)+0.2×MS-SSIM+0.3×GDL이다. M1의 결과를 SSIM이나 경사 손실 하나의 효과로 해석하지 않는다. n2i는 송신기 위치, 방위각 및 파일명에서 읽은 빔 폭을 이용한 이진 방향 영역이며 실제 물리적 빔 폭의 검증을 뜻하지 않는다.</w:t>
      </w:r>
    </w:p>
    <w:p>
      <w:r>
        <w:t>팀원의 평가 마스크는 원본 입력 B채널로 생성하여 정답이 양수인 위치로 마스크를 만드는 방식과 구분된다. 다만 이를 검증된 실제 실외 영역으로 확정할 수는 없다. 우리 실험이 사용하지 않은 저장 마스크와 팀원의 원본 입력 기반 마스크는 서로 다른 자료이다.</w:t>
      </w:r>
    </w:p>
    <w:p>
      <w:r>
        <w:t>팀원 분할 코드와 우리 목록으로 재구성한 테스트 건물은 23, 29, 31, 59, 68, 78, 81, 88, 100이다. 문서의 건물별 표와 일치하며, 우리 테스트와 공통인 건물은 23 하나이다. 나머지 중 6개는 우리 학습, 2개는 우리 검증에 속한다. 이는 각 실험 내부 누수를 뜻하지 않지만, 기존 우리 모델을 팀원 테스트에 그대로 평가하는 교차 비교가 공정하지 않음을 뜻한다. 원본 팀원 manifest를 확보한 뒤 분할 대응을 다시 확인해야 한다.</w:t>
      </w:r>
    </w:p>
    <w:p>
      <w:r>
        <w:t>따라서 팀원 MAE 0.073340과 우리 CNN 0.072139 또는 HRFormer 0.056937을 비교해 승자를 정할 수 없다. 마스크와 집계 방식이 다르면 같은 예측도 다른 점수를 얻으며, 형상 분할이 달라 평가 난도도 달라진다. 마스크 평가가 더 쉽거나 더 어렵다는 방향도 현재 수치만으로 확정할 수 없다.</w:t>
      </w:r>
    </w:p>
    <w:p>
      <w:pPr>
        <w:pStyle w:val="Heading1"/>
      </w:pPr>
      <w:r>
        <w:t>관측 결과와 해석</w:t>
      </w:r>
    </w:p>
    <w:p>
      <w:r>
        <w:t>IEIE의 조건부 CNN 인코더 전이는 네 데이터 규모 모두에서 평균 MAE를 낮췄다. 25% 조건의 차이는 사전 지정한 주 평가항목이다. 다른 데이터 규모 및 추가 실험 결과는 해당 설계 범위에 맞춰 보조적으로 해석한다.</w:t>
      </w:r>
    </w:p>
    <w:p>
      <w:pPr>
        <w:pStyle w:val="Caption"/>
      </w:pPr>
      <w:r>
        <w:t>표 3</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t>IEIE 조건</w:t>
            </w:r>
          </w:p>
        </w:tc>
        <w:tc>
          <w:tcPr>
            <w:tcW w:type="dxa" w:w="2160"/>
          </w:tcPr>
          <w:p>
            <w:r>
              <w:t>무작위 초기화 MAE</w:t>
            </w:r>
          </w:p>
        </w:tc>
        <w:tc>
          <w:tcPr>
            <w:tcW w:type="dxa" w:w="2160"/>
          </w:tcPr>
          <w:p>
            <w:r>
              <w:t>인코더 전이 MAE</w:t>
            </w:r>
          </w:p>
        </w:tc>
        <w:tc>
          <w:tcPr>
            <w:tcW w:type="dxa" w:w="2160"/>
          </w:tcPr>
          <w:p>
            <w:r>
              <w:t>상대 감소율</w:t>
            </w:r>
          </w:p>
        </w:tc>
      </w:tr>
      <w:tr>
        <w:tc>
          <w:tcPr>
            <w:tcW w:type="dxa" w:w="2160"/>
          </w:tcPr>
          <w:p>
            <w:r>
              <w:t>CNN 10%</w:t>
            </w:r>
          </w:p>
        </w:tc>
        <w:tc>
          <w:tcPr>
            <w:tcW w:type="dxa" w:w="2160"/>
          </w:tcPr>
          <w:p>
            <w:r>
              <w:t>0.092433</w:t>
            </w:r>
          </w:p>
        </w:tc>
        <w:tc>
          <w:tcPr>
            <w:tcW w:type="dxa" w:w="2160"/>
          </w:tcPr>
          <w:p>
            <w:r>
              <w:t>0.089948</w:t>
            </w:r>
          </w:p>
        </w:tc>
        <w:tc>
          <w:tcPr>
            <w:tcW w:type="dxa" w:w="2160"/>
          </w:tcPr>
          <w:p>
            <w:r>
              <w:t>2.69%</w:t>
            </w:r>
          </w:p>
        </w:tc>
      </w:tr>
      <w:tr>
        <w:tc>
          <w:tcPr>
            <w:tcW w:type="dxa" w:w="2160"/>
          </w:tcPr>
          <w:p>
            <w:r>
              <w:t>CNN 25%</w:t>
            </w:r>
          </w:p>
        </w:tc>
        <w:tc>
          <w:tcPr>
            <w:tcW w:type="dxa" w:w="2160"/>
          </w:tcPr>
          <w:p>
            <w:r>
              <w:t>0.082779</w:t>
            </w:r>
          </w:p>
        </w:tc>
        <w:tc>
          <w:tcPr>
            <w:tcW w:type="dxa" w:w="2160"/>
          </w:tcPr>
          <w:p>
            <w:r>
              <w:t>0.079705</w:t>
            </w:r>
          </w:p>
        </w:tc>
        <w:tc>
          <w:tcPr>
            <w:tcW w:type="dxa" w:w="2160"/>
          </w:tcPr>
          <w:p>
            <w:r>
              <w:t>3.71%</w:t>
            </w:r>
          </w:p>
        </w:tc>
      </w:tr>
      <w:tr>
        <w:tc>
          <w:tcPr>
            <w:tcW w:type="dxa" w:w="2160"/>
          </w:tcPr>
          <w:p>
            <w:r>
              <w:t>CNN 50%</w:t>
            </w:r>
          </w:p>
        </w:tc>
        <w:tc>
          <w:tcPr>
            <w:tcW w:type="dxa" w:w="2160"/>
          </w:tcPr>
          <w:p>
            <w:r>
              <w:t>0.079228</w:t>
            </w:r>
          </w:p>
        </w:tc>
        <w:tc>
          <w:tcPr>
            <w:tcW w:type="dxa" w:w="2160"/>
          </w:tcPr>
          <w:p>
            <w:r>
              <w:t>0.076876</w:t>
            </w:r>
          </w:p>
        </w:tc>
        <w:tc>
          <w:tcPr>
            <w:tcW w:type="dxa" w:w="2160"/>
          </w:tcPr>
          <w:p>
            <w:r>
              <w:t>2.97%</w:t>
            </w:r>
          </w:p>
        </w:tc>
      </w:tr>
      <w:tr>
        <w:tc>
          <w:tcPr>
            <w:tcW w:type="dxa" w:w="2160"/>
          </w:tcPr>
          <w:p>
            <w:r>
              <w:t>CNN 100%</w:t>
            </w:r>
          </w:p>
        </w:tc>
        <w:tc>
          <w:tcPr>
            <w:tcW w:type="dxa" w:w="2160"/>
          </w:tcPr>
          <w:p>
            <w:r>
              <w:t>0.073765</w:t>
            </w:r>
          </w:p>
        </w:tc>
        <w:tc>
          <w:tcPr>
            <w:tcW w:type="dxa" w:w="2160"/>
          </w:tcPr>
          <w:p>
            <w:r>
              <w:t>0.072139</w:t>
            </w:r>
          </w:p>
        </w:tc>
        <w:tc>
          <w:tcPr>
            <w:tcW w:type="dxa" w:w="2160"/>
          </w:tcPr>
          <w:p>
            <w:r>
              <w:t>2.20%</w:t>
            </w:r>
          </w:p>
        </w:tc>
      </w:tr>
      <w:tr>
        <w:tc>
          <w:tcPr>
            <w:tcW w:type="dxa" w:w="2160"/>
          </w:tcPr>
          <w:p>
            <w:r>
              <w:t>HRFormer 25%</w:t>
            </w:r>
          </w:p>
        </w:tc>
        <w:tc>
          <w:tcPr>
            <w:tcW w:type="dxa" w:w="2160"/>
          </w:tcPr>
          <w:p>
            <w:r>
              <w:t>0.071946</w:t>
            </w:r>
          </w:p>
        </w:tc>
        <w:tc>
          <w:tcPr>
            <w:tcW w:type="dxa" w:w="2160"/>
          </w:tcPr>
          <w:p>
            <w:r>
              <w:t>0.067238</w:t>
            </w:r>
          </w:p>
        </w:tc>
        <w:tc>
          <w:tcPr>
            <w:tcW w:type="dxa" w:w="2160"/>
          </w:tcPr>
          <w:p>
            <w:r>
              <w:t>6.54%</w:t>
            </w:r>
          </w:p>
        </w:tc>
      </w:tr>
      <w:tr>
        <w:tc>
          <w:tcPr>
            <w:tcW w:type="dxa" w:w="2160"/>
          </w:tcPr>
          <w:p>
            <w:r>
              <w:t>HRFormer 100%</w:t>
            </w:r>
          </w:p>
        </w:tc>
        <w:tc>
          <w:tcPr>
            <w:tcW w:type="dxa" w:w="2160"/>
          </w:tcPr>
          <w:p>
            <w:r>
              <w:t>0.062226</w:t>
            </w:r>
          </w:p>
        </w:tc>
        <w:tc>
          <w:tcPr>
            <w:tcW w:type="dxa" w:w="2160"/>
          </w:tcPr>
          <w:p>
            <w:r>
              <w:t>0.056937</w:t>
            </w:r>
          </w:p>
        </w:tc>
        <w:tc>
          <w:tcPr>
            <w:tcW w:type="dxa" w:w="2160"/>
          </w:tcPr>
          <w:p>
            <w:r>
              <w:t>8.50%</w:t>
            </w:r>
          </w:p>
        </w:tc>
      </w:tr>
    </w:tbl>
    <w:p>
      <w:r>
        <w:t>CNN 25%에서 오차 차이의 쌍체 그룹 95% 부트스트랩 구간은 [0.001823, 0.004248]이고, 테스트 그룹 14개 중 13개에서 시드 평균 전이 오차가 낮다. 구간은 고정 분할과 학습 모델에 조건부이며 새로운 지리적 지역에 대한 불확실성을 포함하지 않는다. 전체 패턴 입력은 스칼라 전용 대비 25·50·100%에서 유리했지만 10%에서는 불리하였다. 패턴 효과는 보편적이지 않다.</w:t>
      </w:r>
    </w:p>
    <w:p>
      <w:r>
        <w:t>팀원 최신 실험에서는 검증 MAE로 선택한 대표 조건이 소스 L1과 타깃 L1을 사용하는 인코더·디코더 전이+LoRA이다.</w:t>
      </w:r>
    </w:p>
    <w:p>
      <w:pPr>
        <w:pStyle w:val="Caption"/>
      </w:pPr>
      <w:r>
        <w:t>표 4</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t>팀원 최신 조건</w:t>
            </w:r>
          </w:p>
        </w:tc>
        <w:tc>
          <w:tcPr>
            <w:tcW w:type="dxa" w:w="2880"/>
          </w:tcPr>
          <w:p>
            <w:r>
              <w:t>검증 MAE</w:t>
            </w:r>
          </w:p>
        </w:tc>
        <w:tc>
          <w:tcPr>
            <w:tcW w:type="dxa" w:w="2880"/>
          </w:tcPr>
          <w:p>
            <w:r>
              <w:t>테스트 MAE</w:t>
            </w:r>
          </w:p>
        </w:tc>
      </w:tr>
      <w:tr>
        <w:tc>
          <w:tcPr>
            <w:tcW w:type="dxa" w:w="2880"/>
          </w:tcPr>
          <w:p>
            <w:r>
              <w:t>공개 DINOv2 직접 적응, 타깃 L1</w:t>
            </w:r>
          </w:p>
        </w:tc>
        <w:tc>
          <w:tcPr>
            <w:tcW w:type="dxa" w:w="2880"/>
          </w:tcPr>
          <w:p>
            <w:r>
              <w:t>0.061906</w:t>
            </w:r>
          </w:p>
        </w:tc>
        <w:tc>
          <w:tcPr>
            <w:tcW w:type="dxa" w:w="2880"/>
          </w:tcPr>
          <w:p>
            <w:r>
              <w:t>0.079719</w:t>
            </w:r>
          </w:p>
        </w:tc>
      </w:tr>
      <w:tr>
        <w:tc>
          <w:tcPr>
            <w:tcW w:type="dxa" w:w="2880"/>
          </w:tcPr>
          <w:p>
            <w:r>
              <w:t>인코더만 전이, 소스 L1·타깃 L1</w:t>
            </w:r>
          </w:p>
        </w:tc>
        <w:tc>
          <w:tcPr>
            <w:tcW w:type="dxa" w:w="2880"/>
          </w:tcPr>
          <w:p>
            <w:r>
              <w:t>0.063390</w:t>
            </w:r>
          </w:p>
        </w:tc>
        <w:tc>
          <w:tcPr>
            <w:tcW w:type="dxa" w:w="2880"/>
          </w:tcPr>
          <w:p>
            <w:r>
              <w:t>0.081929</w:t>
            </w:r>
          </w:p>
        </w:tc>
      </w:tr>
      <w:tr>
        <w:tc>
          <w:tcPr>
            <w:tcW w:type="dxa" w:w="2880"/>
          </w:tcPr>
          <w:p>
            <w:r>
              <w:t>인코더·디코더 전이+LoRA, 소스 L1·타깃 L1</w:t>
            </w:r>
          </w:p>
        </w:tc>
        <w:tc>
          <w:tcPr>
            <w:tcW w:type="dxa" w:w="2880"/>
          </w:tcPr>
          <w:p>
            <w:r>
              <w:t>0.059177</w:t>
            </w:r>
          </w:p>
        </w:tc>
        <w:tc>
          <w:tcPr>
            <w:tcW w:type="dxa" w:w="2880"/>
          </w:tcPr>
          <w:p>
            <w:r>
              <w:t>0.073340</w:t>
            </w:r>
          </w:p>
        </w:tc>
      </w:tr>
      <w:tr>
        <w:tc>
          <w:tcPr>
            <w:tcW w:type="dxa" w:w="2880"/>
          </w:tcPr>
          <w:p>
            <w:r>
              <w:t>인코더·디코더 전이+LoRA, 소스 L1·타깃 M1</w:t>
            </w:r>
          </w:p>
        </w:tc>
        <w:tc>
          <w:tcPr>
            <w:tcW w:type="dxa" w:w="2880"/>
          </w:tcPr>
          <w:p>
            <w:r>
              <w:t>0.059516</w:t>
            </w:r>
          </w:p>
        </w:tc>
        <w:tc>
          <w:tcPr>
            <w:tcW w:type="dxa" w:w="2880"/>
          </w:tcPr>
          <w:p>
            <w:r>
              <w:t>0.072724</w:t>
            </w:r>
          </w:p>
        </w:tc>
      </w:tr>
    </w:tbl>
    <w:p>
      <w:r>
        <w:t>대표 조건은 같은 타깃 L1의 BASE보다 테스트 MAE가 8.00%, 대응 인코더 전용 전이보다 10.48% 낮다. 마지막 행은 테스트 MAE 최저 조건이지만 검증 MAE로 선택한 대표 조건은 아니다. 테스트 순위로 대표 조건을 바꾸지 않는다.</w:t>
      </w:r>
    </w:p>
    <w:p>
      <w:r>
        <w:t>인코더만 전이한 L1→L1은 BASE보다 테스트 MAE가 2.77% 악화하였다. 다른 손실 조합에서는 개선도 있었다. 디코더 전이+LoRA는 대응 인코더 전용 조건 4개 모두에서 개선되었지만 디코더 전이, 동결 및 LoRA가 동시에 달라진다. 따라서 확인한 것은 조합의 효과이며 LoRA만의 인과 효과는 아니다. n2i 추가도 모든 조건에 일관되게 유리하지 않았고, 입력 모듈 크기 변경과 재학습 경로 차이가 함께 존재한다.</w:t>
      </w:r>
    </w:p>
    <w:p>
      <w:r>
        <w:t>팀원 문서의 학습 가능 파라미터는 21,092,737개에서 3,165,761개로 약 85% 감소했으나 최대 CUDA 할당량은 약 10.76 GiB에서 10.83 GiB로 줄지 않았다. 학습 가능 파라미터 감소를 메모리나 실행 시간 감소와 동일시하지 않는다. 우리 합성 배치 메모리 측정과 팀원 학습 로그의 최대 할당량 역시 직접 비교하지 않는다.</w:t>
      </w:r>
    </w:p>
    <w:p>
      <w:pPr>
        <w:pStyle w:val="Heading1"/>
      </w:pPr>
      <w:r>
        <w:t>하나의 논문으로 연결할 연구 질문</w:t>
      </w:r>
    </w:p>
    <w:p>
      <w:r>
        <w:t>통합 연구 질문은 “안테나 조건부 전자기장 영상 예측에서 전파 지도 사전학습의 효과가 초기 표현, 전이 범위 및 타깃 적응 방식에 따라 어떻게 달라지는가”로 제안한다. 두 연구는 각각 초기화 효과의 반복성과 강한 사전학습 모델의 적응 전략을 설명한다. 기존 FiLM, DPT, DINOv2 또는 LoRA 자체를 새로운 방법으로 주장하지 않는다.</w:t>
      </w:r>
    </w:p>
    <w:p>
      <w:pPr>
        <w:pStyle w:val="Caption"/>
      </w:pPr>
      <w:r>
        <w:t>표 5</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t>하위 질문</w:t>
            </w:r>
          </w:p>
        </w:tc>
        <w:tc>
          <w:tcPr>
            <w:tcW w:type="dxa" w:w="2880"/>
          </w:tcPr>
          <w:p>
            <w:r>
              <w:t>기존 근거</w:t>
            </w:r>
          </w:p>
        </w:tc>
        <w:tc>
          <w:tcPr>
            <w:tcW w:type="dxa" w:w="2880"/>
          </w:tcPr>
          <w:p>
            <w:r>
              <w:t>현재 주장 가능한 범위</w:t>
            </w:r>
          </w:p>
        </w:tc>
      </w:tr>
      <w:tr>
        <w:tc>
          <w:tcPr>
            <w:tcW w:type="dxa" w:w="2880"/>
          </w:tcPr>
          <w:p>
            <w:r>
              <w:t>전파 지도 인코더가 무작위 초기화보다 유리한가</w:t>
            </w:r>
          </w:p>
        </w:tc>
        <w:tc>
          <w:tcPr>
            <w:tcW w:type="dxa" w:w="2880"/>
          </w:tcPr>
          <w:p>
            <w:r>
              <w:t>IEIE CNN와 HRFormer</w:t>
            </w:r>
          </w:p>
        </w:tc>
        <w:tc>
          <w:tcPr>
            <w:tcW w:type="dxa" w:w="2880"/>
          </w:tcPr>
          <w:p>
            <w:r>
              <w:t>각 프로토콜의 정규화 영상 전이 효과</w:t>
            </w:r>
          </w:p>
        </w:tc>
      </w:tr>
      <w:tr>
        <w:tc>
          <w:tcPr>
            <w:tcW w:type="dxa" w:w="2880"/>
          </w:tcPr>
          <w:p>
            <w:r>
              <w:t>일반 영상 사전학습 이후 추가 효과가 있는가</w:t>
            </w:r>
          </w:p>
        </w:tc>
        <w:tc>
          <w:tcPr>
            <w:tcW w:type="dxa" w:w="2880"/>
          </w:tcPr>
          <w:p>
            <w:r>
              <w:t>DINOv2 BASE와 인코더 전이</w:t>
            </w:r>
          </w:p>
        </w:tc>
        <w:tc>
          <w:tcPr>
            <w:tcW w:type="dxa" w:w="2880"/>
          </w:tcPr>
          <w:p>
            <w:r>
              <w:t>손실·적응 방식에 따른 단일 시드 관측</w:t>
            </w:r>
          </w:p>
        </w:tc>
      </w:tr>
      <w:tr>
        <w:tc>
          <w:tcPr>
            <w:tcW w:type="dxa" w:w="2880"/>
          </w:tcPr>
          <w:p>
            <w:r>
              <w:t>디코더까지 전이하면 유리한가</w:t>
            </w:r>
          </w:p>
        </w:tc>
        <w:tc>
          <w:tcPr>
            <w:tcW w:type="dxa" w:w="2880"/>
          </w:tcPr>
          <w:p>
            <w:r>
              <w:t>DINOv2 인코더 전용과 D_LORA</w:t>
            </w:r>
          </w:p>
        </w:tc>
        <w:tc>
          <w:tcPr>
            <w:tcW w:type="dxa" w:w="2880"/>
          </w:tcPr>
          <w:p>
            <w:r>
              <w:t>디코더 전이·동결·LoRA 조합의 효과</w:t>
            </w:r>
          </w:p>
        </w:tc>
      </w:tr>
      <w:tr>
        <w:tc>
          <w:tcPr>
            <w:tcW w:type="dxa" w:w="2880"/>
          </w:tcPr>
          <w:p>
            <w:r>
              <w:t>데이터가 적을 때 이득이 유지되는가</w:t>
            </w:r>
          </w:p>
        </w:tc>
        <w:tc>
          <w:tcPr>
            <w:tcW w:type="dxa" w:w="2880"/>
          </w:tcPr>
          <w:p>
            <w:r>
              <w:t>IEIE 네 데이터 규모</w:t>
            </w:r>
          </w:p>
        </w:tc>
        <w:tc>
          <w:tcPr>
            <w:tcW w:type="dxa" w:w="2880"/>
          </w:tcPr>
          <w:p>
            <w:r>
              <w:t>해당 CNN과 분할의 데이터 규모 민감도</w:t>
            </w:r>
          </w:p>
        </w:tc>
      </w:tr>
      <w:tr>
        <w:tc>
          <w:tcPr>
            <w:tcW w:type="dxa" w:w="2880"/>
          </w:tcPr>
          <w:p>
            <w:r>
              <w:t>안테나 정보는 항상 유리한가</w:t>
            </w:r>
          </w:p>
        </w:tc>
        <w:tc>
          <w:tcPr>
            <w:tcW w:type="dxa" w:w="2880"/>
          </w:tcPr>
          <w:p>
            <w:r>
              <w:t>IEIE 패턴 대조, 팀원 n2i 버전</w:t>
            </w:r>
          </w:p>
        </w:tc>
        <w:tc>
          <w:tcPr>
            <w:tcW w:type="dxa" w:w="2880"/>
          </w:tcPr>
          <w:p>
            <w:r>
              <w:t>조건에 의존하는 정보 효과</w:t>
            </w:r>
          </w:p>
        </w:tc>
      </w:tr>
    </w:tbl>
    <w:p>
      <w:r>
        <w:t>우리 CNN의 인코더 전이는 유리하고 팀원 특정 인코더 전이는 불리하다는 관측은 모순이 아니다. 기준 표현, 적응 방식 및 평가 과제가 다르다. 어느 차이가 원인인지는 현재 결과만으로 분리할 수 없다. 이를 확정적 메커니즘 설명 대신 통합 연구의 검증 질문으로 둔다.</w:t>
      </w:r>
    </w:p>
    <w:p>
      <w:pPr>
        <w:pStyle w:val="Heading1"/>
      </w:pPr>
      <w:r>
        <w:t>공통 프로토콜의 연결 실험 제안</w:t>
      </w:r>
    </w:p>
    <w:p>
      <w:r>
        <w:t>이하 실험은 새 제안이며 아직 수행하지 않았다. 이전에 합의한 필수 실험은 완료 상태이다. 통합을 위해 기존 결과를 수정하거나 덮어쓰지 않고 별도의 프로토콜과 출력 경로를 사용한다.</w:t>
      </w:r>
    </w:p>
    <w:p>
      <w:r>
        <w:t>먼저 팀원의 실행별 config, manifest, 학습 로그와 평가 JSON을 확보하여 실제 설정과 보고 결과를 맞춘다. 체크포인트를 확보할 수 있으면 선택된 모델의 재로드 평가와 해시를 확인한다. 이를 확보하지 못하면 팀원 결과는 문서 보고 수준으로 표시한다.</w:t>
      </w:r>
    </w:p>
    <w:p>
      <w:r>
        <w:t>공통 타깃 분할은 점검된 형상 그룹을 사용하여 학습·검증·테스트 ID를 하나로 고정한다. 가장 작은 범위의 제안은 IEIE의 60/12/14 그룹과 전체 학습 규모 534장을 사용하는 것이다. 양쪽을 처음부터 학습하며 타깃 시드 최소 3개를 대응시킨다. 두 팀이 테스트 결과를 이미 확인했으므로 공통 분할이나 새 분할을 맹검 독립 확인이라고 부르지 않는다.</w:t>
      </w:r>
    </w:p>
    <w:p>
      <w:r>
        <w:t>주 연결 비교는 전체 래스터 L1 학습과 그룹 매크로 MAE 평가를 공통으로 사용하는 안이다. 마스크 기반 MAE는 동일 입력 기반 대리 마스크에서 보조적으로 계산한다. SSIM과 RMSE도 같은 구현과 집계 규칙으로 산출한다. 이 변경은 팀원 기존 masked 학습의 재현이 아니라 통합을 위한 새 조건이다. 기존 masked 결과는 별도로 보존한다.</w:t>
      </w:r>
    </w:p>
    <w:p>
      <w:pPr>
        <w:pStyle w:val="Caption"/>
      </w:pPr>
      <w:r>
        <w:t>표 6</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t>연결 조건</w:t>
            </w:r>
          </w:p>
        </w:tc>
        <w:tc>
          <w:tcPr>
            <w:tcW w:type="dxa" w:w="2160"/>
          </w:tcPr>
          <w:p>
            <w:r>
              <w:t>초기화와 전이</w:t>
            </w:r>
          </w:p>
        </w:tc>
        <w:tc>
          <w:tcPr>
            <w:tcW w:type="dxa" w:w="2160"/>
          </w:tcPr>
          <w:p>
            <w:r>
              <w:t>타깃 적응</w:t>
            </w:r>
          </w:p>
        </w:tc>
        <w:tc>
          <w:tcPr>
            <w:tcW w:type="dxa" w:w="2160"/>
          </w:tcPr>
          <w:p>
            <w:r>
              <w:t>최소 타깃 실행 수</w:t>
            </w:r>
          </w:p>
        </w:tc>
      </w:tr>
      <w:tr>
        <w:tc>
          <w:tcPr>
            <w:tcW w:type="dxa" w:w="2160"/>
          </w:tcPr>
          <w:p>
            <w:r>
              <w:t>CNN 기준</w:t>
            </w:r>
          </w:p>
        </w:tc>
        <w:tc>
          <w:tcPr>
            <w:tcW w:type="dxa" w:w="2160"/>
          </w:tcPr>
          <w:p>
            <w:r>
              <w:t>무작위 초기화</w:t>
            </w:r>
          </w:p>
        </w:tc>
        <w:tc>
          <w:tcPr>
            <w:tcW w:type="dxa" w:w="2160"/>
          </w:tcPr>
          <w:p>
            <w:r>
              <w:t>전체 미세조정</w:t>
            </w:r>
          </w:p>
        </w:tc>
        <w:tc>
          <w:tcPr>
            <w:tcW w:type="dxa" w:w="2160"/>
          </w:tcPr>
          <w:p>
            <w:r>
              <w:t>3</w:t>
            </w:r>
          </w:p>
        </w:tc>
      </w:tr>
      <w:tr>
        <w:tc>
          <w:tcPr>
            <w:tcW w:type="dxa" w:w="2160"/>
          </w:tcPr>
          <w:p>
            <w:r>
              <w:t>CNN 전이</w:t>
            </w:r>
          </w:p>
        </w:tc>
        <w:tc>
          <w:tcPr>
            <w:tcW w:type="dxa" w:w="2160"/>
          </w:tcPr>
          <w:p>
            <w:r>
              <w:t>소스 인코더</w:t>
            </w:r>
          </w:p>
        </w:tc>
        <w:tc>
          <w:tcPr>
            <w:tcW w:type="dxa" w:w="2160"/>
          </w:tcPr>
          <w:p>
            <w:r>
              <w:t>전체 미세조정</w:t>
            </w:r>
          </w:p>
        </w:tc>
        <w:tc>
          <w:tcPr>
            <w:tcW w:type="dxa" w:w="2160"/>
          </w:tcPr>
          <w:p>
            <w:r>
              <w:t>3</w:t>
            </w:r>
          </w:p>
        </w:tc>
      </w:tr>
      <w:tr>
        <w:tc>
          <w:tcPr>
            <w:tcW w:type="dxa" w:w="2160"/>
          </w:tcPr>
          <w:p>
            <w:r>
              <w:t>DINOv2 기준</w:t>
            </w:r>
          </w:p>
        </w:tc>
        <w:tc>
          <w:tcPr>
            <w:tcW w:type="dxa" w:w="2160"/>
          </w:tcPr>
          <w:p>
            <w:r>
              <w:t>공개 사전학습</w:t>
            </w:r>
          </w:p>
        </w:tc>
        <w:tc>
          <w:tcPr>
            <w:tcW w:type="dxa" w:w="2160"/>
          </w:tcPr>
          <w:p>
            <w:r>
              <w:t>기존 인코더 LoRA와 새 디코더 학습</w:t>
            </w:r>
          </w:p>
        </w:tc>
        <w:tc>
          <w:tcPr>
            <w:tcW w:type="dxa" w:w="2160"/>
          </w:tcPr>
          <w:p>
            <w:r>
              <w:t>3</w:t>
            </w:r>
          </w:p>
        </w:tc>
      </w:tr>
      <w:tr>
        <w:tc>
          <w:tcPr>
            <w:tcW w:type="dxa" w:w="2160"/>
          </w:tcPr>
          <w:p>
            <w:r>
              <w:t>DINOv2 인코더 전이</w:t>
            </w:r>
          </w:p>
        </w:tc>
        <w:tc>
          <w:tcPr>
            <w:tcW w:type="dxa" w:w="2160"/>
          </w:tcPr>
          <w:p>
            <w:r>
              <w:t>추가 소스 인코더</w:t>
            </w:r>
          </w:p>
        </w:tc>
        <w:tc>
          <w:tcPr>
            <w:tcW w:type="dxa" w:w="2160"/>
          </w:tcPr>
          <w:p>
            <w:r>
              <w:t>동일 적응 방식</w:t>
            </w:r>
          </w:p>
        </w:tc>
        <w:tc>
          <w:tcPr>
            <w:tcW w:type="dxa" w:w="2160"/>
          </w:tcPr>
          <w:p>
            <w:r>
              <w:t>3</w:t>
            </w:r>
          </w:p>
        </w:tc>
      </w:tr>
      <w:tr>
        <w:tc>
          <w:tcPr>
            <w:tcW w:type="dxa" w:w="2160"/>
          </w:tcPr>
          <w:p>
            <w:r>
              <w:t>DINOv2 디코더 조합</w:t>
            </w:r>
          </w:p>
        </w:tc>
        <w:tc>
          <w:tcPr>
            <w:tcW w:type="dxa" w:w="2160"/>
          </w:tcPr>
          <w:p>
            <w:r>
              <w:t>추가 소스 인코더와 디코더</w:t>
            </w:r>
          </w:p>
        </w:tc>
        <w:tc>
          <w:tcPr>
            <w:tcW w:type="dxa" w:w="2160"/>
          </w:tcPr>
          <w:p>
            <w:r>
              <w:t>디코더 동결·LoRA와 출력층 학습</w:t>
            </w:r>
          </w:p>
        </w:tc>
        <w:tc>
          <w:tcPr>
            <w:tcW w:type="dxa" w:w="2160"/>
          </w:tcPr>
          <w:p>
            <w:r>
              <w:t>3</w:t>
            </w:r>
          </w:p>
        </w:tc>
      </w:tr>
    </w:tbl>
    <w:p>
      <w:r>
        <w:t>최소 구성은 타깃 학습 15회이다. 공통 소스 목록은 지도 0∼699의 700개와 동일한 소스 분할을 제안한다. 소스 손실은 L1로 고정하고 CNN과 DINOv2 각각 최소 한 개의 소스 실행이 필요하므로, 호환되는 기존 소스를 재사용할 수 없다면 소스 학습 최소 2회가 추가된다. 소스 시드 하나의 결과는 소스 반복 안정성을 검증한 것으로 해석하지 않는다. 학습량을 계열별로 다르게 배정한다면 기록하고 백본별 효율 우위를 주장하지 않는다.</w:t>
      </w:r>
    </w:p>
    <w:p>
      <w:r>
        <w:t>양쪽 입력 표현은 우선 각 계열 안에서 고정하여 비교한다. CNN의 1차원 패턴과 DINOv2의 공간 패턴이 다르므로 이 최소 구성은 모델 계열 간 인과적 우위를 분리하지 못한다. 모델 간 성능 순위가 핵심 주장이라면 공통 정보량과 입력 인코딩, 출력 제한, 튜닝 예산 및 계산 예산까지 맞춘 별도 비교가 필요하다.</w:t>
      </w:r>
    </w:p>
    <w:p>
      <w:r>
        <w:t>디코더 조합을 핵심 기여로 삼는다면 “인코더·디코더 전이 후 디코더 전체 학습”을 시드 3개로 추가한다. 이때 타깃 실행은 18회이다. 해당 대조는 디코더 재사용과 이후 적응 조합을 구분하는 데 도움이 되지만 LoRA와 동결의 개별 효과를 완전히 분리하는 것은 아니다. LoRA 단독의 인과 효과를 주장하려면 그에 맞춘 추가 대조가 필요하다.</w:t>
      </w:r>
    </w:p>
    <w:p>
      <w:r>
        <w:t>동일 타깃 시드에서 새 모듈 초기화와 데이터 순서를 가능한 한 대응시키고, 모델 선택은 검증 지표만 사용한다. 학습률 탐색 예산은 각 초기화 비교 쌍에 동일하게 배정한다. 상한 도달·재실행 처리도 양쪽에 같은 규칙으로 고정한다. 기존 테스트 점수로 손실이나 대표 조건을 바꾸지 않는다.</w:t>
      </w:r>
    </w:p>
    <w:p>
      <w:r>
        <w:t>통계는 각 모델 내부의 대응 오차 차이를 주로 보고한다. 그룹과 모델 시드를 구분하고, 고정 분할에서의 그룹 부트스트랩 구간과 시드 변동을 함께 제시한다. 이를 새로운 지역의 일반화 구간으로 해석하지 않는다. 더 강한 독립 확인에는 별도의 미사용 데이터가 필요하다.</w:t>
      </w:r>
    </w:p>
    <w:p>
      <w:pPr>
        <w:pStyle w:val="Heading1"/>
      </w:pPr>
      <w:r>
        <w:t>추가 실험 없이 통합하는 대안</w:t>
      </w:r>
    </w:p>
    <w:p>
      <w:r>
        <w:t>공통 재학습을 수행하기 어렵다면 두 프로토콜의 사례 연구로 구성할 수 있다. 본문에 데이터와 평가 차이를 먼저 제시하고, 첫 사례에서 IEIE 초기화·데이터 규모 결과를, 둘째 사례에서 DINOv2 전이 범위·적응 결과를 설명한다. 절대 MAE를 하나의 순위 표로 합치거나 서로 다른 개선율을 평균하지 않는다.</w:t>
      </w:r>
    </w:p>
    <w:p>
      <w:r>
        <w:t>이 구성의 장점은 완료된 실험을 바로 활용할 수 있다는 점이다. 한계는 초기 백본과 전이 범위가 함께 달라 효과의 원인을 공통 조건에서 검증하지 못한다는 점이다. 결론은 각 프로토콜에서 관측한 효과와 공통 한계에 한정한다.</w:t>
      </w:r>
    </w:p>
    <w:p>
      <w:pPr>
        <w:pStyle w:val="Heading1"/>
      </w:pPr>
      <w:r>
        <w:t>논문 구성과 기존 결과의 배치</w:t>
      </w:r>
    </w:p>
    <w:p>
      <w:r>
        <w:t>통합 제목은 “안테나 조건부 전자기장 영상 예측에서 사전학습과 전이 범위의 효과”를 제안한다. 본문은 공통 문제, 데이터 점검, 전이 경로 정의, 공통 연결 실험, 적용 범위 분석 및 한계 순서로 구성한다.</w:t>
      </w:r>
    </w:p>
    <w:p>
      <w:pPr>
        <w:pStyle w:val="Caption"/>
      </w:pPr>
      <w:r>
        <w:t>표 7</w:t>
      </w:r>
    </w:p>
    <w:tbl>
      <w:tblPr>
        <w:tblStyle w:val="TableGrid"/>
        <w:tblW w:type="auto" w:w="0"/>
        <w:tblLook w:firstColumn="1" w:firstRow="1" w:lastColumn="0" w:lastRow="0" w:noHBand="0" w:noVBand="1" w:val="04A0"/>
      </w:tblPr>
      <w:tblGrid>
        <w:gridCol w:w="4320"/>
        <w:gridCol w:w="4320"/>
      </w:tblGrid>
      <w:tr>
        <w:trPr>
          <w:tblHeader/>
        </w:trPr>
        <w:tc>
          <w:tcPr>
            <w:tcW w:type="dxa" w:w="4320"/>
          </w:tcPr>
          <w:p>
            <w:r>
              <w:t>논문 위치</w:t>
            </w:r>
          </w:p>
        </w:tc>
        <w:tc>
          <w:tcPr>
            <w:tcW w:type="dxa" w:w="4320"/>
          </w:tcPr>
          <w:p>
            <w:r>
              <w:t>포함 내용</w:t>
            </w:r>
          </w:p>
        </w:tc>
      </w:tr>
      <w:tr>
        <w:tc>
          <w:tcPr>
            <w:tcW w:type="dxa" w:w="4320"/>
          </w:tcPr>
          <w:p>
            <w:r>
              <w:t>서론</w:t>
            </w:r>
          </w:p>
        </w:tc>
        <w:tc>
          <w:tcPr>
            <w:tcW w:type="dxa" w:w="4320"/>
          </w:tcPr>
          <w:p>
            <w:r>
              <w:t>정답 생성 비용과 전이 효과의 조건 의존성, 두 기준 초기화의 구분</w:t>
            </w:r>
          </w:p>
        </w:tc>
      </w:tr>
      <w:tr>
        <w:tc>
          <w:tcPr>
            <w:tcW w:type="dxa" w:w="4320"/>
          </w:tcPr>
          <w:p>
            <w:r>
              <w:t>관련 연구</w:t>
            </w:r>
          </w:p>
        </w:tc>
        <w:tc>
          <w:tcPr>
            <w:tcW w:type="dxa" w:w="4320"/>
          </w:tcPr>
          <w:p>
            <w:r>
              <w:t>기존 전파 지도 학습, 일반 영상 사전학습, 조건화 및 효율적 적응</w:t>
            </w:r>
          </w:p>
        </w:tc>
      </w:tr>
      <w:tr>
        <w:tc>
          <w:tcPr>
            <w:tcW w:type="dxa" w:w="4320"/>
          </w:tcPr>
          <w:p>
            <w:r>
              <w:t>데이터와 방법</w:t>
            </w:r>
          </w:p>
        </w:tc>
        <w:tc>
          <w:tcPr>
            <w:tcW w:type="dxa" w:w="4320"/>
          </w:tcPr>
          <w:p>
            <w:r>
              <w:t>공통 분할·단위·평가, CNN과 DINOv2 전이 경로, 보존한 기존 프로토콜</w:t>
            </w:r>
          </w:p>
        </w:tc>
      </w:tr>
      <w:tr>
        <w:tc>
          <w:tcPr>
            <w:tcW w:type="dxa" w:w="4320"/>
          </w:tcPr>
          <w:p>
            <w:r>
              <w:t>주 결과</w:t>
            </w:r>
          </w:p>
        </w:tc>
        <w:tc>
          <w:tcPr>
            <w:tcW w:type="dxa" w:w="4320"/>
          </w:tcPr>
          <w:p>
            <w:r>
              <w:t>공통 조건에서 각 계열 내부의 초기화·전이 비교</w:t>
            </w:r>
          </w:p>
        </w:tc>
      </w:tr>
      <w:tr>
        <w:tc>
          <w:tcPr>
            <w:tcW w:type="dxa" w:w="4320"/>
          </w:tcPr>
          <w:p>
            <w:r>
              <w:t>추가 분석</w:t>
            </w:r>
          </w:p>
        </w:tc>
        <w:tc>
          <w:tcPr>
            <w:tcW w:type="dxa" w:w="4320"/>
          </w:tcPr>
          <w:p>
            <w:r>
              <w:t>IEIE 데이터 규모·패턴·설정 수, DINOv2 손실·디코더 조합</w:t>
            </w:r>
          </w:p>
        </w:tc>
      </w:tr>
      <w:tr>
        <w:tc>
          <w:tcPr>
            <w:tcW w:type="dxa" w:w="4320"/>
          </w:tcPr>
          <w:p>
            <w:r>
              <w:t>부록 후보</w:t>
            </w:r>
          </w:p>
        </w:tc>
        <w:tc>
          <w:tcPr>
            <w:tcW w:type="dxa" w:w="4320"/>
          </w:tcPr>
          <w:p>
            <w:r>
              <w:t>HRFormer, n2i 입력 버전, 소스 민감도와 상세 실행 기록</w:t>
            </w:r>
          </w:p>
        </w:tc>
      </w:tr>
      <w:tr>
        <w:tc>
          <w:tcPr>
            <w:tcW w:type="dxa" w:w="4320"/>
          </w:tcPr>
          <w:p>
            <w:r>
              <w:t>논의와 결론</w:t>
            </w:r>
          </w:p>
        </w:tc>
        <w:tc>
          <w:tcPr>
            <w:tcW w:type="dxa" w:w="4320"/>
          </w:tcPr>
          <w:p>
            <w:r>
              <w:t>불리한 전이 조건, 물리·지리적 한계, 단일 소스 시드 및 알려진 테스트의 범위</w:t>
            </w:r>
          </w:p>
        </w:tc>
      </w:tr>
    </w:tbl>
    <w:p>
      <w:r>
        <w:t>데이터 효율의 44.87%는 네 관측 점을 사후 보간한 추정이며 실제 확인한 절감률이 아니다. 이를 통합 논문의 주 기여로 내세우려면 별도로 사전 지정한 동일 오차 실험이 필요하다. 기존 결과를 활용할 때에는 기술적 분석으로 둔다.</w:t>
      </w:r>
    </w:p>
    <w:p>
      <w:pPr>
        <w:pStyle w:val="Heading1"/>
      </w:pPr>
      <w:r>
        <w:t>우선순위와 완료 기준</w:t>
      </w:r>
    </w:p>
    <w:p>
      <w:pPr>
        <w:pStyle w:val="Caption"/>
      </w:pPr>
      <w:r>
        <w:t>표 8</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r>
              <w:t>순서</w:t>
            </w:r>
          </w:p>
        </w:tc>
        <w:tc>
          <w:tcPr>
            <w:tcW w:type="dxa" w:w="2880"/>
          </w:tcPr>
          <w:p>
            <w:r>
              <w:t>작업</w:t>
            </w:r>
          </w:p>
        </w:tc>
        <w:tc>
          <w:tcPr>
            <w:tcW w:type="dxa" w:w="2880"/>
          </w:tcPr>
          <w:p>
            <w:r>
              <w:t>완료 기준</w:t>
            </w:r>
          </w:p>
        </w:tc>
      </w:tr>
      <w:tr>
        <w:tc>
          <w:tcPr>
            <w:tcW w:type="dxa" w:w="2880"/>
          </w:tcPr>
          <w:p>
            <w:r>
              <w:t>1</w:t>
            </w:r>
          </w:p>
        </w:tc>
        <w:tc>
          <w:tcPr>
            <w:tcW w:type="dxa" w:w="2880"/>
          </w:tcPr>
          <w:p>
            <w:r>
              <w:t>팀원 원본 결과 확보</w:t>
            </w:r>
          </w:p>
        </w:tc>
        <w:tc>
          <w:tcPr>
            <w:tcW w:type="dxa" w:w="2880"/>
          </w:tcPr>
          <w:p>
            <w:r>
              <w:t>실행 설정·분할·지표와 보고 수치 대응</w:t>
            </w:r>
          </w:p>
        </w:tc>
      </w:tr>
      <w:tr>
        <w:tc>
          <w:tcPr>
            <w:tcW w:type="dxa" w:w="2880"/>
          </w:tcPr>
          <w:p>
            <w:r>
              <w:t>2</w:t>
            </w:r>
          </w:p>
        </w:tc>
        <w:tc>
          <w:tcPr>
            <w:tcW w:type="dxa" w:w="2880"/>
          </w:tcPr>
          <w:p>
            <w:r>
              <w:t>통합 주장과 공통 프로토콜 고정</w:t>
            </w:r>
          </w:p>
        </w:tc>
        <w:tc>
          <w:tcPr>
            <w:tcW w:type="dxa" w:w="2880"/>
          </w:tcPr>
          <w:p>
            <w:r>
              <w:t>테스트 활용 이력, 입력·손실·평가·시드·선택 예산 명시</w:t>
            </w:r>
          </w:p>
        </w:tc>
      </w:tr>
      <w:tr>
        <w:tc>
          <w:tcPr>
            <w:tcW w:type="dxa" w:w="2880"/>
          </w:tcPr>
          <w:p>
            <w:r>
              <w:t>3</w:t>
            </w:r>
          </w:p>
        </w:tc>
        <w:tc>
          <w:tcPr>
            <w:tcW w:type="dxa" w:w="2880"/>
          </w:tcPr>
          <w:p>
            <w:r>
              <w:t>최소 연결 실험</w:t>
            </w:r>
          </w:p>
        </w:tc>
        <w:tc>
          <w:tcPr>
            <w:tcW w:type="dxa" w:w="2880"/>
          </w:tcPr>
          <w:p>
            <w:r>
              <w:t>타깃 5조건×3시드, 필요한 소스 실행, 체크포인트 보존</w:t>
            </w:r>
          </w:p>
        </w:tc>
      </w:tr>
      <w:tr>
        <w:tc>
          <w:tcPr>
            <w:tcW w:type="dxa" w:w="2880"/>
          </w:tcPr>
          <w:p>
            <w:r>
              <w:t>4</w:t>
            </w:r>
          </w:p>
        </w:tc>
        <w:tc>
          <w:tcPr>
            <w:tcW w:type="dxa" w:w="2880"/>
          </w:tcPr>
          <w:p>
            <w:r>
              <w:t>디코더 추가 대조 판단</w:t>
            </w:r>
          </w:p>
        </w:tc>
        <w:tc>
          <w:tcPr>
            <w:tcW w:type="dxa" w:w="2880"/>
          </w:tcPr>
          <w:p>
            <w:r>
              <w:t>핵심 주장일 때 전체 학습 대조 3회 추가</w:t>
            </w:r>
          </w:p>
        </w:tc>
      </w:tr>
      <w:tr>
        <w:tc>
          <w:tcPr>
            <w:tcW w:type="dxa" w:w="2880"/>
          </w:tcPr>
          <w:p>
            <w:r>
              <w:t>5</w:t>
            </w:r>
          </w:p>
        </w:tc>
        <w:tc>
          <w:tcPr>
            <w:tcW w:type="dxa" w:w="2880"/>
          </w:tcPr>
          <w:p>
            <w:r>
              <w:t>공통 평가와 검증</w:t>
            </w:r>
          </w:p>
        </w:tc>
        <w:tc>
          <w:tcPr>
            <w:tcW w:type="dxa" w:w="2880"/>
          </w:tcPr>
          <w:p>
            <w:r>
              <w:t>표본·그룹 대응, train-only 통계, 선택 체크포인트 재평가</w:t>
            </w:r>
          </w:p>
        </w:tc>
      </w:tr>
      <w:tr>
        <w:tc>
          <w:tcPr>
            <w:tcW w:type="dxa" w:w="2880"/>
          </w:tcPr>
          <w:p>
            <w:r>
              <w:t>6</w:t>
            </w:r>
          </w:p>
        </w:tc>
        <w:tc>
          <w:tcPr>
            <w:tcW w:type="dxa" w:w="2880"/>
          </w:tcPr>
          <w:p>
            <w:r>
              <w:t>통합 원고 작성</w:t>
            </w:r>
          </w:p>
        </w:tc>
        <w:tc>
          <w:tcPr>
            <w:tcW w:type="dxa" w:w="2880"/>
          </w:tcPr>
          <w:p>
            <w:r>
              <w:t>공통 결과와 기존 사례의 구분, 부정적 결과 및 한계 유지</w:t>
            </w:r>
          </w:p>
        </w:tc>
      </w:tr>
    </w:tbl>
    <w:p>
      <w:r>
        <w:t>권장안은 공통 조건의 연결 실험을 주 근거로 삼고 기존 반복·데이터 규모·적응 분석을 보조 근거로 결합하는 것이다. 실험 예산이 없으면 두 사례 연구로 통합하되 모델 순위와 단일 메커니즘 주장은 보류한다. 기존 연구 자료와 논문은 보존하고 통합 원고는 별도 버전으로 관리한다.</w:t>
      </w:r>
    </w:p>
    <w:p>
      <w:pPr>
        <w:pStyle w:val="Heading1"/>
      </w:pPr>
      <w:r>
        <w:t>근거 자료</w:t>
      </w:r>
    </w:p>
    <w:p>
      <w:r>
        <w:t>- IEIE 본 실험 결과 (../runs/main_v1/results.md)</w:t>
      </w:r>
    </w:p>
    <w:p>
      <w:r>
        <w:t>- IEIE 추가 비교 결과 (../runs/followup_v1/results.md)</w:t>
      </w:r>
    </w:p>
    <w:p>
      <w:r>
        <w:t>- IEIE 최종 검증 (../runs/followup_v1/final_audit.json)</w:t>
      </w:r>
    </w:p>
    <w:p>
      <w:r>
        <w:t>- IEIE 평가 데이터 접근 (../data_pipeline.py)</w:t>
      </w:r>
    </w:p>
    <w:p>
      <w:r>
        <w:t>- 팀원 최신 n2i 실험 결과 (https://github.com/CreatePath/EMF-DINOv2/blob/master/docs/experiment_results_n2i_20261012.md)</w:t>
      </w:r>
    </w:p>
    <w:p>
      <w:r>
        <w:t>- 팀원 이전 입력 결과 (https://github.com/CreatePath/EMF-DINOv2/blob/master/docs/experiment_results_20261011.md)</w:t>
      </w:r>
    </w:p>
    <w:p>
      <w:r>
        <w:t>- 팀원 데이터 계약 (https://github.com/CreatePath/EMF-DINOv2/blob/master/docs/data_contract.md)</w:t>
      </w:r>
    </w:p>
    <w:p>
      <w:r>
        <w:t>- 팀원 데이터 로더 (https://github.com/CreatePath/EMF-DINOv2/blob/master/data/radio_maps.py)</w:t>
      </w:r>
    </w:p>
    <w:p>
      <w:r>
        <w:t>- 팀원 지표 집계 (https://github.com/CreatePath/EMF-DINOv2/blob/master/utils/metrics.py)</w:t>
      </w:r>
    </w:p>
    <w:p>
      <w:r>
        <w:t>- 팀원 모델과 전이 범위 (https://github.com/CreatePath/EMF-DINOv2/blob/master/models/transfer_emf.py)</w:t>
      </w:r>
    </w:p>
    <w:p>
      <w:r>
        <w:t>팀원 폴더는 별도 프로젝트이며 보고서 작성 과정에서 수정하지 않았다. GitHub 업로드는 보고서 파일에 한정하며 팀원 소스 저장소를 복사하여 포함하지 않는다.</w:t>
      </w:r>
    </w:p>
    <w:p>
      <w:pPr>
        <w:pStyle w:val="Heading1"/>
      </w:pPr>
      <w:r>
        <w:t>참고문헌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