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before="140"/>
        <w:ind w:firstLine="0"/>
        <w:jc w:val="center"/>
      </w:pPr>
      <w:r>
        <w:rPr>
          <w:b/>
          <w:sz w:val="24"/>
        </w:rPr>
        <w:t>III. CNN 기반 조건부 인코더 전이</w:t>
      </w:r>
    </w:p>
    <w:p>
      <w:pPr>
        <w:keepNext/>
        <w:spacing w:before="140"/>
        <w:ind w:firstLine="0"/>
      </w:pPr>
      <w:r>
        <w:rPr>
          <w:b/>
          <w:sz w:val="20"/>
        </w:rPr>
        <w:t>3.1 비교 목적 및 문제 정의</w:t>
      </w:r>
    </w:p>
    <w:p>
      <w:pPr>
        <w:ind w:firstLine="180"/>
      </w:pPr>
      <w:r>
        <w:rPr>
          <w:b w:val="0"/>
          <w:sz w:val="18"/>
        </w:rPr>
        <w:t>DINOv2의 전이 범위 비교에 추가하여, CNN에서도 Source 인코더 전이의 효과가 나타나는지 검토한다. 동일한 구조와 Target 입력을 사용하는 무작위 초기화 모델(BASE)과 인코더 전이 모델(ENC)을 비교했다. 입력 표현과 데이터 분할은 DINOv2와 공유하고, 모델별 학습 설정은 구분했다.</w:t>
      </w:r>
    </w:p>
    <w:p>
      <w:pPr>
        <w:ind w:firstLine="180"/>
      </w:pPr>
      <w:r>
        <w:rPr>
          <w:b w:val="0"/>
          <w:sz w:val="18"/>
        </w:rPr>
        <w:t>모델의 입력은 공간 정보 S, 안테나 패턴 정보 P, 안테나 설정 Q로 구성된다. S는 건물 점유 대리 영상, Tx Gaussian heatmap, Tx log-distance map의 3채널이다. P는 수평 패턴 H, 수직 패턴 V, beamwidth를 영상으로 표현한 n2i의 3채널이다. Q는 height, power, downtilt와 azimuth의 sin·cos 값을 포함한다.</w:t>
      </w:r>
    </w:p>
    <w:p>
      <w:pPr>
        <w:ind w:firstLine="180"/>
      </w:pPr>
      <w:r>
        <w:rPr>
          <w:b w:val="0"/>
          <w:sz w:val="18"/>
        </w:rPr>
        <w:t>좌표와 패턴 영상은 DINOv2와 같은 전처리 함수로 변환했다. Height, power, downtilt와 H·V는 train set에서 구한 통계로 정규화했다. 정답은 원본 회색조 값을 255로 나누어 0~1 범위로 변환했다.</w:t>
      </w:r>
    </w:p>
    <w:p>
      <w:pPr>
        <w:keepNext/>
        <w:spacing w:before="140"/>
        <w:ind w:firstLine="0"/>
      </w:pPr>
      <w:r>
        <w:rPr>
          <w:b/>
          <w:sz w:val="20"/>
        </w:rPr>
        <w:t>3.2 조건부 CNN 구조</w:t>
      </w:r>
    </w:p>
    <w:p>
      <w:pPr>
        <w:ind w:firstLine="180"/>
      </w:pPr>
      <w:r>
        <w:rPr>
          <w:b w:val="0"/>
          <w:sz w:val="18"/>
        </w:rPr>
        <w:t>CNN은 채널 수 16·32·64·128의 인코더와 skip connection을 갖는 U-Net[1] 계열 디코더로 구성된다. 각 인코더 블록은 3×3 Conv2d, GroupNorm, SiLU를 두 번 적용하며, 블록 사이에서 max pooling으로 해상도를 줄인다. 디코더는 bilinear interpolation으로 특징을 확대한 뒤 같은 해상도의 인코더 특징과 결합한다. 마지막 1×1 Conv2d는 단일 채널 EMF map을 출력한다.</w:t>
      </w:r>
    </w:p>
    <w:p>
      <w:pPr>
        <w:ind w:firstLine="180"/>
      </w:pPr>
      <w:r>
        <w:rPr>
          <w:b w:val="0"/>
          <w:sz w:val="18"/>
        </w:rPr>
        <w:t>P는 1×1 Conv2d로 16채널 특징으로 변환하여 첫 인코더 블록의 출력에 더했다. Q는 5→32→256의 MLP로 변환하고, 병목 특징의 128개 채널에 FiLM[2]을 적용했다. 조건화는 다음과 같이 계산한다.</w:t>
      </w:r>
    </w:p>
    <w:p>
      <w:pPr>
        <w:ind w:firstLine="180"/>
      </w:pPr>
      <w:r>
        <w:rPr>
          <w:b w:val="0"/>
          <w:sz w:val="18"/>
        </w:rPr>
        <w:t>F′ = (1 + γ(Q)) ⊙ F + β(Q).</w:t>
      </w:r>
    </w:p>
    <w:p>
      <w:pPr>
        <w:ind w:firstLine="180"/>
      </w:pPr>
      <w:r>
        <w:rPr>
          <w:b w:val="0"/>
          <w:sz w:val="18"/>
        </w:rPr>
        <w:t>F는 병목 특징이고 γ와 β는 Q에서 생성한 채널별 배율과 편향이다. 패턴 투영층과 FiLM 출력층은 0으로 초기화했다. 따라서 학습 시작 시 추가 조건화는 공간 특징을 바꾸지 않으며 이후 학습 과정에서 갱신된다. 출력에는 sigmoid와 clamp를 적용하지 않았다.</w:t>
      </w:r>
    </w:p>
    <w:p>
      <w:pPr>
        <w:keepNext/>
        <w:spacing w:before="140"/>
        <w:ind w:firstLine="0"/>
      </w:pPr>
      <w:r>
        <w:rPr>
          <w:b/>
          <w:sz w:val="20"/>
        </w:rPr>
        <w:t>3.3 인코더 전이와 대응 초기화</w:t>
      </w:r>
    </w:p>
    <w:p>
      <w:pPr>
        <w:ind w:firstLine="180"/>
      </w:pPr>
      <w:r>
        <w:rPr>
          <w:b w:val="0"/>
          <w:sz w:val="18"/>
        </w:rPr>
        <w:t>Source는 일반 영상 사전학습 없이 무작위 초기화한 CNN 전체를 학습했다. Target은 무작위 초기화하는 경우와 Source 인코더만 전이하는 경우를 비교했다. ENC도 디코더와 출력층은 새로 초기화했으며, 인코더를 포함한 전체 파라미터를 학습했다.</w:t>
      </w:r>
    </w:p>
    <w:p>
      <w:pPr>
        <w:ind w:firstLine="180"/>
      </w:pPr>
      <w:r>
        <w:rPr>
          <w:b w:val="0"/>
          <w:sz w:val="18"/>
        </w:rPr>
        <w:t>Source와 Target 시드는 각각 142·42로 설정했다. BASE와 ENC의 디코더, 출력층, 패턴 투영층, FiLM은 동일하게 초기화했다. ENC는 Source 인코더만 복사한 뒤 전체 모델을 학습했다.</w:t>
      </w:r>
    </w:p>
    <w:p>
      <w:r>
        <w:drawing>
          <wp:inline xmlns:a="http://schemas.openxmlformats.org/drawingml/2006/main" xmlns:pic="http://schemas.openxmlformats.org/drawingml/2006/picture">
            <wp:extent cx="2834640" cy="1653540"/>
            <wp:docPr id="1" name="Picture 1"/>
            <wp:cNvGraphicFramePr>
              <a:graphicFrameLocks noChangeAspect="1"/>
            </wp:cNvGraphicFramePr>
            <a:graphic>
              <a:graphicData uri="http://schemas.openxmlformats.org/drawingml/2006/picture">
                <pic:pic>
                  <pic:nvPicPr>
                    <pic:cNvPr id="0" name="cnn_architecture.png"/>
                    <pic:cNvPicPr/>
                  </pic:nvPicPr>
                  <pic:blipFill>
                    <a:blip r:embed="rId10"/>
                    <a:stretch>
                      <a:fillRect/>
                    </a:stretch>
                  </pic:blipFill>
                  <pic:spPr>
                    <a:xfrm>
                      <a:off x="0" y="0"/>
                      <a:ext cx="2834640" cy="1653540"/>
                    </a:xfrm>
                    <a:prstGeom prst="rect"/>
                  </pic:spPr>
                </pic:pic>
              </a:graphicData>
            </a:graphic>
          </wp:inline>
        </w:drawing>
      </w:r>
    </w:p>
    <w:p>
      <w:pPr>
        <w:ind w:firstLine="180"/>
      </w:pPr>
      <w:r>
        <w:rPr>
          <w:b w:val="0"/>
          <w:sz w:val="18"/>
        </w:rPr>
        <w:t>그림 1. 공간·패턴·수치 조건을 결합한 CNN 구조. Source 인코더만 전이하고 Target 전체를 학습했다.</w:t>
      </w:r>
    </w:p>
    <w:p>
      <w:r>
        <w:br w:type="page"/>
      </w:r>
    </w:p>
    <w:p>
      <w:pPr>
        <w:keepNext/>
        <w:spacing w:before="140"/>
        <w:ind w:firstLine="0"/>
        <w:jc w:val="center"/>
      </w:pPr>
      <w:r>
        <w:rPr>
          <w:b/>
          <w:sz w:val="24"/>
        </w:rPr>
        <w:t>IV. CNN 실험 설정 및 결과</w:t>
      </w:r>
    </w:p>
    <w:p>
      <w:pPr>
        <w:keepNext/>
        <w:spacing w:before="140"/>
        <w:ind w:firstLine="0"/>
      </w:pPr>
      <w:r>
        <w:rPr>
          <w:b/>
          <w:sz w:val="20"/>
        </w:rPr>
        <w:t>4.1 공통 데이터와 학습 조건</w:t>
      </w:r>
    </w:p>
    <w:p>
      <w:pPr>
        <w:ind w:firstLine="180"/>
      </w:pPr>
      <w:r>
        <w:rPr>
          <w:b w:val="0"/>
          <w:sz w:val="18"/>
        </w:rPr>
        <w:t>Target은 건물 영상 그룹을 train·validation·test 68·9·9개로 분할했고 표본 수는 609·78·81개이다. Source는 지도 700개를 550·50·100개로 분할하고 지도별 Tx 80개를 사용했다. 두 모델 계열에 같은 데이터 목록을 적용했으며 Target train set 전체로 학습했다.</w:t>
      </w:r>
    </w:p>
    <w:p>
      <w:pPr>
        <w:ind w:firstLine="180"/>
      </w:pPr>
      <w:r>
        <w:rPr>
          <w:b w:val="0"/>
          <w:sz w:val="18"/>
        </w:rPr>
        <w:t>손실은 점유 대리 영역과 결측 위치를 제외한 유효 픽셀에서 계산했다. CNN에는 L1 손실만 사용했으며, 유효 픽셀 수로 나누어 정규화했다.</w:t>
      </w:r>
    </w:p>
    <w:p>
      <w:pPr>
        <w:ind w:firstLine="180"/>
      </w:pPr>
      <w:r>
        <w:rPr>
          <w:b w:val="0"/>
          <w:sz w:val="18"/>
        </w:rPr>
        <w:t>L = Σᵢ Mᵢ |ŷᵢ − yᵢ| / Σᵢ Mᵢ.</w:t>
      </w:r>
    </w:p>
    <w:p>
      <w:pPr>
        <w:keepNext/>
        <w:spacing w:before="140"/>
        <w:ind w:firstLine="0"/>
      </w:pPr>
      <w:r>
        <w:rPr>
          <w:b/>
          <w:sz w:val="20"/>
        </w:rPr>
        <w:t>표 1. CNN 재실험의 학습 설정</w:t>
      </w:r>
    </w:p>
    <w:tbl>
      <w:tblPr>
        <w:tblW w:type="auto" w:w="0"/>
        <w:tblLayout w:type="fixed"/>
        <w:tblLook w:firstColumn="1" w:firstRow="1" w:lastColumn="0" w:lastRow="0" w:noHBand="0" w:noVBand="1" w:val="04A0"/>
        <w:tblCellMar>
          <w:left w:w="30" w:type="dxa"/>
          <w:right w:w="30" w:type="dxa"/>
          <w:top w:w="30" w:type="dxa"/>
          <w:bottom w:w="30" w:type="dxa"/>
        </w:tblCellMar>
        <w:tblBorders>
          <w:top w:val="single" w:sz="4"/>
          <w:left w:val="single" w:sz="4"/>
          <w:bottom w:val="single" w:sz="4"/>
          <w:right w:val="single" w:sz="4"/>
          <w:insideH w:val="single" w:sz="4"/>
          <w:insideV w:val="single" w:sz="4"/>
        </w:tblBorders>
      </w:tblPr>
      <w:tblGrid>
        <w:gridCol w:w="2268"/>
        <w:gridCol w:w="2268"/>
      </w:tblGrid>
      <w:tr>
        <w:trPr>
          <w:cantSplit/>
        </w:trPr>
        <w:tc>
          <w:tcPr>
            <w:tcW w:type="dxa" w:w="2268"/>
          </w:tcPr>
          <w:p>
            <w:pPr>
              <w:spacing w:after="40" w:before="40"/>
            </w:pPr>
            <w:r>
              <w:rPr>
                <w:sz w:val="16"/>
              </w:rPr>
              <w:t>항목</w:t>
            </w:r>
          </w:p>
        </w:tc>
        <w:tc>
          <w:tcPr>
            <w:tcW w:type="dxa" w:w="2268"/>
          </w:tcPr>
          <w:p>
            <w:pPr>
              <w:spacing w:after="40" w:before="40"/>
            </w:pPr>
            <w:r>
              <w:rPr>
                <w:sz w:val="16"/>
              </w:rPr>
              <w:t>설정</w:t>
            </w:r>
          </w:p>
        </w:tc>
      </w:tr>
      <w:tr>
        <w:trPr>
          <w:cantSplit/>
        </w:trPr>
        <w:tc>
          <w:tcPr>
            <w:tcW w:type="dxa" w:w="2268"/>
          </w:tcPr>
          <w:p>
            <w:pPr>
              <w:spacing w:after="40" w:before="40"/>
            </w:pPr>
            <w:r>
              <w:rPr>
                <w:sz w:val="16"/>
              </w:rPr>
              <w:t>최적화 / 정밀도</w:t>
            </w:r>
          </w:p>
        </w:tc>
        <w:tc>
          <w:tcPr>
            <w:tcW w:type="dxa" w:w="2268"/>
          </w:tcPr>
          <w:p>
            <w:pPr>
              <w:spacing w:after="40" w:before="40"/>
            </w:pPr>
            <w:r>
              <w:rPr>
                <w:sz w:val="16"/>
              </w:rPr>
              <w:t>AdamW / FP32</w:t>
            </w:r>
          </w:p>
        </w:tc>
      </w:tr>
      <w:tr>
        <w:trPr>
          <w:cantSplit/>
        </w:trPr>
        <w:tc>
          <w:tcPr>
            <w:tcW w:type="dxa" w:w="2268"/>
          </w:tcPr>
          <w:p>
            <w:pPr>
              <w:spacing w:after="40" w:before="40"/>
            </w:pPr>
            <w:r>
              <w:rPr>
                <w:sz w:val="16"/>
              </w:rPr>
              <w:t>학습률 / 최저 학습률</w:t>
            </w:r>
          </w:p>
        </w:tc>
        <w:tc>
          <w:tcPr>
            <w:tcW w:type="dxa" w:w="2268"/>
          </w:tcPr>
          <w:p>
            <w:pPr>
              <w:spacing w:after="40" w:before="40"/>
            </w:pPr>
            <w:r>
              <w:rPr>
                <w:sz w:val="16"/>
              </w:rPr>
              <w:t>10⁻⁴ / 10⁻⁵ (cosine)</w:t>
            </w:r>
          </w:p>
        </w:tc>
      </w:tr>
      <w:tr>
        <w:trPr>
          <w:cantSplit/>
        </w:trPr>
        <w:tc>
          <w:tcPr>
            <w:tcW w:type="dxa" w:w="2268"/>
          </w:tcPr>
          <w:p>
            <w:pPr>
              <w:spacing w:after="40" w:before="40"/>
            </w:pPr>
            <w:r>
              <w:rPr>
                <w:sz w:val="16"/>
              </w:rPr>
              <w:t>배치 / 누적 / 가중치 감쇠</w:t>
            </w:r>
          </w:p>
        </w:tc>
        <w:tc>
          <w:tcPr>
            <w:tcW w:type="dxa" w:w="2268"/>
          </w:tcPr>
          <w:p>
            <w:pPr>
              <w:spacing w:after="40" w:before="40"/>
            </w:pPr>
            <w:r>
              <w:rPr>
                <w:sz w:val="16"/>
              </w:rPr>
              <w:t>8 / 1 / 0</w:t>
            </w:r>
          </w:p>
        </w:tc>
      </w:tr>
      <w:tr>
        <w:trPr>
          <w:cantSplit/>
        </w:trPr>
        <w:tc>
          <w:tcPr>
            <w:tcW w:type="dxa" w:w="2268"/>
          </w:tcPr>
          <w:p>
            <w:pPr>
              <w:spacing w:after="40" w:before="40"/>
            </w:pPr>
            <w:r>
              <w:rPr>
                <w:sz w:val="16"/>
              </w:rPr>
              <w:t>기울기 클리핑</w:t>
            </w:r>
          </w:p>
        </w:tc>
        <w:tc>
          <w:tcPr>
            <w:tcW w:type="dxa" w:w="2268"/>
          </w:tcPr>
          <w:p>
            <w:pPr>
              <w:spacing w:after="40" w:before="40"/>
            </w:pPr>
            <w:r>
              <w:rPr>
                <w:sz w:val="16"/>
              </w:rPr>
              <w:t>최대 노름 5</w:t>
            </w:r>
          </w:p>
        </w:tc>
      </w:tr>
      <w:tr>
        <w:trPr>
          <w:cantSplit/>
        </w:trPr>
        <w:tc>
          <w:tcPr>
            <w:tcW w:type="dxa" w:w="2268"/>
          </w:tcPr>
          <w:p>
            <w:pPr>
              <w:spacing w:after="40" w:before="40"/>
            </w:pPr>
            <w:r>
              <w:rPr>
                <w:sz w:val="16"/>
              </w:rPr>
              <w:t>소스 상한 / 워밍업 / patience</w:t>
            </w:r>
          </w:p>
        </w:tc>
        <w:tc>
          <w:tcPr>
            <w:tcW w:type="dxa" w:w="2268"/>
          </w:tcPr>
          <w:p>
            <w:pPr>
              <w:spacing w:after="40" w:before="40"/>
            </w:pPr>
            <w:r>
              <w:rPr>
                <w:sz w:val="16"/>
              </w:rPr>
              <w:t>50 / 5 / 15 epoch</w:t>
            </w:r>
          </w:p>
        </w:tc>
      </w:tr>
      <w:tr>
        <w:trPr>
          <w:cantSplit/>
        </w:trPr>
        <w:tc>
          <w:tcPr>
            <w:tcW w:type="dxa" w:w="2268"/>
          </w:tcPr>
          <w:p>
            <w:pPr>
              <w:spacing w:after="40" w:before="40"/>
            </w:pPr>
            <w:r>
              <w:rPr>
                <w:sz w:val="16"/>
              </w:rPr>
              <w:t>타깃 상한 / 워밍업 / patience</w:t>
            </w:r>
          </w:p>
        </w:tc>
        <w:tc>
          <w:tcPr>
            <w:tcW w:type="dxa" w:w="2268"/>
          </w:tcPr>
          <w:p>
            <w:pPr>
              <w:spacing w:after="40" w:before="40"/>
            </w:pPr>
            <w:r>
              <w:rPr>
                <w:sz w:val="16"/>
              </w:rPr>
              <w:t>200 / 10 / 50 epoch</w:t>
            </w:r>
          </w:p>
        </w:tc>
      </w:tr>
      <w:tr>
        <w:trPr>
          <w:cantSplit/>
        </w:trPr>
        <w:tc>
          <w:tcPr>
            <w:tcW w:type="dxa" w:w="2268"/>
          </w:tcPr>
          <w:p>
            <w:pPr>
              <w:spacing w:after="40" w:before="40"/>
            </w:pPr>
            <w:r>
              <w:rPr>
                <w:sz w:val="16"/>
              </w:rPr>
              <w:t>조기 종료 최소 epoch</w:t>
            </w:r>
          </w:p>
        </w:tc>
        <w:tc>
          <w:tcPr>
            <w:tcW w:type="dxa" w:w="2268"/>
          </w:tcPr>
          <w:p>
            <w:pPr>
              <w:spacing w:after="40" w:before="40"/>
            </w:pPr>
            <w:r>
              <w:rPr>
                <w:sz w:val="16"/>
              </w:rPr>
              <w:t>소스 10 / 타깃 30</w:t>
            </w:r>
          </w:p>
        </w:tc>
      </w:tr>
      <w:tr>
        <w:trPr>
          <w:cantSplit/>
        </w:trPr>
        <w:tc>
          <w:tcPr>
            <w:tcW w:type="dxa" w:w="2268"/>
          </w:tcPr>
          <w:p>
            <w:pPr>
              <w:spacing w:after="40" w:before="40"/>
            </w:pPr>
            <w:r>
              <w:rPr>
                <w:sz w:val="16"/>
              </w:rPr>
              <w:t>증강 / EMA / 출력 클리핑</w:t>
            </w:r>
          </w:p>
        </w:tc>
        <w:tc>
          <w:tcPr>
            <w:tcW w:type="dxa" w:w="2268"/>
          </w:tcPr>
          <w:p>
            <w:pPr>
              <w:spacing w:after="40" w:before="40"/>
            </w:pPr>
            <w:r>
              <w:rPr>
                <w:sz w:val="16"/>
              </w:rPr>
              <w:t>모두 미사용</w:t>
            </w:r>
          </w:p>
        </w:tc>
      </w:tr>
    </w:tbl>
    <w:p>
      <w:pPr>
        <w:ind w:firstLine="180"/>
      </w:pPr>
      <w:r>
        <w:rPr>
          <w:b w:val="0"/>
          <w:sz w:val="18"/>
        </w:rPr>
        <w:t>Validation MAE가 가장 낮은 모델을 선택하여 test set에서 성능을 측정했다. MAE·RMSE·PSNR은 전체 유효 픽셀에서 계산하고 SSIM은 이미지별 값을 평균했다.</w:t>
      </w:r>
    </w:p>
    <w:p>
      <w:pPr>
        <w:keepNext/>
        <w:spacing w:before="140"/>
        <w:ind w:firstLine="0"/>
      </w:pPr>
      <w:r>
        <w:rPr>
          <w:b/>
          <w:sz w:val="20"/>
        </w:rPr>
        <w:t>4.2 평가 지표와 반복 실험 결과</w:t>
      </w:r>
    </w:p>
    <w:p>
      <w:pPr>
        <w:keepNext/>
        <w:spacing w:before="140"/>
        <w:ind w:firstLine="0"/>
      </w:pPr>
      <w:r>
        <w:rPr>
          <w:b/>
          <w:sz w:val="20"/>
        </w:rPr>
        <w:t>표 2. CNN 성능 비교 (Target 시드 42)</w:t>
      </w:r>
    </w:p>
    <w:tbl>
      <w:tblPr>
        <w:tblW w:type="auto" w:w="0"/>
        <w:tblLayout w:type="fixed"/>
        <w:tblLook w:firstColumn="1" w:firstRow="1" w:lastColumn="0" w:lastRow="0" w:noHBand="0" w:noVBand="1" w:val="04A0"/>
        <w:tblCellMar>
          <w:left w:w="30" w:type="dxa"/>
          <w:right w:w="30" w:type="dxa"/>
          <w:top w:w="30" w:type="dxa"/>
          <w:bottom w:w="30" w:type="dxa"/>
        </w:tblCellMar>
        <w:tblBorders>
          <w:top w:val="single" w:sz="4"/>
          <w:left w:val="single" w:sz="4"/>
          <w:bottom w:val="single" w:sz="4"/>
          <w:right w:val="single" w:sz="4"/>
          <w:insideH w:val="single" w:sz="4"/>
          <w:insideV w:val="single" w:sz="4"/>
        </w:tblBorders>
      </w:tblPr>
      <w:tblGrid>
        <w:gridCol w:w="576"/>
        <w:gridCol w:w="792"/>
        <w:gridCol w:w="792"/>
        <w:gridCol w:w="792"/>
        <w:gridCol w:w="792"/>
        <w:gridCol w:w="792"/>
      </w:tblGrid>
      <w:tr>
        <w:trPr>
          <w:cantSplit/>
        </w:trPr>
        <w:tc>
          <w:tcPr>
            <w:tcW w:type="dxa" w:w="576"/>
          </w:tcPr>
          <w:p>
            <w:pPr>
              <w:spacing w:after="40" w:before="40"/>
            </w:pPr>
            <w:r>
              <w:rPr>
                <w:sz w:val="16"/>
              </w:rPr>
              <w:t>조건</w:t>
            </w:r>
          </w:p>
        </w:tc>
        <w:tc>
          <w:tcPr>
            <w:tcW w:type="dxa" w:w="792"/>
          </w:tcPr>
          <w:p>
            <w:pPr>
              <w:spacing w:after="40" w:before="40"/>
            </w:pPr>
            <w:r>
              <w:rPr>
                <w:sz w:val="16"/>
              </w:rPr>
              <w:t>Val MAE</w:t>
            </w:r>
          </w:p>
        </w:tc>
        <w:tc>
          <w:tcPr>
            <w:tcW w:type="dxa" w:w="792"/>
          </w:tcPr>
          <w:p>
            <w:pPr>
              <w:spacing w:after="40" w:before="40"/>
            </w:pPr>
            <w:r>
              <w:rPr>
                <w:sz w:val="16"/>
              </w:rPr>
              <w:t>Test MAE</w:t>
            </w:r>
          </w:p>
        </w:tc>
        <w:tc>
          <w:tcPr>
            <w:tcW w:type="dxa" w:w="792"/>
          </w:tcPr>
          <w:p>
            <w:pPr>
              <w:spacing w:after="40" w:before="40"/>
            </w:pPr>
            <w:r>
              <w:rPr>
                <w:sz w:val="16"/>
              </w:rPr>
              <w:t>RMSE</w:t>
            </w:r>
          </w:p>
        </w:tc>
        <w:tc>
          <w:tcPr>
            <w:tcW w:type="dxa" w:w="792"/>
          </w:tcPr>
          <w:p>
            <w:pPr>
              <w:spacing w:after="40" w:before="40"/>
            </w:pPr>
            <w:r>
              <w:rPr>
                <w:sz w:val="16"/>
              </w:rPr>
              <w:t>SSIM</w:t>
            </w:r>
          </w:p>
        </w:tc>
        <w:tc>
          <w:tcPr>
            <w:tcW w:type="dxa" w:w="792"/>
          </w:tcPr>
          <w:p>
            <w:pPr>
              <w:spacing w:after="40" w:before="40"/>
            </w:pPr>
            <w:r>
              <w:rPr>
                <w:sz w:val="16"/>
              </w:rPr>
              <w:t>PSNR</w:t>
            </w:r>
          </w:p>
        </w:tc>
      </w:tr>
      <w:tr>
        <w:trPr>
          <w:cantSplit/>
        </w:trPr>
        <w:tc>
          <w:tcPr>
            <w:tcW w:type="dxa" w:w="576"/>
          </w:tcPr>
          <w:p>
            <w:pPr>
              <w:spacing w:after="40" w:before="40"/>
            </w:pPr>
            <w:r>
              <w:rPr>
                <w:sz w:val="16"/>
              </w:rPr>
              <w:t>BASE</w:t>
            </w:r>
          </w:p>
        </w:tc>
        <w:tc>
          <w:tcPr>
            <w:tcW w:type="dxa" w:w="792"/>
          </w:tcPr>
          <w:p>
            <w:pPr>
              <w:spacing w:after="40" w:before="40"/>
            </w:pPr>
            <w:r>
              <w:rPr>
                <w:sz w:val="16"/>
              </w:rPr>
              <w:t>0.06016</w:t>
            </w:r>
          </w:p>
        </w:tc>
        <w:tc>
          <w:tcPr>
            <w:tcW w:type="dxa" w:w="792"/>
          </w:tcPr>
          <w:p>
            <w:pPr>
              <w:spacing w:after="40" w:before="40"/>
            </w:pPr>
            <w:r>
              <w:rPr>
                <w:sz w:val="16"/>
              </w:rPr>
              <w:t>0.07964</w:t>
            </w:r>
          </w:p>
        </w:tc>
        <w:tc>
          <w:tcPr>
            <w:tcW w:type="dxa" w:w="792"/>
          </w:tcPr>
          <w:p>
            <w:pPr>
              <w:spacing w:after="40" w:before="40"/>
            </w:pPr>
            <w:r>
              <w:rPr>
                <w:sz w:val="16"/>
              </w:rPr>
              <w:t>0.12034</w:t>
            </w:r>
          </w:p>
        </w:tc>
        <w:tc>
          <w:tcPr>
            <w:tcW w:type="dxa" w:w="792"/>
          </w:tcPr>
          <w:p>
            <w:pPr>
              <w:spacing w:after="40" w:before="40"/>
            </w:pPr>
            <w:r>
              <w:rPr>
                <w:sz w:val="16"/>
              </w:rPr>
              <w:t>0.8998</w:t>
            </w:r>
          </w:p>
        </w:tc>
        <w:tc>
          <w:tcPr>
            <w:tcW w:type="dxa" w:w="792"/>
          </w:tcPr>
          <w:p>
            <w:pPr>
              <w:spacing w:after="40" w:before="40"/>
            </w:pPr>
            <w:r>
              <w:rPr>
                <w:sz w:val="16"/>
              </w:rPr>
              <w:t>18.39</w:t>
            </w:r>
          </w:p>
        </w:tc>
      </w:tr>
      <w:tr>
        <w:trPr>
          <w:cantSplit/>
        </w:trPr>
        <w:tc>
          <w:tcPr>
            <w:tcW w:type="dxa" w:w="576"/>
          </w:tcPr>
          <w:p>
            <w:pPr>
              <w:spacing w:after="40" w:before="40"/>
            </w:pPr>
            <w:r>
              <w:rPr>
                <w:sz w:val="16"/>
              </w:rPr>
              <w:t>ENC</w:t>
            </w:r>
          </w:p>
        </w:tc>
        <w:tc>
          <w:tcPr>
            <w:tcW w:type="dxa" w:w="792"/>
          </w:tcPr>
          <w:p>
            <w:pPr>
              <w:spacing w:after="40" w:before="40"/>
            </w:pPr>
            <w:r>
              <w:rPr>
                <w:sz w:val="16"/>
              </w:rPr>
              <w:t>0.06073</w:t>
            </w:r>
          </w:p>
        </w:tc>
        <w:tc>
          <w:tcPr>
            <w:tcW w:type="dxa" w:w="792"/>
          </w:tcPr>
          <w:p>
            <w:pPr>
              <w:spacing w:after="40" w:before="40"/>
            </w:pPr>
            <w:r>
              <w:rPr>
                <w:sz w:val="16"/>
              </w:rPr>
              <w:t>0.08277</w:t>
            </w:r>
          </w:p>
        </w:tc>
        <w:tc>
          <w:tcPr>
            <w:tcW w:type="dxa" w:w="792"/>
          </w:tcPr>
          <w:p>
            <w:pPr>
              <w:spacing w:after="40" w:before="40"/>
            </w:pPr>
            <w:r>
              <w:rPr>
                <w:sz w:val="16"/>
              </w:rPr>
              <w:t>0.12184</w:t>
            </w:r>
          </w:p>
        </w:tc>
        <w:tc>
          <w:tcPr>
            <w:tcW w:type="dxa" w:w="792"/>
          </w:tcPr>
          <w:p>
            <w:pPr>
              <w:spacing w:after="40" w:before="40"/>
            </w:pPr>
            <w:r>
              <w:rPr>
                <w:sz w:val="16"/>
              </w:rPr>
              <w:t>0.9014</w:t>
            </w:r>
          </w:p>
        </w:tc>
        <w:tc>
          <w:tcPr>
            <w:tcW w:type="dxa" w:w="792"/>
          </w:tcPr>
          <w:p>
            <w:pPr>
              <w:spacing w:after="40" w:before="40"/>
            </w:pPr>
            <w:r>
              <w:rPr>
                <w:sz w:val="16"/>
              </w:rPr>
              <w:t>18.28</w:t>
            </w:r>
          </w:p>
        </w:tc>
      </w:tr>
    </w:tbl>
    <w:p>
      <w:pPr>
        <w:ind w:firstLine="180"/>
      </w:pPr>
      <w:r>
        <w:rPr>
          <w:b w:val="0"/>
          <w:sz w:val="18"/>
        </w:rPr>
        <w:t>DINOv2와 동일한 Target 시드 42에서 BASE와 ENC의 test MAE는 0.079636, 0.082767였다. 인코더 전이 후 MAE는 3.93% 증가했다. RMSE와 PSNR은 BASE가 좋았고 SSIM은 ENC가 좋았다.</w:t>
      </w:r>
    </w:p>
    <w:p>
      <w:pPr>
        <w:keepNext/>
        <w:spacing w:before="140"/>
        <w:ind w:firstLine="0"/>
      </w:pPr>
      <w:r>
        <w:rPr>
          <w:b/>
          <w:sz w:val="20"/>
        </w:rPr>
        <w:t>4.3 DINOv2 비교의 해석 범위</w:t>
      </w:r>
    </w:p>
    <w:p>
      <w:pPr>
        <w:ind w:firstLine="180"/>
      </w:pPr>
      <w:r>
        <w:rPr>
          <w:b w:val="0"/>
          <w:sz w:val="18"/>
        </w:rPr>
        <w:t>DINOv2의 L1→L1 조건과 CNN 모두 인코더 전이만으로 test MAE가 개선되지 않았다. DINOv2에서는 인코더·디코더 전이와 LoRA를 결합한 조건에서 MAE가 낮아졌다. 따라서 이번 결과에서는 Source 학습의 적용 자체보다 전이 범위와 적응 방식을 함께 고려할 필요가 있었다. CNN의 디코더 전이는 비교하지 않았다.</w:t>
      </w:r>
    </w:p>
    <w:p>
      <w:pPr>
        <w:ind w:firstLine="180"/>
      </w:pPr>
      <w:r>
        <w:rPr>
          <w:b w:val="0"/>
          <w:sz w:val="18"/>
        </w:rPr>
        <w:t>DINOv2는 공개 사전학습 가중치와 LoRA를 사용하고 CNN은 무작위 초기화와 전체 미세조정을 사용했다. 따라서 두 모델의 결과는 초기화와 적응 방식의 차이를 포함하며, 각 모델 내부의 전이 전후 성능을 비교했다.</w:t>
      </w:r>
    </w:p>
    <w:p>
      <w:pPr>
        <w:keepNext/>
        <w:spacing w:before="140"/>
        <w:ind w:firstLine="0"/>
      </w:pPr>
      <w:r>
        <w:rPr>
          <w:b/>
          <w:sz w:val="20"/>
        </w:rPr>
        <w:t>참고문헌</w:t>
      </w:r>
    </w:p>
    <w:p>
      <w:pPr>
        <w:ind w:firstLine="180"/>
      </w:pPr>
      <w:r>
        <w:rPr>
          <w:b w:val="0"/>
          <w:sz w:val="16"/>
        </w:rPr>
        <w:t>[1] O. Ronneberger, P. Fischer, and T. Brox, “U-Net: Convolutional Networks for Biomedical Image Segmentation,” arXiv:1505.04597, 2015. https://arxiv.org/abs/1505.04597</w:t>
      </w:r>
    </w:p>
    <w:p>
      <w:pPr>
        <w:ind w:firstLine="180"/>
      </w:pPr>
      <w:r>
        <w:rPr>
          <w:b w:val="0"/>
          <w:sz w:val="16"/>
        </w:rPr>
        <w:t>[2] E. Perez, F. Strub, H. de Vries, V. Dumoulin, and A. Courville, “FiLM: Visual Reasoning with a General Conditioning Layer,” AAAI, 2018. https://arxiv.org/abs/1709.07871</w:t>
      </w:r>
    </w:p>
    <w:sectPr w:rsidR="00AC07B2"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spacing w:line="288" w:lineRule="auto" w:after="60"/>
    </w:pPr>
    <w:rPr>
      <w:rFonts w:ascii="HY신명조" w:hAnsi="HY신명조" w:eastAsia="HY신명조"/>
      <w:sz w:val="18"/>
    </w:r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 기반 조건부 인코더 전이: 담당 본론 초안</dc:title>
  <dc:creator/>
  <cp:lastModifiedBy>yu hayoung</cp:lastModifiedBy>
  <cp:revision>5</cp:revision>
  <dcterms:created xsi:type="dcterms:W3CDTF">2019-05-10T02:21:00Z</dcterms:created>
  <dcterms:modified xsi:type="dcterms:W3CDTF">2023-09-04T07:35:00Z</dcterms:modified>
  <cp:version>0501.0001.01</cp:version>
  <dc:subject>동일 DINOv2 조건의 CNN 재실험</dc:subject>
</cp:coreProperties>
</file>