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88" w:lineRule="auto" w:before="0" w:after="0"/>
        <w:jc w:val="center"/>
      </w:pPr>
      <w:r>
        <w:rPr>
          <w:rFonts w:ascii="Times New Roman" w:hAnsi="Times New Roman" w:eastAsia="宋体" w:cs="Times New Roman"/>
          <w:b/>
          <w:i w:val="0"/>
          <w:sz w:val="44"/>
        </w:rPr>
        <w:t>演示视频旁白稿</w:t>
      </w:r>
    </w:p>
    <w:p>
      <w:pPr>
        <w:spacing w:line="288" w:lineRule="auto" w:before="120" w:after="0"/>
        <w:jc w:val="center"/>
      </w:pPr>
      <w:r>
        <w:rPr>
          <w:rFonts w:ascii="Times New Roman" w:hAnsi="Times New Roman" w:eastAsia="宋体" w:cs="Times New Roman"/>
          <w:b w:val="0"/>
          <w:i w:val="0"/>
          <w:sz w:val="24"/>
        </w:rPr>
        <w:t>基于安路 PH1P35 的实时数字图像处理系统</w:t>
      </w:r>
    </w:p>
    <w:p>
      <w:pPr>
        <w:spacing w:line="288" w:lineRule="auto"/>
        <w:jc w:val="center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对应 9 段 / 150 秒 · 以《分镜检查表_20261023.docx》「必看现象」为准 · 2026-10-23</w:t>
      </w:r>
    </w:p>
    <w:p>
      <w:pPr>
        <w:spacing w:before="360" w:after="120" w:line="312" w:lineRule="auto"/>
      </w:pPr>
      <w:r>
        <w:rPr>
          <w:rFonts w:ascii="Times New Roman" w:hAnsi="Times New Roman" w:eastAsia="宋体" w:cs="Times New Roman"/>
          <w:b/>
          <w:i w:val="0"/>
          <w:color w:val="1F3B66"/>
          <w:sz w:val="30"/>
        </w:rPr>
        <w:t>一、时长与语速基准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 w:cs="Times New Roman"/>
          <w:b w:val="0"/>
          <w:i w:val="0"/>
          <w:sz w:val="24"/>
        </w:rPr>
        <w:t>9 段加起来 150 秒，但真正能说话的时间比这少：第 3、5 段要留出拨码之后那几秒的安静，让画面自己说话。全篇按 4.1 字/秒配字，比平时讲话慢一点，镜头扫到哪儿，话就跟到哪儿。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493"/>
        <w:gridCol w:w="1493"/>
        <w:gridCol w:w="1493"/>
        <w:gridCol w:w="1493"/>
        <w:gridCol w:w="1493"/>
        <w:gridCol w:w="1493"/>
      </w:tblGrid>
      <w:tr>
        <w:tc>
          <w:tcPr>
            <w:tcW w:type="dxa" w:w="737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段</w:t>
            </w:r>
          </w:p>
        </w:tc>
        <w:tc>
          <w:tcPr>
            <w:tcW w:type="dxa" w:w="2381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名称</w:t>
            </w:r>
          </w:p>
        </w:tc>
        <w:tc>
          <w:tcPr>
            <w:tcW w:type="dxa" w:w="113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时长</w:t>
            </w:r>
          </w:p>
        </w:tc>
        <w:tc>
          <w:tcPr>
            <w:tcW w:type="dxa" w:w="2041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其中动作占时</w:t>
            </w:r>
          </w:p>
        </w:tc>
        <w:tc>
          <w:tcPr>
            <w:tcW w:type="dxa" w:w="1474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旁白字数</w:t>
            </w:r>
          </w:p>
        </w:tc>
        <w:tc>
          <w:tcPr>
            <w:tcW w:type="dxa" w:w="1191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累计</w:t>
            </w:r>
          </w:p>
        </w:tc>
      </w:tr>
      <w:tr>
        <w:tc>
          <w:tcPr>
            <w:tcW w:type="dxa" w:w="737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开机即用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12 s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≈49</w:t>
            </w:r>
          </w:p>
        </w:tc>
        <w:tc>
          <w:tcPr>
            <w:tcW w:type="dxa" w:w="119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0:12</w:t>
            </w:r>
          </w:p>
        </w:tc>
      </w:tr>
      <w:tr>
        <w:tc>
          <w:tcPr>
            <w:tcW w:type="dxa" w:w="737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数据通路总览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16 s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0（只指）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≈74</w:t>
            </w:r>
          </w:p>
        </w:tc>
        <w:tc>
          <w:tcPr>
            <w:tcW w:type="dxa" w:w="119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0:28</w:t>
            </w:r>
          </w:p>
        </w:tc>
      </w:tr>
      <w:tr>
        <w:tc>
          <w:tcPr>
            <w:tcW w:type="dxa" w:w="737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ISP 在线可关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22 s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12 s（四次拨动）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≈79</w:t>
            </w:r>
          </w:p>
        </w:tc>
        <w:tc>
          <w:tcPr>
            <w:tcW w:type="dxa" w:w="119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0:50</w:t>
            </w:r>
          </w:p>
        </w:tc>
      </w:tr>
      <w:tr>
        <w:tc>
          <w:tcPr>
            <w:tcW w:type="dxa" w:w="737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4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AE 与 AWB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16 s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4 s（手电照射）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≈64</w:t>
            </w:r>
          </w:p>
        </w:tc>
        <w:tc>
          <w:tcPr>
            <w:tcW w:type="dxa" w:w="119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1:06</w:t>
            </w:r>
          </w:p>
        </w:tc>
      </w:tr>
      <w:tr>
        <w:tc>
          <w:tcPr>
            <w:tcW w:type="dxa" w:w="737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5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拨码总开关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12 s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12 s（四次拨动）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≈52</w:t>
            </w:r>
          </w:p>
        </w:tc>
        <w:tc>
          <w:tcPr>
            <w:tcW w:type="dxa" w:w="119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1:18</w:t>
            </w:r>
          </w:p>
        </w:tc>
      </w:tr>
      <w:tr>
        <w:tc>
          <w:tcPr>
            <w:tcW w:type="dxa" w:w="737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6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风格化五模式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30 s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25 s（五次按键）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≈123</w:t>
            </w:r>
          </w:p>
        </w:tc>
        <w:tc>
          <w:tcPr>
            <w:tcW w:type="dxa" w:w="119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1:48</w:t>
            </w:r>
          </w:p>
        </w:tc>
      </w:tr>
      <w:tr>
        <w:tc>
          <w:tcPr>
            <w:tcW w:type="dxa" w:w="737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7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运动检测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16 s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 s（手划过）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≈72</w:t>
            </w:r>
          </w:p>
        </w:tc>
        <w:tc>
          <w:tcPr>
            <w:tcW w:type="dxa" w:w="119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2:04</w:t>
            </w:r>
          </w:p>
        </w:tc>
      </w:tr>
      <w:tr>
        <w:tc>
          <w:tcPr>
            <w:tcW w:type="dxa" w:w="737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8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目标检测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16 s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6 s（举笔移动）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≈69</w:t>
            </w:r>
          </w:p>
        </w:tc>
        <w:tc>
          <w:tcPr>
            <w:tcW w:type="dxa" w:w="119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2:20</w:t>
            </w:r>
          </w:p>
        </w:tc>
      </w:tr>
      <w:tr>
        <w:tc>
          <w:tcPr>
            <w:tcW w:type="dxa" w:w="737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9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参数收尾</w:t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10 s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0</w:t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≈48</w:t>
            </w:r>
          </w:p>
        </w:tc>
        <w:tc>
          <w:tcPr>
            <w:tcW w:type="dxa" w:w="119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2:30</w:t>
            </w:r>
          </w:p>
        </w:tc>
      </w:tr>
      <w:tr>
        <w:tc>
          <w:tcPr>
            <w:tcW w:type="dxa" w:w="737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★合计</w:t>
            </w:r>
          </w:p>
        </w:tc>
        <w:tc>
          <w:tcPr>
            <w:tcW w:type="dxa" w:w="238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  <w:tc>
          <w:tcPr>
            <w:tcW w:type="dxa" w:w="113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★150 s</w:t>
            </w:r>
          </w:p>
        </w:tc>
        <w:tc>
          <w:tcPr>
            <w:tcW w:type="dxa" w:w="204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  <w:tc>
          <w:tcPr>
            <w:tcW w:type="dxa" w:w="1474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★≈630 字</w:t>
            </w:r>
          </w:p>
        </w:tc>
        <w:tc>
          <w:tcPr>
            <w:tcW w:type="dxa" w:w="1191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</w:r>
          </w:p>
        </w:tc>
      </w:tr>
    </w:tbl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这个速度留得出换气和看画面的空隙。录的时候宁可少说半句，也别抢——空一两秒观众不觉得，念不完才难受。</w:t>
      </w:r>
    </w:p>
    <w:p>
      <w:pPr>
        <w:spacing w:before="360" w:after="120" w:line="312" w:lineRule="auto"/>
      </w:pPr>
      <w:r>
        <w:rPr>
          <w:rFonts w:ascii="Times New Roman" w:hAnsi="Times New Roman" w:eastAsia="宋体" w:cs="Times New Roman"/>
          <w:b/>
          <w:i w:val="0"/>
          <w:color w:val="1F3B66"/>
          <w:sz w:val="30"/>
        </w:rPr>
        <w:t>二、必须强调的四件事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/>
          <w:i w:val="0"/>
          <w:sz w:val="24"/>
        </w:rPr>
        <w:t>没接电脑。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第 1 段和第 9 段各说一次。这是赛题 slide26 写明的硬性要求——上电就跑、不用 PC 下载；我们确实做到了，所以说两遍不亏。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/>
          <w:i w:val="0"/>
          <w:sz w:val="24"/>
        </w:rPr>
        <w:t>不用帧缓存。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第 1 段讲整条链路的时候说一次，第 7 段再落到「144 个块只存 144 字节」。低延迟的底气全在这一条，评委也最认这一条。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/>
          <w:i w:val="0"/>
          <w:sz w:val="24"/>
        </w:rPr>
        <w:t>拨完一秒内生效、不用重新烧录。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这句话放在第 3 段。它说明这些处理是在线可配的，不是编译期写死的——拨码一动，画面就变。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/>
          <w:i w:val="0"/>
          <w:sz w:val="24"/>
        </w:rPr>
        <w:t>客观数字一次性报完。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都放第 9 段：1280×720@60、LUT6 77.3%、ERAM 47.2%、时序余量 +104 ps。数字要报，但只在收尾报这一处，中间不要零散地报。</w:t>
      </w:r>
    </w:p>
    <w:p>
      <w:pPr>
        <w:spacing w:before="360" w:after="120" w:line="312" w:lineRule="auto"/>
      </w:pPr>
      <w:r>
        <w:rPr>
          <w:rFonts w:ascii="Times New Roman" w:hAnsi="Times New Roman" w:eastAsia="宋体" w:cs="Times New Roman"/>
          <w:b/>
          <w:i w:val="0"/>
          <w:color w:val="1F3B66"/>
          <w:sz w:val="30"/>
        </w:rPr>
        <w:t>三、必须回避的五件事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4479"/>
        <w:gridCol w:w="4479"/>
      </w:tblGrid>
      <w:tr>
        <w:tc>
          <w:tcPr>
            <w:tcW w:type="dxa" w:w="3515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不要说的</w:t>
            </w:r>
          </w:p>
        </w:tc>
        <w:tc>
          <w:tcPr>
            <w:tcW w:type="dxa" w:w="5443"/>
          </w:tcPr>
          <w:p>
            <w:pPr>
              <w:spacing w:line="276" w:lineRule="auto"/>
              <w:jc w:val="center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为什么</w:t>
            </w:r>
          </w:p>
        </w:tc>
      </w:tr>
      <w:tr>
        <w:tc>
          <w:tcPr>
            <w:tcW w:type="dxa" w:w="3515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任何关于 AI、生成工具、辅助编码的字眼</w:t>
            </w:r>
          </w:p>
        </w:tc>
        <w:tc>
          <w:tcPr>
            <w:tcW w:type="dxa" w:w="5443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不是答辩议题，主动提等于给自己挖坑</w:t>
            </w:r>
          </w:p>
        </w:tc>
      </w:tr>
      <w:tr>
        <w:tc>
          <w:tcPr>
            <w:tcW w:type="dxa" w:w="3515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「检测准确率 / 识别率 XX%」</w:t>
            </w:r>
          </w:p>
        </w:tc>
        <w:tc>
          <w:tcPr>
            <w:tcW w:type="dxa" w:w="5443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★ 没有测过。只有「空场景零误检、红笔出现即出框」这两条是验过的</w:t>
            </w:r>
          </w:p>
        </w:tc>
      </w:tr>
      <w:tr>
        <w:tc>
          <w:tcPr>
            <w:tcW w:type="dxa" w:w="3515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「零延迟 / 无延迟」</w:t>
            </w:r>
          </w:p>
        </w:tc>
        <w:tc>
          <w:tcPr>
            <w:tcW w:type="dxa" w:w="5443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不成立。要说「固定流水线级数，延迟不随帧率变化」</w:t>
            </w:r>
          </w:p>
        </w:tc>
      </w:tr>
      <w:tr>
        <w:tc>
          <w:tcPr>
            <w:tcW w:type="dxa" w:w="3515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「卡通化效果很好」</w:t>
            </w:r>
          </w:p>
        </w:tc>
        <w:tc>
          <w:tcPr>
            <w:tcW w:type="dxa" w:w="5443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脚本自己写着「观感偏硬」。说「四色平涂加黑描边」描述做法即可，不评价好坏</w:t>
            </w:r>
          </w:p>
        </w:tc>
      </w:tr>
      <w:tr>
        <w:tc>
          <w:tcPr>
            <w:tcW w:type="dxa" w:w="3515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 w:val="0"/>
                <w:i w:val="0"/>
                <w:sz w:val="21"/>
              </w:rPr>
              <w:t>第 4 段说「gi 会跟着变」</w:t>
            </w:r>
          </w:p>
        </w:tc>
        <w:tc>
          <w:tcPr>
            <w:tcW w:type="dxa" w:w="5443"/>
          </w:tcPr>
          <w:p>
            <w:pPr>
              <w:spacing w:line="276" w:lineRule="auto"/>
            </w:pPr>
            <w:r>
              <w:rPr>
                <w:rFonts w:ascii="Times New Roman" w:hAnsi="Times New Roman" w:eastAsia="宋体" w:cs="Times New Roman"/>
                <w:b/>
                <w:i w:val="0"/>
                <w:sz w:val="21"/>
              </w:rPr>
              <w:t>★ 这是脚本里的说法，与检查表冲突。gi 已顶到上限时不动是正常的，见第五节</w:t>
            </w:r>
          </w:p>
        </w:tc>
      </w:tr>
    </w:tbl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还有一处要提醒：第 7 段千万别把手贴到镜头上。手一挡，整幅画面一起变暗，块级帧差对全局变化本来就不敏感，结果反而不出框，现场看着就像坏了。手要在 50 cm 外横着划过去。</w:t>
      </w:r>
    </w:p>
    <w:p>
      <w:pPr>
        <w:spacing w:before="360" w:after="120" w:line="312" w:lineRule="auto"/>
      </w:pPr>
      <w:r>
        <w:rPr>
          <w:rFonts w:ascii="Times New Roman" w:hAnsi="Times New Roman" w:eastAsia="宋体" w:cs="Times New Roman"/>
          <w:b/>
          <w:i w:val="0"/>
          <w:color w:val="1F3B66"/>
          <w:sz w:val="30"/>
        </w:rPr>
        <w:t>四、9 段旁白正文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第 1 段 · 开机即用（12 秒）</w:t>
      </w:r>
    </w:p>
    <w:p>
      <w:pPr>
        <w:spacing w:line="360" w:lineRule="auto" w:after="80"/>
        <w:ind w:left="480" w:right="240"/>
      </w:pPr>
      <w:r>
        <w:rPr>
          <w:rFonts w:ascii="Times New Roman" w:hAnsi="Times New Roman" w:eastAsia="宋体" w:cs="Times New Roman"/>
          <w:b w:val="0"/>
          <w:i w:val="0"/>
          <w:sz w:val="24"/>
        </w:rPr>
        <w:t>「</w:t>
      </w:r>
      <w:r>
        <w:rPr>
          <w:rFonts w:ascii="Times New Roman" w:hAnsi="Times New Roman" w:eastAsia="宋体" w:cs="Times New Roman"/>
          <w:b w:val="0"/>
          <w:i w:val="0"/>
          <w:sz w:val="24"/>
        </w:rPr>
        <w:t>只接了电源和 HDMI，没接电脑。上电十秒左右画面自己出来。摄像头从 MIPI 进，处理完直接送 HDMI，中间没有帧缓存。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」</w:t>
      </w:r>
    </w:p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≈49 字 / 12 秒。说完「没有帧缓存」刚好切下一段。镜头此时从书架缓缓扫到桌面，语速跟着镜头走。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第 2 段 · 数据通路总览（16 秒）</w:t>
      </w:r>
    </w:p>
    <w:p>
      <w:pPr>
        <w:spacing w:line="360" w:lineRule="auto" w:after="80"/>
        <w:ind w:left="480" w:right="240"/>
      </w:pPr>
      <w:r>
        <w:rPr>
          <w:rFonts w:ascii="Times New Roman" w:hAnsi="Times New Roman" w:eastAsia="宋体" w:cs="Times New Roman"/>
          <w:b w:val="0"/>
          <w:i w:val="0"/>
          <w:sz w:val="24"/>
        </w:rPr>
        <w:t>「</w:t>
      </w:r>
      <w:r>
        <w:rPr>
          <w:rFonts w:ascii="Times New Roman" w:hAnsi="Times New Roman" w:eastAsia="宋体" w:cs="Times New Roman"/>
          <w:b w:val="0"/>
          <w:i w:val="0"/>
          <w:sz w:val="24"/>
        </w:rPr>
        <w:t>画面上的信息分四块。左上角是安路 Logo。中间那行是帧计数，一秒六十地在涨。下面是当前算法模式。两行橙字是实时遥测。最下面青色那行，是四个拨码的生效状态。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」</w:t>
      </w:r>
    </w:p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≈74 字 / 16 秒。「左上角」「中间」「下面」「最下面」各配一次手指点过去，手指到哪说到哪。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第 3 段 · ISP 在线可关（22 秒）</w:t>
      </w:r>
    </w:p>
    <w:p>
      <w:pPr>
        <w:spacing w:line="360" w:lineRule="auto" w:after="80"/>
        <w:ind w:left="480" w:right="240"/>
      </w:pPr>
      <w:r>
        <w:rPr>
          <w:rFonts w:ascii="Times New Roman" w:hAnsi="Times New Roman" w:eastAsia="宋体" w:cs="Times New Roman"/>
          <w:b w:val="0"/>
          <w:i w:val="0"/>
          <w:sz w:val="24"/>
        </w:rPr>
        <w:t>「</w:t>
      </w:r>
      <w:r>
        <w:rPr>
          <w:rFonts w:ascii="Times New Roman" w:hAnsi="Times New Roman" w:eastAsia="宋体" w:cs="Times New Roman"/>
          <w:b w:val="0"/>
          <w:i w:val="0"/>
          <w:sz w:val="24"/>
        </w:rPr>
        <w:t>先看对比度。SW2 拨下去，画面马上变平，暗部发灰；拨回来，暗部又沉下去，亮部更透。这一下不用重烧，拨完一秒就生效。再看暗角校正。SW1 拨下去边角偏色，拨回来就干净了。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」</w:t>
      </w:r>
    </w:p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≈79 字 / 22 秒。节奏是「拨 → 停 3 秒 → 说话」：拨下去先别说话，让观众看清变化，停满 3 秒再开口；拨回同理。这两下是整套系统能不能被信任的关键，宁可这一段说慢一点。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第 4 段 · AE 与 AWB（16 秒）</w:t>
      </w:r>
    </w:p>
    <w:p>
      <w:pPr>
        <w:spacing w:line="360" w:lineRule="auto" w:after="80"/>
        <w:ind w:left="480" w:right="240"/>
      </w:pPr>
      <w:r>
        <w:rPr>
          <w:rFonts w:ascii="Times New Roman" w:hAnsi="Times New Roman" w:eastAsia="宋体" w:cs="Times New Roman"/>
          <w:b w:val="0"/>
          <w:i w:val="0"/>
          <w:sz w:val="24"/>
        </w:rPr>
        <w:t>「</w:t>
      </w:r>
      <w:r>
        <w:rPr>
          <w:rFonts w:ascii="Times New Roman" w:hAnsi="Times New Roman" w:eastAsia="宋体" w:cs="Times New Roman"/>
          <w:b w:val="0"/>
          <w:i w:val="0"/>
          <w:sz w:val="24"/>
        </w:rPr>
        <w:t>拿手电照一下画面中间。自动曝光把增益压下来，画面就不过曝。手移开，亮度又自己提回去。橙色那行最左边的 M 是曲线前均值，跟着光照走。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」</w:t>
      </w:r>
    </w:p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≈64 字 / 16 秒。照光 3~5 秒期间不说话，等亮度回落了再说后半句。★ 只提 M，不提 gi —— 增益早已顶到上限，不会再动。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第 5 段 · 拨码总开关（12 秒）</w:t>
      </w:r>
    </w:p>
    <w:p>
      <w:pPr>
        <w:spacing w:line="360" w:lineRule="auto" w:after="80"/>
        <w:ind w:left="480" w:right="240"/>
      </w:pPr>
      <w:r>
        <w:rPr>
          <w:rFonts w:ascii="Times New Roman" w:hAnsi="Times New Roman" w:eastAsia="宋体" w:cs="Times New Roman"/>
          <w:b w:val="0"/>
          <w:i w:val="0"/>
          <w:sz w:val="24"/>
        </w:rPr>
        <w:t>「</w:t>
      </w:r>
      <w:r>
        <w:rPr>
          <w:rFonts w:ascii="Times New Roman" w:hAnsi="Times New Roman" w:eastAsia="宋体" w:cs="Times New Roman"/>
          <w:b w:val="0"/>
          <w:i w:val="0"/>
          <w:sz w:val="24"/>
        </w:rPr>
        <w:t>看青色这行，第四、第五个字段。SW3 拨下去，MOT 变 0，绿框全没了；拨回来。SW4 拨下去，SENS 从 H 变 L，是灵敏度两档。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」</w:t>
      </w:r>
    </w:p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≈52 字 / 12 秒。这一段话说得比动作快是正常的——一边拨一边说，最后留 2 秒静默让观众看参数行。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第 6 段 · 风格化五模式（30 秒）</w:t>
      </w:r>
    </w:p>
    <w:p>
      <w:pPr>
        <w:spacing w:line="360" w:lineRule="auto" w:after="80"/>
        <w:ind w:left="480" w:right="240"/>
      </w:pPr>
      <w:r>
        <w:rPr>
          <w:rFonts w:ascii="Times New Roman" w:hAnsi="Times New Roman" w:eastAsia="宋体" w:cs="Times New Roman"/>
          <w:b w:val="0"/>
          <w:i w:val="0"/>
          <w:sz w:val="24"/>
        </w:rPr>
        <w:t>「</w:t>
      </w:r>
      <w:r>
        <w:rPr>
          <w:rFonts w:ascii="Times New Roman" w:hAnsi="Times New Roman" w:eastAsia="宋体" w:cs="Times New Roman"/>
          <w:b w:val="0"/>
          <w:i w:val="0"/>
          <w:sz w:val="24"/>
        </w:rPr>
        <w:t>现在按 K1，原始画面，什么都不做。K2 是灰度，按 BT.601 加权算的亮度。K3 是伪彩，把亮度映射成蓝到绿再到黄。长按任意一个键一秒，出来五段彩条，这是测试图。再按 K4 是卡通化，先把亮度分成四档平涂，再在相邻像素差异大的地方描黑边。右下角那个 MODE 数字，跟着从 0 变到 4。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」</w:t>
      </w:r>
    </w:p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≈123 字 / 30 秒。每档停 5~6 秒，旁白在档位切换的瞬间报名字，然后静默 3~4 秒让画面自己说话。最后一句「MODE 数字从 0 变到 4」在 K4 出来后补。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第 7 段 · 运动检测（16 秒）</w:t>
      </w:r>
    </w:p>
    <w:p>
      <w:pPr>
        <w:spacing w:line="360" w:lineRule="auto" w:after="80"/>
        <w:ind w:left="480" w:right="240"/>
      </w:pPr>
      <w:r>
        <w:rPr>
          <w:rFonts w:ascii="Times New Roman" w:hAnsi="Times New Roman" w:eastAsia="宋体" w:cs="Times New Roman"/>
          <w:b w:val="0"/>
          <w:i w:val="0"/>
          <w:sz w:val="24"/>
        </w:rPr>
        <w:t>「</w:t>
      </w:r>
      <w:r>
        <w:rPr>
          <w:rFonts w:ascii="Times New Roman" w:hAnsi="Times New Roman" w:eastAsia="宋体" w:cs="Times New Roman"/>
          <w:b w:val="0"/>
          <w:i w:val="0"/>
          <w:sz w:val="24"/>
        </w:rPr>
        <w:t>静止时画面里没有框。手从五十厘米外横划过去，出红方块，跟着手走。手一离开框就没了。它是块级帧差，全画面只存一百四十四个字节的块均值，不用帧缓存。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」</w:t>
      </w:r>
    </w:p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≈72 字 / 16 秒。先静 3 秒（让观众确认「真的没框」），再划过，停下 3 秒。★ 千万不要把手贴到镜头上。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第 8 段 · 目标检测（16 秒）</w:t>
      </w:r>
    </w:p>
    <w:p>
      <w:pPr>
        <w:spacing w:line="360" w:lineRule="auto" w:after="80"/>
        <w:ind w:left="480" w:right="240"/>
      </w:pPr>
      <w:r>
        <w:rPr>
          <w:rFonts w:ascii="Times New Roman" w:hAnsi="Times New Roman" w:eastAsia="宋体" w:cs="Times New Roman"/>
          <w:b w:val="0"/>
          <w:i w:val="0"/>
          <w:sz w:val="24"/>
        </w:rPr>
        <w:t>「</w:t>
      </w:r>
      <w:r>
        <w:rPr>
          <w:rFonts w:ascii="Times New Roman" w:hAnsi="Times New Roman" w:eastAsia="宋体" w:cs="Times New Roman"/>
          <w:b w:val="0"/>
          <w:i w:val="0"/>
          <w:sz w:val="24"/>
        </w:rPr>
        <w:t>红笔一进画面就出绿框，紧贴笔身。笔动框跟着动，笔移出去，框保持一秒再消失。它是按颜色分块判的，两帧确认加孤立块滤除，所以空场景不会误出框。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」</w:t>
      </w:r>
    </w:p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≈69 字 / 16 秒。举笔停 3 秒 → 缓慢左右移 3 秒 → 移出，数满 1 秒再说「保持一秒再消失」。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第 9 段 · 参数收尾（10 秒）</w:t>
      </w:r>
    </w:p>
    <w:p>
      <w:pPr>
        <w:spacing w:line="360" w:lineRule="auto" w:after="80"/>
        <w:ind w:left="480" w:right="240"/>
      </w:pPr>
      <w:r>
        <w:rPr>
          <w:rFonts w:ascii="Times New Roman" w:hAnsi="Times New Roman" w:eastAsia="宋体" w:cs="Times New Roman"/>
          <w:b w:val="0"/>
          <w:i w:val="0"/>
          <w:sz w:val="24"/>
        </w:rPr>
        <w:t>「</w:t>
      </w:r>
      <w:r>
        <w:rPr>
          <w:rFonts w:ascii="Times New Roman" w:hAnsi="Times New Roman" w:eastAsia="宋体" w:cs="Times New Roman"/>
          <w:b w:val="0"/>
          <w:i w:val="0"/>
          <w:sz w:val="24"/>
        </w:rPr>
        <w:t>最后回到卡通化。整套系统 1280×720，60 帧，LUT6 用了 77.3%，ERAM 用了 47.2%，时序余量正 104 皮秒。从头到尾没接过电脑。</w:t>
      </w:r>
      <w:r>
        <w:rPr>
          <w:rFonts w:ascii="Times New Roman" w:hAnsi="Times New Roman" w:eastAsia="宋体" w:cs="Times New Roman"/>
          <w:b w:val="0"/>
          <w:i w:val="0"/>
          <w:sz w:val="24"/>
        </w:rPr>
        <w:t>」</w:t>
      </w:r>
    </w:p>
    <w:p>
      <w:pPr>
        <w:spacing w:line="312" w:lineRule="auto" w:before="40" w:after="120"/>
        <w:ind w:left="480"/>
      </w:pPr>
      <w:r>
        <w:rPr>
          <w:rFonts w:ascii="Times New Roman" w:hAnsi="Times New Roman" w:eastAsia="宋体" w:cs="Times New Roman"/>
          <w:b w:val="0"/>
          <w:i w:val="0"/>
          <w:color w:val="666666"/>
          <w:sz w:val="21"/>
        </w:rPr>
        <w:t>≈48 字 / 10 秒。数字念得慢一点，最好屏幕上有字幕同步。「从头到尾没有接电脑」是收尾锤，说完定格。</w:t>
      </w:r>
    </w:p>
    <w:p>
      <w:pPr>
        <w:spacing w:before="360" w:after="120" w:line="312" w:lineRule="auto"/>
      </w:pPr>
      <w:r>
        <w:rPr>
          <w:rFonts w:ascii="Times New Roman" w:hAnsi="Times New Roman" w:eastAsia="宋体" w:cs="Times New Roman"/>
          <w:b/>
          <w:i w:val="0"/>
          <w:color w:val="1F3B66"/>
          <w:sz w:val="30"/>
        </w:rPr>
        <w:t>五、两处必须按检查表改口的地方</w:t>
      </w:r>
    </w:p>
    <w:p>
      <w:pPr>
        <w:spacing w:line="360" w:lineRule="auto" w:before="0" w:after="0"/>
        <w:ind w:firstLine="480"/>
      </w:pPr>
      <w:r>
        <w:rPr>
          <w:rFonts w:ascii="Times New Roman" w:hAnsi="Times New Roman" w:eastAsia="宋体" w:cs="Times New Roman"/>
          <w:b w:val="0"/>
          <w:i w:val="0"/>
          <w:sz w:val="24"/>
        </w:rPr>
        <w:t>这两处是核对两份文档时发现的脚本与检查表冲突。检查表自己写着「两处若有不一致，以本表的『必看现象』为准」，所以旁白按检查表写，要知道为什么：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改动 1 · 第 4 段不能说「gi 会跟着变」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 w:val="0"/>
          <w:i w:val="0"/>
          <w:sz w:val="24"/>
        </w:rPr>
        <w:t>· 脚本表 1 原话：「橙字里的 M 和 W 会跟着变」。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 w:val="0"/>
          <w:i w:val="0"/>
          <w:sz w:val="24"/>
        </w:rPr>
        <w:t>· 检查表原话：「gi 一直不动其实正常（已顶到上限时不动）；只要画面亮度有反应就算过」。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 w:val="0"/>
          <w:i w:val="0"/>
          <w:sz w:val="24"/>
        </w:rPr>
        <w:t>· 实际情况：光照偏暗时 AE 早已把增益顶到 127 上限，再照手电也不会往上动。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 w:val="0"/>
          <w:i w:val="0"/>
          <w:sz w:val="24"/>
        </w:rPr>
        <w:t>· 处理：旁白只提 M（曲线前画面均值，它会随光照变），不提 gi。说错了评委一盯遥测就露。</w:t>
      </w:r>
    </w:p>
    <w:p>
      <w:pPr>
        <w:spacing w:before="280" w:after="80" w:line="312" w:lineRule="auto"/>
      </w:pPr>
      <w:r>
        <w:rPr>
          <w:rFonts w:ascii="Times New Roman" w:hAnsi="Times New Roman" w:eastAsia="宋体" w:cs="Times New Roman"/>
          <w:b/>
          <w:i w:val="0"/>
          <w:sz w:val="26"/>
        </w:rPr>
        <w:t>改动 2 · 第 3 段不要说「四角泛绿」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 w:val="0"/>
          <w:i w:val="0"/>
          <w:sz w:val="24"/>
        </w:rPr>
        <w:t>· 脚本原话：「画面四角泛绿」。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 w:val="0"/>
          <w:i w:val="0"/>
          <w:sz w:val="24"/>
        </w:rPr>
        <w:t>· 检查表原话：「边角偏色变化」（更含糊）。</w:t>
      </w: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 w:val="0"/>
          <w:i w:val="0"/>
          <w:sz w:val="24"/>
        </w:rPr>
        <w:t>· 处理：按检查表说「边角开始偏色」，不指定颜色——偏色方向会随场景和光照变。说「偏色」永远不会错，说「泛绿」可能对不上现场。</w:t>
      </w:r>
    </w:p>
    <w:p>
      <w:pPr>
        <w:spacing w:line="360" w:lineRule="auto" w:before="200" w:after="0"/>
      </w:pPr>
    </w:p>
    <w:p>
      <w:pPr>
        <w:spacing w:line="360" w:lineRule="auto"/>
        <w:ind w:firstLine="480"/>
      </w:pPr>
      <w:r>
        <w:rPr>
          <w:rFonts w:ascii="Times New Roman" w:hAnsi="Times New Roman" w:eastAsia="宋体" w:cs="Times New Roman"/>
          <w:b w:val="0"/>
          <w:i/>
          <w:color w:val="555555"/>
          <w:sz w:val="22"/>
        </w:rPr>
        <w:t>录制提示：一遍录完不要停，念错了整段重录（不要剪接单句，剪接后语速会突跳）。提词卡按本稿逐句排，一人念一人操作拨码。</w:t>
      </w:r>
    </w:p>
    <w:sectPr w:rsidR="00FC693F" w:rsidRPr="0006063C" w:rsidSect="00034616">
      <w:pgSz w:w="11906" w:h="16838"/>
      <w:pgMar w:top="1361" w:right="1474" w:bottom="1361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 w:ascii="Times New Roman" w:hAnsi="Times New Roman" w:eastAsia="宋体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Times New Roman" w:hAnsi="Times New Roman" w:eastAsia="宋体" w:cs="Times New Roman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Times New Roman" w:hAnsi="Times New Roman" w:eastAsia="宋体"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Times New Roman" w:hAnsi="Times New Roman" w:eastAsia="宋体" w:cs="Times New Roman"/>
    </w:rPr>
  </w:style>
  <w:style w:type="table" w:default="1" w:styleId="TableNormal">
    <w:name w:val="Normal Table"/>
    <w:uiPriority w:val="99"/>
    <w:semiHidden/>
    <w:unhideWhenUsed/>
    <w:rPr>
      <w:rFonts w:ascii="Times New Roman" w:hAnsi="Times New Roman" w:eastAsia="宋体" w:cs="Times New Roma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Times New Roman" w:hAnsi="Times New Roman" w:eastAsia="宋体" w:cs="Times New Roman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Times New Roman" w:hAnsi="Times New Roman" w:eastAsia="宋体" w:cs="Times New Roman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Times New Roman" w:hAnsi="Times New Roman" w:eastAsia="宋体" w:cs="Times New Roman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Times New Roman" w:hAnsi="Times New Roman" w:eastAsia="宋体" w:cs="Times New Roman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Times New Roman" w:hAnsi="Times New Roman" w:eastAsia="宋体" w:cs="Times New Roman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Times New Roman" w:hAnsi="Times New Roman" w:eastAsia="宋体" w:cs="Times New Roman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Times New Roman" w:hAnsi="Times New Roman" w:eastAsia="宋体" w:cs="Times New Roman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Times New Roman" w:hAnsi="Times New Roman" w:eastAsia="宋体" w:cs="Times New Roman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Times New Roman" w:hAnsi="Times New Roman" w:eastAsia="宋体" w:cs="Times New Roman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Times New Roman" w:hAnsi="Times New Roman" w:eastAsia="宋体" w:cs="Times New Roman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Times New Roman" w:hAnsi="Times New Roman" w:eastAsia="宋体" w:cs="Times New Roman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Times New Roman" w:hAnsi="Times New Roman" w:eastAsia="宋体" w:cs="Times New Roman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Times New Roman" w:hAnsi="Times New Roman" w:eastAsia="宋体" w:cs="Times New Roman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Times New Roman" w:hAnsi="Times New Roman" w:eastAsia="宋体" w:cs="Times New Roman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Times New Roman" w:hAnsi="Times New Roman" w:eastAsia="宋体" w:cs="Times New Roman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Times New Roman" w:hAnsi="Times New Roman" w:eastAsia="宋体" w:cs="Times New Roman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Times New Roman" w:hAnsi="Times New Roman" w:eastAsia="宋体" w:cs="Times New Roman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Times New Roman" w:hAnsi="Times New Roman" w:eastAsia="宋体" w:cs="Times New Roman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Times New Roman" w:hAnsi="Times New Roman" w:eastAsia="宋体" w:cs="Times New Roman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Times New Roman" w:hAnsi="Times New Roman" w:eastAsia="宋体" w:cs="Times New Roman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Times New Roman" w:hAnsi="Times New Roman" w:eastAsia="宋体" w:cs="Times New Roman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Times New Roman" w:hAnsi="Times New Roman" w:eastAsia="宋体" w:cs="Times New Roman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Times New Roman" w:hAnsi="Times New Roman" w:eastAsia="宋体" w:cs="Times New Roman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Times New Roman" w:hAnsi="Times New Roman" w:eastAsia="宋体" w:cs="Times New Roman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Times New Roman" w:hAnsi="Times New Roman" w:eastAsia="宋体" w:cs="Times New Roman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Times New Roman" w:hAnsi="Times New Roman" w:eastAsia="宋体" w:cs="Times New Roman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Times New Roman" w:hAnsi="Times New Roman" w:eastAsia="宋体" w:cs="Times New Roman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Times New Roman" w:hAnsi="Times New Roman" w:eastAsia="宋体" w:cs="Times New Roman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Times New Roman" w:hAnsi="Times New Roman" w:eastAsia="宋体" w:cs="Times New Roman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Times New Roman" w:hAnsi="Times New Roman" w:eastAsia="宋体" w:cs="Times New Roman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Times New Roman" w:hAnsi="Times New Roman" w:eastAsia="宋体" w:cs="Times New Roman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Times New Roman" w:hAnsi="Times New Roman" w:eastAsia="宋体" w:cs="Times New Roman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Times New Roman" w:hAnsi="Times New Roman" w:eastAsia="宋体" w:cs="Times New Roman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Times New Roman" w:hAnsi="Times New Roman" w:eastAsia="宋体" w:cs="Times New Roman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Times New Roman" w:hAnsi="Times New Roman" w:eastAsia="宋体" w:cs="Times New Roman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Times New Roman" w:hAnsi="Times New Roman" w:eastAsia="宋体" w:cs="Times New Roman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宋体" w:cs="Times New Roman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宋体" w:cs="Times New Roman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宋体" w:cs="Times New Roman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宋体" w:cs="Times New Roman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宋体" w:cs="Times New Roman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宋体" w:cs="Times New Roman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Times New Roman" w:hAnsi="Times New Roman" w:eastAsia="宋体" w:cs="Times New Roman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</w:tblStylePr>
    <w:tblStylePr w:type="la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</w:tblStylePr>
    <w:tblStylePr w:type="la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</w:tblStylePr>
    <w:tblStylePr w:type="la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</w:tblStylePr>
    <w:tblStylePr w:type="la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</w:tblStylePr>
    <w:tblStylePr w:type="la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</w:tblStylePr>
    <w:tblStylePr w:type="la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</w:tblStylePr>
    <w:tblStylePr w:type="lastCol">
      <w:rPr>
        <w:rFonts w:asciiTheme="majorHAnsi" w:eastAsiaTheme="majorEastAsia" w:hAnsiTheme="majorHAnsi" w:cstheme="majorBidi" w:ascii="Times New Roman" w:hAnsi="Times New Roman" w:eastAsia="宋体" w:cs="Times New Roman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Times New Roman" w:hAnsi="Times New Roman" w:eastAsia="宋体" w:cs="Times New Roman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Times New Roman" w:hAnsi="Times New Roman" w:eastAsia="宋体" w:cs="Times New Roman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Times New Roman" w:hAnsi="Times New Roman" w:eastAsia="宋体" w:cs="Times New Roman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Times New Roman" w:hAnsi="Times New Roman" w:eastAsia="宋体" w:cs="Times New Roman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Times New Roman" w:hAnsi="Times New Roman" w:eastAsia="宋体" w:cs="Times New Roman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Times New Roman" w:hAnsi="Times New Roman" w:eastAsia="宋体" w:cs="Times New Roman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 w:ascii="Times New Roman" w:hAnsi="Times New Roman" w:eastAsia="宋体" w:cs="Times New Roman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Times New Roman" w:hAnsi="Times New Roman" w:eastAsia="宋体" w:cs="Times New Roman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宋体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宋体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宋体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宋体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宋体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宋体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Times New Roman" w:hAnsi="Times New Roman" w:eastAsia="宋体" w:cs="Times New Roman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Times New Roman" w:hAnsi="Times New Roman" w:eastAsia="宋体" w:cs="Times New Roman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