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Arial" w:cs="Arial" w:eastAsia="Microsoft YaHei" w:hAnsi="Arial"/>
          <w:color w:val="1A5276"/>
          <w:sz w:val="36"/>
          <w:szCs w:val="36"/>
        </w:rPr>
        <w:t xml:space="preserve">ACR Companion 评审人员使用手册</w:t>
      </w:r>
    </w:p>
    <w:p>
      <w:pPr>
        <w:spacing w:after="120"/>
      </w:pPr>
      <w:r>
        <w:rPr>
          <w:rFonts w:ascii="Arial" w:cs="Arial" w:eastAsia="Microsoft YaHei" w:hAnsi="Arial"/>
          <w:b/>
          <w:bCs/>
        </w:rPr>
        <w:t xml:space="preserve">适用版本：</w:t>
      </w:r>
      <w:r>
        <w:rPr>
          <w:rFonts w:ascii="Arial" w:cs="Arial" w:eastAsia="Microsoft YaHei" w:hAnsi="Arial"/>
        </w:rPr>
        <w:t xml:space="preserve"> v0.6.7（Build 48）。您所使用的版本显示在【关于】页面。</w:t>
      </w:r>
    </w:p>
    <w:p>
      <w:pPr>
        <w:spacing w:after="120"/>
      </w:pPr>
      <w:r>
        <w:rPr>
          <w:rFonts w:ascii="Arial" w:cs="Arial" w:eastAsia="Microsoft YaHei" w:hAnsi="Arial"/>
          <w:b/>
          <w:bCs/>
        </w:rPr>
        <w:t xml:space="preserve">更新日期：</w:t>
      </w:r>
      <w:r>
        <w:rPr>
          <w:rFonts w:ascii="Arial" w:cs="Arial" w:eastAsia="Microsoft YaHei" w:hAnsi="Arial"/>
        </w:rPr>
        <w:t xml:space="preserve"> 2026 年 9 月 18 日</w:t>
      </w:r>
    </w:p>
    <w:p>
      <w:pPr>
        <w:spacing w:after="120"/>
      </w:pPr>
      <w:r>
        <w:rPr>
          <w:rFonts w:ascii="Arial" w:cs="Arial" w:eastAsia="Microsoft YaHei" w:hAnsi="Arial"/>
          <w:b/>
          <w:bCs/>
        </w:rPr>
        <w:t xml:space="preserve">状态：</w:t>
      </w:r>
      <w:r>
        <w:rPr>
          <w:rFonts w:ascii="Arial" w:cs="Arial" w:eastAsia="Microsoft YaHei" w:hAnsi="Arial"/>
        </w:rPr>
        <w:t xml:space="preserve"> 已获 CRIL 批准用于本次受邀评估，不对外公开发布。</w:t>
      </w:r>
    </w:p>
    <w:p>
      <w:pPr>
        <w:spacing w:after="120"/>
      </w:pPr>
      <w:r>
        <w:rPr>
          <w:rFonts w:ascii="Arial" w:cs="Arial" w:eastAsia="Microsoft YaHei" w:hAnsi="Arial"/>
          <w:b/>
          <w:bCs/>
        </w:rPr>
        <w:t xml:space="preserve">适用对象：</w:t>
      </w:r>
      <w:r>
        <w:rPr>
          <w:rFonts w:ascii="Arial" w:cs="Arial" w:eastAsia="Microsoft YaHei" w:hAnsi="Arial"/>
        </w:rPr>
        <w:t xml:space="preserve"> 受邀的临床评审人员及评审测试人员。</w:t>
      </w:r>
    </w:p>
    <w:p>
      <w:pPr>
        <w:spacing w:after="120"/>
      </w:pPr>
      <w:r>
        <w:rPr>
          <w:rFonts w:ascii="Arial" w:cs="Arial" w:eastAsia="Microsoft YaHei" w:hAnsi="Arial"/>
          <w:b/>
          <w:bCs/>
        </w:rPr>
        <w:t xml:space="preserve">英文版：</w:t>
      </w:r>
      <w:r>
        <w:rPr>
          <w:rFonts w:ascii="Arial" w:cs="Arial" w:eastAsia="Microsoft YaHei" w:hAnsi="Arial"/>
        </w:rPr>
        <w:t xml:space="preserve"> ACR_Companion_User_Manual_EN。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1. 阅读前须知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仅限合成数据。</w:t>
      </w:r>
      <w:r>
        <w:rPr>
          <w:rFonts w:ascii="Arial" w:cs="Arial" w:eastAsia="Microsoft YaHei" w:hAnsi="Arial"/>
        </w:rPr>
        <w:t xml:space="preserve"> 切勿输入任何真实患者的信息，包括经过编码或假名化处理的信息。本应用不要求输入姓名或病历号。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不用于临床。</w:t>
      </w:r>
      <w:r>
        <w:rPr>
          <w:rFonts w:ascii="Arial" w:cs="Arial" w:eastAsia="Microsoft YaHei" w:hAnsi="Arial"/>
        </w:rPr>
        <w:t xml:space="preserve"> 结果仅为评估用途的决策支持，不得用于任何人的诊断或治疗。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应用本身不含任何临床规则。</w:t>
      </w:r>
      <w:r>
        <w:rPr>
          <w:rFonts w:ascii="Arial" w:cs="Arial" w:eastAsia="Microsoft YaHei" w:hAnsi="Arial"/>
        </w:rPr>
        <w:t xml:space="preserve"> 结果中的所有内容均来自 ACR 平台。应用只负责收集您的输入、安全发送，并显示返回结果。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规则如何运作</w:t>
      </w:r>
      <w:r>
        <w:rPr>
          <w:rFonts w:ascii="Arial" w:cs="Arial" w:eastAsia="Microsoft YaHei" w:hAnsi="Arial"/>
        </w:rPr>
        <w:t xml:space="preserve">（分子亚型、风险、治疗方案、贝叶斯置信度）详见配套文件《ACR Companion — ZZU 评审人员审核与测试清单》。本手册只说明如何使用应用。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本手册中，【】内的文字为应用中文界面上按钮和页面的原文。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2. 准备事项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6"/>
        <w:gridCol w:w="8252"/>
      </w:tblGrid>
      <w:tr>
        <w:trPr>
          <w:cantSplit/>
          <w:tblHeader w:val="false"/>
        </w:trPr>
        <w:tc>
          <w:tcPr>
            <w:tcW w:type="dxa" w:w="138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手机</w:t>
            </w:r>
          </w:p>
        </w:tc>
        <w:tc>
          <w:tcPr>
            <w:tcW w:type="dxa" w:w="825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Android 手机或 iPhone</w:t>
            </w:r>
          </w:p>
        </w:tc>
      </w:tr>
      <w:tr>
        <w:trPr>
          <w:cantSplit/>
          <w:tblHeader w:val="false"/>
        </w:trPr>
        <w:tc>
          <w:tcPr>
            <w:tcW w:type="dxa" w:w="138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邀请码</w:t>
            </w:r>
          </w:p>
        </w:tc>
        <w:tc>
          <w:tcPr>
            <w:tcW w:type="dxa" w:w="825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由 CRIL 发给您本人的专用邀请码，请妥善保管，勿与他人共享</w:t>
            </w:r>
          </w:p>
        </w:tc>
      </w:tr>
      <w:tr>
        <w:trPr>
          <w:cantSplit/>
          <w:tblHeader w:val="false"/>
        </w:trPr>
        <w:tc>
          <w:tcPr>
            <w:tcW w:type="dxa" w:w="138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网络</w:t>
            </w:r>
          </w:p>
        </w:tc>
        <w:tc>
          <w:tcPr>
            <w:tcW w:type="dxa" w:w="825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获取结果需要 Wi-Fi 或移动数据</w:t>
            </w:r>
          </w:p>
        </w:tc>
      </w:tr>
      <w:tr>
        <w:trPr>
          <w:cantSplit/>
          <w:tblHeader w:val="false"/>
        </w:trPr>
        <w:tc>
          <w:tcPr>
            <w:tcW w:type="dxa" w:w="138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语言</w:t>
            </w:r>
          </w:p>
        </w:tc>
        <w:tc>
          <w:tcPr>
            <w:tcW w:type="dxa" w:w="825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English (UK)、简体中文、Français、Deutsch、Русский、العربية、한국어、日本語。目前只有英文和中文经过核对，其他语言为草稿译文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Arial" w:cs="Arial" w:eastAsia="Microsoft YaHei" w:hAnsi="Arial"/>
        </w:rPr>
        <w:t xml:space="preserve">3. 安装应用</w:t>
      </w:r>
    </w:p>
    <w:p>
      <w:pPr>
        <w:spacing w:after="120"/>
      </w:pPr>
      <w:r>
        <w:rPr>
          <w:rFonts w:ascii="Arial" w:cs="Arial" w:eastAsia="Microsoft YaHei" w:hAnsi="Arial"/>
          <w:b/>
          <w:bCs/>
        </w:rPr>
        <w:t xml:space="preserve">CRIL 会告知您本人手机的安装方式。</w:t>
      </w:r>
      <w:r>
        <w:rPr>
          <w:rFonts w:ascii="Arial" w:cs="Arial" w:eastAsia="Microsoft YaHei" w:hAnsi="Arial"/>
        </w:rPr>
        <w:t xml:space="preserve"> 请只安装 CRIL 发送给您的文件或链接。</w:t>
      </w:r>
    </w:p>
    <w:p>
      <w:pPr>
        <w:spacing w:after="120"/>
      </w:pPr>
      <w:r>
        <w:rPr>
          <w:rFonts w:ascii="Arial" w:cs="Arial" w:eastAsia="Microsoft YaHei" w:hAnsi="Arial"/>
          <w:b/>
          <w:bCs/>
        </w:rPr>
        <w:t xml:space="preserve">Android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Microsoft YaHei" w:hAnsi="Arial"/>
        </w:rPr>
        <w:t xml:space="preserve">打开 CRIL 发送的安装文件（以 </w:t>
      </w:r>
      <w:r>
        <w:rPr>
          <w:rFonts w:ascii="Consolas" w:cs="Arial" w:eastAsia="Microsoft YaHei" w:hAnsi="Consolas"/>
          <w:sz w:val="18"/>
          <w:szCs w:val="18"/>
        </w:rPr>
        <w:t xml:space="preserve">.apk</w:t>
      </w:r>
      <w:r>
        <w:rPr>
          <w:rFonts w:ascii="Arial" w:cs="Arial" w:eastAsia="Microsoft YaHei" w:hAnsi="Arial"/>
        </w:rPr>
        <w:t xml:space="preserve"> 结尾）。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Microsoft YaHei" w:hAnsi="Arial"/>
        </w:rPr>
        <w:t xml:space="preserve">如手机提示，请允许从该来源（例如浏览器或文件管理器）安装。部分手机（如小米、三星）会显示额外的安全提示，请选择继续安装。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Microsoft YaHei" w:hAnsi="Arial"/>
        </w:rPr>
        <w:t xml:space="preserve">安装完成后，打开 </w:t>
      </w:r>
      <w:r>
        <w:rPr>
          <w:rFonts w:ascii="Arial" w:cs="Arial" w:eastAsia="Microsoft YaHei" w:hAnsi="Arial"/>
          <w:b/>
          <w:bCs/>
        </w:rPr>
        <w:t xml:space="preserve">ACR Companion</w:t>
      </w:r>
      <w:r>
        <w:rPr>
          <w:rFonts w:ascii="Arial" w:cs="Arial" w:eastAsia="Microsoft YaHei" w:hAnsi="Arial"/>
        </w:rPr>
        <w:t xml:space="preserve">。</w:t>
      </w:r>
    </w:p>
    <w:p>
      <w:pPr>
        <w:spacing w:after="120"/>
      </w:pPr>
      <w:r>
        <w:rPr>
          <w:rFonts w:ascii="Arial" w:cs="Arial" w:eastAsia="Microsoft YaHei" w:hAnsi="Arial"/>
          <w:b/>
          <w:bCs/>
        </w:rPr>
        <w:t xml:space="preserve">iPhone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iPhone 的安装由 CRIL 另行安排。首次打开时，iPhone 可能要求您信任开发者：请前往「设置 → 通用 → VPN 与设备管理」并选择信任。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如手机上已安装旧版本，CRIL 会告知您直接覆盖更新，还是先删除旧版本。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4. 页面一览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73"/>
        <w:gridCol w:w="2478"/>
        <w:gridCol w:w="5587"/>
      </w:tblGrid>
      <w:tr>
        <w:trPr>
          <w:cantSplit/>
          <w:tblHeader/>
        </w:trPr>
        <w:tc>
          <w:tcPr>
            <w:tcW w:type="dxa" w:w="157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顺序</w:t>
            </w:r>
          </w:p>
        </w:tc>
        <w:tc>
          <w:tcPr>
            <w:tcW w:type="dxa" w:w="24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页面</w:t>
            </w:r>
          </w:p>
        </w:tc>
        <w:tc>
          <w:tcPr>
            <w:tcW w:type="dxa" w:w="558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操作内容</w:t>
            </w:r>
          </w:p>
        </w:tc>
      </w:tr>
      <w:tr>
        <w:trPr>
          <w:cantSplit/>
          <w:tblHeader w:val="false"/>
        </w:trPr>
        <w:tc>
          <w:tcPr>
            <w:tcW w:type="dxa" w:w="157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【评估访问】</w:t>
            </w:r>
          </w:p>
        </w:tc>
        <w:tc>
          <w:tcPr>
            <w:tcW w:type="dxa" w:w="558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输入邀请码连接；选择【实时平台】或【合成演示】</w:t>
            </w:r>
          </w:p>
        </w:tc>
      </w:tr>
      <w:tr>
        <w:trPr>
          <w:cantSplit/>
          <w:tblHeader w:val="false"/>
        </w:trPr>
        <w:tc>
          <w:tcPr>
            <w:tcW w:type="dxa" w:w="157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欢迎页（【开始前】）</w:t>
            </w:r>
          </w:p>
        </w:tc>
        <w:tc>
          <w:tcPr>
            <w:tcW w:type="dxa" w:w="558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阅读须知；切换语言；打开【关于】</w:t>
            </w:r>
          </w:p>
        </w:tc>
      </w:tr>
      <w:tr>
        <w:trPr>
          <w:cantSplit/>
          <w:tblHeader w:val="false"/>
        </w:trPr>
        <w:tc>
          <w:tcPr>
            <w:tcW w:type="dxa" w:w="157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 1/5 屏</w:t>
            </w:r>
          </w:p>
        </w:tc>
        <w:tc>
          <w:tcPr>
            <w:tcW w:type="dxa" w:w="24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【受体状态】</w:t>
            </w:r>
          </w:p>
        </w:tc>
        <w:tc>
          <w:tcPr>
            <w:tcW w:type="dxa" w:w="558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ER、PR、HER2、Ki-67</w:t>
            </w:r>
          </w:p>
        </w:tc>
      </w:tr>
      <w:tr>
        <w:trPr>
          <w:cantSplit/>
          <w:tblHeader w:val="false"/>
        </w:trPr>
        <w:tc>
          <w:tcPr>
            <w:tcW w:type="dxa" w:w="157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 2/5 屏</w:t>
            </w:r>
          </w:p>
        </w:tc>
        <w:tc>
          <w:tcPr>
            <w:tcW w:type="dxa" w:w="24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【肿瘤特征】</w:t>
            </w:r>
          </w:p>
        </w:tc>
        <w:tc>
          <w:tcPr>
            <w:tcW w:type="dxa" w:w="558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分期、分级、组织学亚型、淋巴结状态、年龄</w:t>
            </w:r>
          </w:p>
        </w:tc>
      </w:tr>
      <w:tr>
        <w:trPr>
          <w:cantSplit/>
          <w:tblHeader w:val="false"/>
        </w:trPr>
        <w:tc>
          <w:tcPr>
            <w:tcW w:type="dxa" w:w="157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 3/5 屏</w:t>
            </w:r>
          </w:p>
        </w:tc>
        <w:tc>
          <w:tcPr>
            <w:tcW w:type="dxa" w:w="24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【生物标志物与手术】</w:t>
            </w:r>
          </w:p>
        </w:tc>
        <w:tc>
          <w:tcPr>
            <w:tcW w:type="dxa" w:w="558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CA 15-3、CEA、手术日期、贝叶斯选项</w:t>
            </w:r>
          </w:p>
        </w:tc>
      </w:tr>
      <w:tr>
        <w:trPr>
          <w:cantSplit/>
          <w:tblHeader w:val="false"/>
        </w:trPr>
        <w:tc>
          <w:tcPr>
            <w:tcW w:type="dxa" w:w="157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 4/5 屏</w:t>
            </w:r>
          </w:p>
        </w:tc>
        <w:tc>
          <w:tcPr>
            <w:tcW w:type="dxa" w:w="24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【合同字段】</w:t>
            </w:r>
          </w:p>
        </w:tc>
        <w:tc>
          <w:tcPr>
            <w:tcW w:type="dxa" w:w="558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肿瘤大小、性别</w:t>
            </w:r>
          </w:p>
        </w:tc>
      </w:tr>
      <w:tr>
        <w:trPr>
          <w:cantSplit/>
          <w:tblHeader w:val="false"/>
        </w:trPr>
        <w:tc>
          <w:tcPr>
            <w:tcW w:type="dxa" w:w="157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 5/5 屏</w:t>
            </w:r>
          </w:p>
        </w:tc>
        <w:tc>
          <w:tcPr>
            <w:tcW w:type="dxa" w:w="24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【其他合同字段】</w:t>
            </w:r>
          </w:p>
        </w:tc>
        <w:tc>
          <w:tcPr>
            <w:tcW w:type="dxa" w:w="558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ECOG、PD-L1、HER2 低表达、LVEF、治疗意图</w:t>
            </w:r>
          </w:p>
        </w:tc>
      </w:tr>
      <w:tr>
        <w:trPr>
          <w:cantSplit/>
          <w:tblHeader w:val="false"/>
        </w:trPr>
        <w:tc>
          <w:tcPr>
            <w:tcW w:type="dxa" w:w="157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【复核】</w:t>
            </w:r>
          </w:p>
        </w:tc>
        <w:tc>
          <w:tcPr>
            <w:tcW w:type="dxa" w:w="558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检查全部内容，然后【提交】</w:t>
            </w:r>
          </w:p>
        </w:tc>
      </w:tr>
      <w:tr>
        <w:trPr>
          <w:cantSplit/>
          <w:tblHeader w:val="false"/>
        </w:trPr>
        <w:tc>
          <w:tcPr>
            <w:tcW w:type="dxa" w:w="157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【评估结果】</w:t>
            </w:r>
          </w:p>
        </w:tc>
        <w:tc>
          <w:tcPr>
            <w:tcW w:type="dxa" w:w="558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查看结果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Arial" w:cs="Arial" w:eastAsia="Microsoft YaHei" w:hAnsi="Arial"/>
        </w:rPr>
        <w:t xml:space="preserve">每个输入页面顶部显示「第 n 步，共 5 步」，底部有【返回】和【下一步】按钮。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5. 打开应用并选择语言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Microsoft YaHei" w:hAnsi="Arial"/>
        </w:rPr>
        <w:t xml:space="preserve">打开应用，首先进入【评估访问】页面。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Microsoft YaHei" w:hAnsi="Arial"/>
        </w:rPr>
        <w:t xml:space="preserve">如需切换语言，点击【返回】进入欢迎页，点击【语言】并选择。所有页面将随之切换；阿拉伯语为从右向左显示。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Microsoft YaHei" w:hAnsi="Arial"/>
        </w:rPr>
        <w:t xml:space="preserve">欢迎页还有【关于】按钮，介绍 ACR 平台并显示应用版本。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Microsoft YaHei" w:hAnsi="Arial"/>
        </w:rPr>
        <w:t xml:space="preserve">在欢迎页停留几秒后，会出现一页介绍海报。左右滑动可查看【隐私与 Cookies】声明，其中的【阅读详情】可在手机上打开本手册。向上滑动即可继续。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Microsoft YaHei" w:hAnsi="Arial"/>
        </w:rPr>
        <w:t xml:space="preserve">点击【我已了解 — 开始】返回【评估访问】。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6. 首次连接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Microsoft YaHei" w:hAnsi="Arial"/>
        </w:rPr>
        <w:t xml:space="preserve">在【评估访问】页面的【邀请码】中输入您的邀请码。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Microsoft YaHei" w:hAnsi="Arial"/>
        </w:rPr>
        <w:t xml:space="preserve">点击【安全连接】。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Microsoft YaHei" w:hAnsi="Arial"/>
        </w:rPr>
        <w:t xml:space="preserve">应用显示确认信息：「邀请码已接受，并已与本移动设备配对，仅限本设备使用。有效期 30 天。」同时显示配对时间和到期时间（UTC）。点击【继续】。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Microsoft YaHei" w:hAnsi="Arial"/>
        </w:rPr>
        <w:t xml:space="preserve">点击【下一步】开始评估。</w:t>
      </w:r>
    </w:p>
    <w:p>
      <w:pPr>
        <w:spacing w:after="120"/>
      </w:pPr>
      <w:r>
        <w:rPr>
          <w:rFonts w:ascii="Arial" w:cs="Arial" w:eastAsia="Microsoft YaHei" w:hAnsi="Arial"/>
          <w:b/>
          <w:bCs/>
        </w:rPr>
        <w:t xml:space="preserve">请注意：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邀请码仅限一部手机使用。</w:t>
      </w:r>
      <w:r>
        <w:rPr>
          <w:rFonts w:ascii="Arial" w:cs="Arial" w:eastAsia="Microsoft YaHei" w:hAnsi="Arial"/>
        </w:rPr>
        <w:t xml:space="preserve"> 首次输入邀请码的手机即与之配对。在其他手机上输入时，应用会提示「设备不正确。此设备未获此邀请码授权。」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有效期为配对后 30 天。</w:t>
      </w:r>
      <w:r>
        <w:rPr>
          <w:rFonts w:ascii="Arial" w:cs="Arial" w:eastAsia="Microsoft YaHei" w:hAnsi="Arial"/>
        </w:rPr>
        <w:t xml:space="preserve"> 到期后应用提示「邀请码已过期。请申请新的邀请码。」请向 CRIL 申请新的邀请码。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邀请码只需输入一次。</w:t>
      </w:r>
      <w:r>
        <w:rPr>
          <w:rFonts w:ascii="Arial" w:cs="Arial" w:eastAsia="Microsoft YaHei" w:hAnsi="Arial"/>
        </w:rPr>
        <w:t xml:space="preserve"> 之后每次打开应用都会自动重新连接。只有在【断开访问】之后（见第 12 节）才需重新输入，且 30 天有效期不会重新计算。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邀请码本身绝不会保存在手机上。</w:t>
      </w: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连接状态面板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同一页面的【连接证据】显示：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【网关】：</w:t>
      </w:r>
      <w:r>
        <w:rPr>
          <w:rFonts w:ascii="Arial" w:cs="Arial" w:eastAsia="Microsoft YaHei" w:hAnsi="Arial"/>
        </w:rPr>
        <w:t xml:space="preserve">【已连接】、【服务器未连接】或【正在检查…】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【基线证明】：</w:t>
      </w:r>
      <w:r>
        <w:rPr>
          <w:rFonts w:ascii="Arial" w:cs="Arial" w:eastAsia="Microsoft YaHei" w:hAnsi="Arial"/>
        </w:rPr>
        <w:t xml:space="preserve">【已验证】表示 ACR 平台正是经批准的版本，可以生成实时结果；【不匹配】或【不可用】表示实时结果被阻止。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7. 实时平台与合成演示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开始前，请在【交付模式】中选择：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67"/>
        <w:gridCol w:w="4530"/>
        <w:gridCol w:w="3241"/>
      </w:tblGrid>
      <w:tr>
        <w:trPr>
          <w:cantSplit/>
          <w:tblHeader/>
        </w:trPr>
        <w:tc>
          <w:tcPr>
            <w:tcW w:type="dxa" w:w="186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选项</w:t>
            </w:r>
          </w:p>
        </w:tc>
        <w:tc>
          <w:tcPr>
            <w:tcW w:type="dxa" w:w="453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效果</w:t>
            </w:r>
          </w:p>
        </w:tc>
        <w:tc>
          <w:tcPr>
            <w:tcW w:type="dxa" w:w="3241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适用场合</w:t>
            </w:r>
          </w:p>
        </w:tc>
      </w:tr>
      <w:tr>
        <w:trPr>
          <w:cantSplit/>
          <w:tblHeader w:val="false"/>
        </w:trPr>
        <w:tc>
          <w:tcPr>
            <w:tcW w:type="dxa" w:w="186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【实时平台】</w:t>
            </w: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（蓝色）</w:t>
            </w:r>
          </w:p>
        </w:tc>
        <w:tc>
          <w:tcPr>
            <w:tcW w:type="dxa" w:w="453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您的输入发送到 ACR 平台，由平台即时应用临床规则</w:t>
            </w:r>
          </w:p>
        </w:tc>
        <w:tc>
          <w:tcPr>
            <w:tcW w:type="dxa" w:w="3241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所有正式测试病例</w:t>
            </w:r>
          </w:p>
        </w:tc>
      </w:tr>
      <w:tr>
        <w:trPr>
          <w:cantSplit/>
          <w:tblHeader w:val="false"/>
        </w:trPr>
        <w:tc>
          <w:tcPr>
            <w:tcW w:type="dxa" w:w="186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【合成演示】</w:t>
            </w: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（琥珀色）</w:t>
            </w:r>
          </w:p>
        </w:tc>
        <w:tc>
          <w:tcPr>
            <w:tcW w:type="dxa" w:w="453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不运行任何规则。应用自动填入一个固定的演示病例，服务显示此前由实时平台针对该病例记录的结果</w:t>
            </w:r>
          </w:p>
        </w:tc>
        <w:tc>
          <w:tcPr>
            <w:tcW w:type="dxa" w:w="3241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快速查看完整结果的样式，或实时平台离线时使用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Arial" w:cs="Arial" w:eastAsia="Microsoft YaHei" w:hAnsi="Arial"/>
        </w:rPr>
        <w:t xml:space="preserve">在演示模式下，</w:t>
      </w:r>
      <w:r>
        <w:rPr>
          <w:rFonts w:ascii="Arial" w:cs="Arial" w:eastAsia="Microsoft YaHei" w:hAnsi="Arial"/>
          <w:b/>
          <w:bCs/>
        </w:rPr>
        <w:t xml:space="preserve">请勿修改任何数值</w:t>
      </w:r>
      <w:r>
        <w:rPr>
          <w:rFonts w:ascii="Arial" w:cs="Arial" w:eastAsia="Microsoft YaHei" w:hAnsi="Arial"/>
        </w:rPr>
        <w:t xml:space="preserve">。一旦修改，【复核】页面会显示红色的【演示病例已修改】提示框，且不会返回结果。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8. 输入病例</w:t>
      </w: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一般说明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必填项：</w:t>
      </w:r>
      <w:r>
        <w:rPr>
          <w:rFonts w:ascii="Arial" w:cs="Arial" w:eastAsia="Microsoft YaHei" w:hAnsi="Arial"/>
        </w:rPr>
        <w:t xml:space="preserve"> 仅第 1 屏的 ER、PR、HER2 和 Ki-67。Ki-67 填入 0 至 100 的数值之前，【下一步】不可用。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其余项均为选填，</w:t>
      </w:r>
      <w:r>
        <w:rPr>
          <w:rFonts w:ascii="Arial" w:cs="Arial" w:eastAsia="Microsoft YaHei" w:hAnsi="Arial"/>
        </w:rPr>
        <w:t xml:space="preserve"> 但部分项标有【完整评估所需】。缺少这些数值时，平台仍会返回结果，但不显示风险（见第 10 节）。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选择项</w:t>
      </w:r>
      <w:r>
        <w:rPr>
          <w:rFonts w:ascii="Arial" w:cs="Arial" w:eastAsia="Microsoft YaHei" w:hAnsi="Arial"/>
        </w:rPr>
        <w:t xml:space="preserve"> 以按钮形式显示，点击即可选中。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数值输入：</w:t>
      </w:r>
      <w:r>
        <w:rPr>
          <w:rFonts w:ascii="Arial" w:cs="Arial" w:eastAsia="Microsoft YaHei" w:hAnsi="Arial"/>
        </w:rPr>
        <w:t xml:space="preserve"> 输入后，点击键盘上方的【完成】（iPhone）或键盘上的确认键（Android）即可收起键盘。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输入错误：</w:t>
      </w:r>
      <w:r>
        <w:rPr>
          <w:rFonts w:ascii="Arial" w:cs="Arial" w:eastAsia="Microsoft YaHei" w:hAnsi="Arial"/>
        </w:rPr>
        <w:t xml:space="preserve"> 无效数值以红色显示并附简短说明，例如「请输入 0 到 100 的值。」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示例数值：</w:t>
      </w:r>
      <w:r>
        <w:rPr>
          <w:rFonts w:ascii="Arial" w:cs="Arial" w:eastAsia="Microsoft YaHei" w:hAnsi="Arial"/>
        </w:rPr>
        <w:t xml:space="preserve"> 为节省时间，新建实时评估时第 1 至 3 屏</w:t>
      </w:r>
      <w:r>
        <w:rPr>
          <w:rFonts w:ascii="Arial" w:cs="Arial" w:eastAsia="Microsoft YaHei" w:hAnsi="Arial"/>
          <w:b/>
          <w:bCs/>
        </w:rPr>
        <w:t xml:space="preserve">已预先填入</w:t>
      </w:r>
      <w:r>
        <w:rPr>
          <w:rFonts w:ascii="Arial" w:cs="Arial" w:eastAsia="Microsoft YaHei" w:hAnsi="Arial"/>
        </w:rPr>
        <w:t xml:space="preserve">一个合成示例病例，请按测试需要修改。第 4、5 屏为空白。</w:t>
      </w: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第 1/5 屏 — 受体状态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1"/>
        <w:gridCol w:w="3683"/>
        <w:gridCol w:w="2574"/>
      </w:tblGrid>
      <w:tr>
        <w:trPr>
          <w:cantSplit/>
          <w:tblHeader/>
        </w:trPr>
        <w:tc>
          <w:tcPr>
            <w:tcW w:type="dxa" w:w="3381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字段</w:t>
            </w:r>
          </w:p>
        </w:tc>
        <w:tc>
          <w:tcPr>
            <w:tcW w:type="dxa" w:w="368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输入</w:t>
            </w:r>
          </w:p>
        </w:tc>
        <w:tc>
          <w:tcPr>
            <w:tcW w:type="dxa" w:w="257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3381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ER状态</w:t>
            </w:r>
          </w:p>
        </w:tc>
        <w:tc>
          <w:tcPr>
            <w:tcW w:type="dxa" w:w="368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阳性 / 阴性</w:t>
            </w:r>
          </w:p>
        </w:tc>
        <w:tc>
          <w:tcPr>
            <w:tcW w:type="dxa" w:w="257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必填</w:t>
            </w:r>
          </w:p>
        </w:tc>
      </w:tr>
      <w:tr>
        <w:trPr>
          <w:cantSplit/>
          <w:tblHeader w:val="false"/>
        </w:trPr>
        <w:tc>
          <w:tcPr>
            <w:tcW w:type="dxa" w:w="3381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PR状态</w:t>
            </w:r>
          </w:p>
        </w:tc>
        <w:tc>
          <w:tcPr>
            <w:tcW w:type="dxa" w:w="368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阳性 / 阴性</w:t>
            </w:r>
          </w:p>
        </w:tc>
        <w:tc>
          <w:tcPr>
            <w:tcW w:type="dxa" w:w="257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必填</w:t>
            </w:r>
          </w:p>
        </w:tc>
      </w:tr>
      <w:tr>
        <w:trPr>
          <w:cantSplit/>
          <w:tblHeader w:val="false"/>
        </w:trPr>
        <w:tc>
          <w:tcPr>
            <w:tcW w:type="dxa" w:w="3381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HER2状态</w:t>
            </w:r>
          </w:p>
        </w:tc>
        <w:tc>
          <w:tcPr>
            <w:tcW w:type="dxa" w:w="368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阳性 / 阴性</w:t>
            </w:r>
          </w:p>
        </w:tc>
        <w:tc>
          <w:tcPr>
            <w:tcW w:type="dxa" w:w="257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必填</w:t>
            </w:r>
          </w:p>
        </w:tc>
      </w:tr>
      <w:tr>
        <w:trPr>
          <w:cantSplit/>
          <w:tblHeader w:val="false"/>
        </w:trPr>
        <w:tc>
          <w:tcPr>
            <w:tcW w:type="dxa" w:w="3381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Ki-67 (%)</w:t>
            </w:r>
          </w:p>
        </w:tc>
        <w:tc>
          <w:tcPr>
            <w:tcW w:type="dxa" w:w="368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0–100</w:t>
            </w:r>
          </w:p>
        </w:tc>
        <w:tc>
          <w:tcPr>
            <w:tcW w:type="dxa" w:w="257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必填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Arial" w:cs="Arial" w:eastAsia="Microsoft YaHei" w:hAnsi="Arial"/>
        </w:rPr>
        <w:t xml:space="preserve">提示「管腔A型 &lt; 14，管腔B型 ≥ 14」仅供参考，分子亚型由平台判定。</w:t>
      </w:r>
    </w:p>
    <w:p>
      <w:pPr>
        <w:spacing w:after="120"/>
      </w:pPr>
      <w:r>
        <w:rPr>
          <w:rFonts w:ascii="Arial" w:cs="Arial" w:eastAsia="Microsoft YaHei" w:hAnsi="Arial"/>
          <w:i/>
          <w:iCs/>
        </w:rPr>
        <w:t xml:space="preserve">请注意：HER2 目前只有「阳性」和「阴性」两个选项，尚无「2+，ISH 待定」（可疑）选项。按常规应记录为可疑的病例目前无法如实录入；如这会影响您的测试，请告知 CRIL。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本页还显示【会话ID】，这是每次评估随机生成的编号，并非患者标识。</w:t>
      </w: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第 2/5 屏 — 肿瘤特征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35"/>
        <w:gridCol w:w="5167"/>
        <w:gridCol w:w="2436"/>
      </w:tblGrid>
      <w:tr>
        <w:trPr>
          <w:cantSplit/>
          <w:tblHeader/>
        </w:trPr>
        <w:tc>
          <w:tcPr>
            <w:tcW w:type="dxa" w:w="203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字段</w:t>
            </w:r>
          </w:p>
        </w:tc>
        <w:tc>
          <w:tcPr>
            <w:tcW w:type="dxa" w:w="516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输入</w:t>
            </w:r>
          </w:p>
        </w:tc>
        <w:tc>
          <w:tcPr>
            <w:tcW w:type="dxa" w:w="243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203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分期</w:t>
            </w:r>
          </w:p>
        </w:tc>
        <w:tc>
          <w:tcPr>
            <w:tcW w:type="dxa" w:w="516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0 至 IV 期，含亚分期</w:t>
            </w:r>
          </w:p>
        </w:tc>
        <w:tc>
          <w:tcPr>
            <w:tcW w:type="dxa" w:w="243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完整评估所需</w:t>
            </w:r>
          </w:p>
        </w:tc>
      </w:tr>
      <w:tr>
        <w:trPr>
          <w:cantSplit/>
          <w:tblHeader w:val="false"/>
        </w:trPr>
        <w:tc>
          <w:tcPr>
            <w:tcW w:type="dxa" w:w="203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分级</w:t>
            </w:r>
          </w:p>
        </w:tc>
        <w:tc>
          <w:tcPr>
            <w:tcW w:type="dxa" w:w="516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1、2 或 3</w:t>
            </w:r>
          </w:p>
        </w:tc>
        <w:tc>
          <w:tcPr>
            <w:tcW w:type="dxa" w:w="243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完整评估所需</w:t>
            </w:r>
          </w:p>
        </w:tc>
      </w:tr>
      <w:tr>
        <w:trPr>
          <w:cantSplit/>
          <w:tblHeader w:val="false"/>
        </w:trPr>
        <w:tc>
          <w:tcPr>
            <w:tcW w:type="dxa" w:w="203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组织学亚型</w:t>
            </w:r>
          </w:p>
        </w:tc>
        <w:tc>
          <w:tcPr>
            <w:tcW w:type="dxa" w:w="516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IDC、ILC、DCIS 或佩吉特病</w:t>
            </w:r>
          </w:p>
        </w:tc>
        <w:tc>
          <w:tcPr>
            <w:tcW w:type="dxa" w:w="243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选填</w:t>
            </w:r>
          </w:p>
        </w:tc>
      </w:tr>
      <w:tr>
        <w:trPr>
          <w:cantSplit/>
          <w:tblHeader w:val="false"/>
        </w:trPr>
        <w:tc>
          <w:tcPr>
            <w:tcW w:type="dxa" w:w="203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淋巴结状态</w:t>
            </w:r>
          </w:p>
        </w:tc>
        <w:tc>
          <w:tcPr>
            <w:tcW w:type="dxa" w:w="516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N0、N1、N2 或 N3</w:t>
            </w:r>
          </w:p>
        </w:tc>
        <w:tc>
          <w:tcPr>
            <w:tcW w:type="dxa" w:w="243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完整评估所需</w:t>
            </w:r>
          </w:p>
        </w:tc>
      </w:tr>
      <w:tr>
        <w:trPr>
          <w:cantSplit/>
          <w:tblHeader w:val="false"/>
        </w:trPr>
        <w:tc>
          <w:tcPr>
            <w:tcW w:type="dxa" w:w="203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年龄（岁）</w:t>
            </w:r>
          </w:p>
        </w:tc>
        <w:tc>
          <w:tcPr>
            <w:tcW w:type="dxa" w:w="516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整岁，18–120</w:t>
            </w:r>
          </w:p>
        </w:tc>
        <w:tc>
          <w:tcPr>
            <w:tcW w:type="dxa" w:w="243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完整评估所需</w:t>
            </w: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第 3/5 屏 — 生物标志物与手术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92"/>
        <w:gridCol w:w="4584"/>
        <w:gridCol w:w="1862"/>
      </w:tblGrid>
      <w:tr>
        <w:trPr>
          <w:cantSplit/>
          <w:tblHeader/>
        </w:trPr>
        <w:tc>
          <w:tcPr>
            <w:tcW w:type="dxa" w:w="319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字段</w:t>
            </w:r>
          </w:p>
        </w:tc>
        <w:tc>
          <w:tcPr>
            <w:tcW w:type="dxa" w:w="458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输入</w:t>
            </w:r>
          </w:p>
        </w:tc>
        <w:tc>
          <w:tcPr>
            <w:tcW w:type="dxa" w:w="186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319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CA 15-3 (U/mL)</w:t>
            </w:r>
          </w:p>
        </w:tc>
        <w:tc>
          <w:tcPr>
            <w:tcW w:type="dxa" w:w="458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0 或以上</w:t>
            </w:r>
          </w:p>
        </w:tc>
        <w:tc>
          <w:tcPr>
            <w:tcW w:type="dxa" w:w="186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选填</w:t>
            </w:r>
          </w:p>
        </w:tc>
      </w:tr>
      <w:tr>
        <w:trPr>
          <w:cantSplit/>
          <w:tblHeader w:val="false"/>
        </w:trPr>
        <w:tc>
          <w:tcPr>
            <w:tcW w:type="dxa" w:w="319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CEA (ng/mL)</w:t>
            </w:r>
          </w:p>
        </w:tc>
        <w:tc>
          <w:tcPr>
            <w:tcW w:type="dxa" w:w="458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0 或以上</w:t>
            </w:r>
          </w:p>
        </w:tc>
        <w:tc>
          <w:tcPr>
            <w:tcW w:type="dxa" w:w="186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选填</w:t>
            </w:r>
          </w:p>
        </w:tc>
      </w:tr>
      <w:tr>
        <w:trPr>
          <w:cantSplit/>
          <w:tblHeader w:val="false"/>
        </w:trPr>
        <w:tc>
          <w:tcPr>
            <w:tcW w:type="dxa" w:w="319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手术日期</w:t>
            </w:r>
          </w:p>
        </w:tc>
        <w:tc>
          <w:tcPr>
            <w:tcW w:type="dxa" w:w="458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YYYY-MM-DD（可填写未来日期）</w:t>
            </w:r>
          </w:p>
        </w:tc>
        <w:tc>
          <w:tcPr>
            <w:tcW w:type="dxa" w:w="186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选填</w:t>
            </w:r>
          </w:p>
        </w:tc>
      </w:tr>
      <w:tr>
        <w:trPr>
          <w:cantSplit/>
          <w:tblHeader w:val="false"/>
        </w:trPr>
        <w:tc>
          <w:tcPr>
            <w:tcW w:type="dxa" w:w="319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贝叶斯增强</w:t>
            </w:r>
          </w:p>
        </w:tc>
        <w:tc>
          <w:tcPr>
            <w:tcW w:type="dxa" w:w="458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开启 / 关闭</w:t>
            </w:r>
          </w:p>
        </w:tc>
        <w:tc>
          <w:tcPr>
            <w:tcW w:type="dxa" w:w="186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选填</w:t>
            </w: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第 4/5 屏 — 合同字段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本屏及下一屏标有【仅限评估 · 临时字段】，其临床定义仍在审核中。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5756"/>
        <w:gridCol w:w="1956"/>
      </w:tblGrid>
      <w:tr>
        <w:trPr>
          <w:cantSplit/>
          <w:tblHeader/>
        </w:trPr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字段</w:t>
            </w:r>
          </w:p>
        </w:tc>
        <w:tc>
          <w:tcPr>
            <w:tcW w:type="dxa" w:w="575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输入</w:t>
            </w:r>
          </w:p>
        </w:tc>
        <w:tc>
          <w:tcPr>
            <w:tcW w:type="dxa" w:w="195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肿瘤大小</w:t>
            </w:r>
          </w:p>
        </w:tc>
        <w:tc>
          <w:tcPr>
            <w:tcW w:type="dxa" w:w="575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大于 0 的数值。</w:t>
            </w: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单位尚未确定</w:t>
            </w:r>
          </w:p>
        </w:tc>
        <w:tc>
          <w:tcPr>
            <w:tcW w:type="dxa" w:w="195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完整评估所需</w:t>
            </w:r>
          </w:p>
        </w:tc>
      </w:tr>
      <w:tr>
        <w:trPr>
          <w:cantSplit/>
          <w:tblHeader w:val="false"/>
        </w:trPr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性别</w:t>
            </w:r>
          </w:p>
        </w:tc>
        <w:tc>
          <w:tcPr>
            <w:tcW w:type="dxa" w:w="575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女性 / 男性 / 其他 / 未知</w:t>
            </w:r>
          </w:p>
        </w:tc>
        <w:tc>
          <w:tcPr>
            <w:tcW w:type="dxa" w:w="195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选填</w:t>
            </w: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第 5/5 屏 — 其他合同字段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97"/>
        <w:gridCol w:w="4316"/>
        <w:gridCol w:w="2225"/>
      </w:tblGrid>
      <w:tr>
        <w:trPr>
          <w:cantSplit/>
          <w:tblHeader/>
        </w:trPr>
        <w:tc>
          <w:tcPr>
            <w:tcW w:type="dxa" w:w="309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字段</w:t>
            </w:r>
          </w:p>
        </w:tc>
        <w:tc>
          <w:tcPr>
            <w:tcW w:type="dxa" w:w="431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输入</w:t>
            </w:r>
          </w:p>
        </w:tc>
        <w:tc>
          <w:tcPr>
            <w:tcW w:type="dxa" w:w="22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309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ECOG评分</w:t>
            </w:r>
          </w:p>
        </w:tc>
        <w:tc>
          <w:tcPr>
            <w:tcW w:type="dxa" w:w="431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整数，0–4</w:t>
            </w:r>
          </w:p>
        </w:tc>
        <w:tc>
          <w:tcPr>
            <w:tcW w:type="dxa" w:w="22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完整评估所需</w:t>
            </w:r>
          </w:p>
        </w:tc>
      </w:tr>
      <w:tr>
        <w:trPr>
          <w:cantSplit/>
          <w:tblHeader w:val="false"/>
        </w:trPr>
        <w:tc>
          <w:tcPr>
            <w:tcW w:type="dxa" w:w="309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PD-L1状态</w:t>
            </w:r>
          </w:p>
        </w:tc>
        <w:tc>
          <w:tcPr>
            <w:tcW w:type="dxa" w:w="431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阳性 / 阴性 / 未检测</w:t>
            </w:r>
          </w:p>
        </w:tc>
        <w:tc>
          <w:tcPr>
            <w:tcW w:type="dxa" w:w="22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选填</w:t>
            </w:r>
          </w:p>
        </w:tc>
      </w:tr>
      <w:tr>
        <w:trPr>
          <w:cantSplit/>
          <w:tblHeader w:val="false"/>
        </w:trPr>
        <w:tc>
          <w:tcPr>
            <w:tcW w:type="dxa" w:w="309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HER2低表达</w:t>
            </w:r>
          </w:p>
        </w:tc>
        <w:tc>
          <w:tcPr>
            <w:tcW w:type="dxa" w:w="431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阳性 / 阴性 / 未知</w:t>
            </w:r>
          </w:p>
        </w:tc>
        <w:tc>
          <w:tcPr>
            <w:tcW w:type="dxa" w:w="22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选填</w:t>
            </w:r>
          </w:p>
        </w:tc>
      </w:tr>
      <w:tr>
        <w:trPr>
          <w:cantSplit/>
          <w:tblHeader w:val="false"/>
        </w:trPr>
        <w:tc>
          <w:tcPr>
            <w:tcW w:type="dxa" w:w="309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LVEF（%）</w:t>
            </w:r>
          </w:p>
        </w:tc>
        <w:tc>
          <w:tcPr>
            <w:tcW w:type="dxa" w:w="431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0–100</w:t>
            </w:r>
          </w:p>
        </w:tc>
        <w:tc>
          <w:tcPr>
            <w:tcW w:type="dxa" w:w="22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选填</w:t>
            </w:r>
          </w:p>
        </w:tc>
      </w:tr>
      <w:tr>
        <w:trPr>
          <w:cantSplit/>
          <w:tblHeader w:val="false"/>
        </w:trPr>
        <w:tc>
          <w:tcPr>
            <w:tcW w:type="dxa" w:w="309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治疗意图</w:t>
            </w:r>
          </w:p>
        </w:tc>
        <w:tc>
          <w:tcPr>
            <w:tcW w:type="dxa" w:w="431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新辅助 / 辅助 / 未指定</w:t>
            </w:r>
          </w:p>
        </w:tc>
        <w:tc>
          <w:tcPr>
            <w:tcW w:type="dxa" w:w="22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选填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Arial" w:cs="Arial" w:eastAsia="Microsoft YaHei" w:hAnsi="Arial"/>
        </w:rPr>
        <w:t xml:space="preserve">填写完毕后点击【复核】。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9. 复核与提交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【复核】页面在发送前列出全部数值。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红色提示框【完整评估所需】：</w:t>
      </w:r>
      <w:r>
        <w:rPr>
          <w:rFonts w:ascii="Arial" w:cs="Arial" w:eastAsia="Microsoft YaHei" w:hAnsi="Arial"/>
        </w:rPr>
        <w:t xml:space="preserve"> 列出您留空但平台需要的数值。点击「前往……」链接可直接跳转到相应页面，其他已填内容保持不变。</w:t>
      </w:r>
      <w:r>
        <w:rPr>
          <w:rFonts w:ascii="Arial" w:cs="Arial" w:eastAsia="Microsoft YaHei" w:hAnsi="Arial"/>
          <w:b/>
          <w:bCs/>
        </w:rPr>
        <w:t xml:space="preserve">仍可提交。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【示例数值，未修改】：</w:t>
      </w:r>
      <w:r>
        <w:rPr>
          <w:rFonts w:ascii="Arial" w:cs="Arial" w:eastAsia="Microsoft YaHei" w:hAnsi="Arial"/>
        </w:rPr>
        <w:t xml:space="preserve"> 标记您尚未修改的示例数值，便于区分您自己输入的内容。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【交付模式】：</w:t>
      </w:r>
      <w:r>
        <w:rPr>
          <w:rFonts w:ascii="Arial" w:cs="Arial" w:eastAsia="Microsoft YaHei" w:hAnsi="Arial"/>
        </w:rPr>
        <w:t xml:space="preserve"> 显示实时平台或合成演示（琥珀色）。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【基线】：</w:t>
      </w:r>
      <w:r>
        <w:rPr>
          <w:rFonts w:ascii="Arial" w:cs="Arial" w:eastAsia="Microsoft YaHei" w:hAnsi="Arial"/>
        </w:rPr>
        <w:t xml:space="preserve"> 只有平台状态为【已验证】时才能提交。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点击【编辑】返回第 1 屏，或点击【提交】发送病例。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提交实时病例时，服务会先确认平台仍为经批准的版本。如无法确认，</w:t>
      </w:r>
      <w:r>
        <w:rPr>
          <w:rFonts w:ascii="Arial" w:cs="Arial" w:eastAsia="Microsoft YaHei" w:hAnsi="Arial"/>
          <w:b/>
          <w:bCs/>
        </w:rPr>
        <w:t xml:space="preserve">不会显示任何结果</w:t>
      </w:r>
      <w:r>
        <w:rPr>
          <w:rFonts w:ascii="Arial" w:cs="Arial" w:eastAsia="Microsoft YaHei" w:hAnsi="Arial"/>
        </w:rPr>
        <w:t xml:space="preserve">，而是显示【服务不可用】及原因（例如平台与经批准的版本不匹配）。【重试验证】只会重新进行验证，绝不会重新提交您的病例。</w:t>
      </w:r>
    </w:p>
    <w:p>
      <w:pPr>
        <w:spacing w:after="120"/>
      </w:pPr>
      <w:r>
        <w:rPr>
          <w:rFonts w:ascii="Arial" w:hAnsi="Arial" w:cs="Arial" w:eastAsia="Microsoft YaHei"/>
          <w:i/>
          <w:iCs/>
        </w:rPr>
        <w:t xml:space="preserve">请注意：在不完整病例的已完成结果中（见第 10 节），可能出现平台自身的「ASSESSMENT BLOCKED」字样，两者不同。该结果仍会显示分子亚型、治疗方案和生物标志物，只是不显示风险。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10. 查看结果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【评估结果】页面从上到下依次显示：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【临床摘要】：</w:t>
      </w:r>
      <w:r>
        <w:rPr>
          <w:rFonts w:ascii="Arial" w:cs="Arial" w:eastAsia="Microsoft YaHei" w:hAnsi="Arial"/>
        </w:rPr>
        <w:t xml:space="preserve">【分子亚型】和【风险】。风险以您所选语言的文字显示：高危、中危或低危。红色表示高危，绿色表示低危，其他为蓝色。另有一行说明结果来源（已验证的实时平台，或此前记录的合成结果）。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【未达到完整评估】</w:t>
      </w:r>
      <w:r>
        <w:rPr>
          <w:rFonts w:ascii="Arial" w:cs="Arial" w:eastAsia="Microsoft YaHei" w:hAnsi="Arial"/>
        </w:rPr>
        <w:t xml:space="preserve">（仅限不完整病例，见下文）。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【警告和背景】：</w:t>
      </w:r>
      <w:r>
        <w:rPr>
          <w:rFonts w:ascii="Arial" w:cs="Arial" w:eastAsia="Microsoft YaHei" w:hAnsi="Arial"/>
        </w:rPr>
        <w:t xml:space="preserve"> 平台自身的提示信息，按原样以英文显示。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【信息完整性】：</w:t>
      </w:r>
      <w:r>
        <w:rPr>
          <w:rFonts w:ascii="Arial" w:cs="Arial" w:eastAsia="Microsoft YaHei" w:hAnsi="Arial"/>
        </w:rPr>
        <w:t xml:space="preserve"> 完整性层级及缺失的数值和所在页面。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【返回的治疗选项】：</w:t>
      </w:r>
      <w:r>
        <w:rPr>
          <w:rFonts w:ascii="Arial" w:cs="Arial" w:eastAsia="Microsoft YaHei" w:hAnsi="Arial"/>
        </w:rPr>
        <w:t xml:space="preserve"> 与平台原文完全一致。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【返回的生物标志物结果】。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【分类置信度】：</w:t>
      </w:r>
      <w:r>
        <w:rPr>
          <w:rFonts w:ascii="Arial" w:cs="Arial" w:eastAsia="Microsoft YaHei" w:hAnsi="Arial"/>
        </w:rPr>
        <w:t xml:space="preserve"> 开启贝叶斯增强时显示。依赖此数值之前，请先阅读审核与测试清单 C7 节：它所对应的亚型可能与页面显示的亚型不同。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【技术详情】：</w:t>
      </w:r>
      <w:r>
        <w:rPr>
          <w:rFonts w:ascii="Arial" w:cs="Arial" w:eastAsia="Microsoft YaHei" w:hAnsi="Arial"/>
        </w:rPr>
        <w:t xml:space="preserve"> 触发的规则、推理追踪、原始数值及平台版本。</w:t>
      </w: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病例不完整时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如您留空了平台需要的数值：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【未达到完整评估】</w:t>
      </w:r>
      <w:r>
        <w:rPr>
          <w:rFonts w:ascii="Arial" w:cs="Arial" w:eastAsia="Microsoft YaHei" w:hAnsi="Arial"/>
        </w:rPr>
        <w:t xml:space="preserve"> 列出缺失的数值及所在页面，例如「肿瘤大小（第 4/5 屏）」。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</w:rPr>
        <w:t xml:space="preserve">【风险】</w:t>
      </w:r>
      <w:r>
        <w:rPr>
          <w:rFonts w:ascii="Arial" w:cs="Arial" w:eastAsia="Microsoft YaHei" w:hAnsi="Arial"/>
        </w:rPr>
        <w:t xml:space="preserve"> 显示「暂不显示 — 需要……」。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分子亚型、治疗选项和生物标志物</w:t>
      </w:r>
      <w:r>
        <w:rPr>
          <w:rFonts w:ascii="Arial" w:cs="Arial" w:eastAsia="Microsoft YaHei" w:hAnsi="Arial"/>
          <w:b/>
          <w:bCs/>
        </w:rPr>
        <w:t xml:space="preserve">仍会显示</w:t>
      </w:r>
      <w:r>
        <w:rPr>
          <w:rFonts w:ascii="Arial" w:cs="Arial" w:eastAsia="Microsoft YaHei" w:hAnsi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点击【补全缺失字段】，应用将打开第一个缺失数值所在的页面，</w:t>
      </w:r>
      <w:r>
        <w:rPr>
          <w:rFonts w:ascii="Arial" w:cs="Arial" w:eastAsia="Microsoft YaHei" w:hAnsi="Arial"/>
          <w:b/>
          <w:bCs/>
        </w:rPr>
        <w:t xml:space="preserve">已填写的内容全部保留</w:t>
      </w:r>
      <w:r>
        <w:rPr>
          <w:rFonts w:ascii="Arial" w:cs="Arial" w:eastAsia="Microsoft YaHei" w:hAnsi="Arial"/>
        </w:rPr>
        <w:t xml:space="preserve">。补填数值后，进入【复核】并重新提交。</w:t>
      </w: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结果不会保存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结果仅在页面打开期间存在，不会写入手机存储。如需记录，请手工记下数值，或在所在机构允许的情况下截屏。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11. 开始下一次评估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点击【新建评估】或【完成】。所有输入将被清除，应用返回【评估访问】页面，连接保持不变。点击【下一步】开始。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12. 断开访问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在【评估访问】页面点击【断开访问】。应用会请您确认：「您需要重新输入邀请码。」点击【断开】。仅在 CRIL 要求或将手机交给他人使用时才需这样做。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13. 提示信息及处理方法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39"/>
        <w:gridCol w:w="2274"/>
        <w:gridCol w:w="4025"/>
      </w:tblGrid>
      <w:tr>
        <w:trPr>
          <w:cantSplit/>
          <w:tblHeader/>
        </w:trPr>
        <w:tc>
          <w:tcPr>
            <w:tcW w:type="dxa" w:w="3339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您看到的内容</w:t>
            </w:r>
          </w:p>
        </w:tc>
        <w:tc>
          <w:tcPr>
            <w:tcW w:type="dxa" w:w="227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含义</w:t>
            </w:r>
          </w:p>
        </w:tc>
        <w:tc>
          <w:tcPr>
            <w:tcW w:type="dxa" w:w="40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处理方法</w:t>
            </w:r>
          </w:p>
        </w:tc>
      </w:tr>
      <w:tr>
        <w:trPr>
          <w:cantSplit/>
          <w:tblHeader w:val="false"/>
        </w:trPr>
        <w:tc>
          <w:tcPr>
            <w:tcW w:type="dxa" w:w="3339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【正在检查…】</w:t>
            </w:r>
          </w:p>
        </w:tc>
        <w:tc>
          <w:tcPr>
            <w:tcW w:type="dxa" w:w="227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应用正在连接服务</w:t>
            </w:r>
          </w:p>
        </w:tc>
        <w:tc>
          <w:tcPr>
            <w:tcW w:type="dxa" w:w="40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请等待约 10 秒</w:t>
            </w:r>
          </w:p>
        </w:tc>
      </w:tr>
      <w:tr>
        <w:trPr>
          <w:cantSplit/>
          <w:tblHeader w:val="false"/>
        </w:trPr>
        <w:tc>
          <w:tcPr>
            <w:tcW w:type="dxa" w:w="3339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【已在本设备登录】—「正在等待服务器……」</w:t>
            </w:r>
          </w:p>
        </w:tc>
        <w:tc>
          <w:tcPr>
            <w:tcW w:type="dxa" w:w="227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已配对，但暂时无法连接服务</w:t>
            </w:r>
          </w:p>
        </w:tc>
        <w:tc>
          <w:tcPr>
            <w:tcW w:type="dxa" w:w="40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检查网络；点击【重试检查】。无需邀请码</w:t>
            </w:r>
          </w:p>
        </w:tc>
      </w:tr>
      <w:tr>
        <w:trPr>
          <w:cantSplit/>
          <w:tblHeader w:val="false"/>
        </w:trPr>
        <w:tc>
          <w:tcPr>
            <w:tcW w:type="dxa" w:w="3339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【服务器未连接】</w:t>
            </w:r>
          </w:p>
        </w:tc>
        <w:tc>
          <w:tcPr>
            <w:tcW w:type="dxa" w:w="227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ACR 评估服务离线</w:t>
            </w:r>
          </w:p>
        </w:tc>
        <w:tc>
          <w:tcPr>
            <w:tcW w:type="dxa" w:w="40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稍后再试，或告知 CRIL。如可用，仍可使用【合成演示】</w:t>
            </w:r>
          </w:p>
        </w:tc>
      </w:tr>
      <w:tr>
        <w:trPr>
          <w:cantSplit/>
          <w:tblHeader w:val="false"/>
        </w:trPr>
        <w:tc>
          <w:tcPr>
            <w:tcW w:type="dxa" w:w="3339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【网关已连接 — 实时平台离线】</w:t>
            </w:r>
          </w:p>
        </w:tc>
        <w:tc>
          <w:tcPr>
            <w:tcW w:type="dxa" w:w="227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服务在线，但 ACR 平台离线</w:t>
            </w:r>
          </w:p>
        </w:tc>
        <w:tc>
          <w:tcPr>
            <w:tcW w:type="dxa" w:w="40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使用【合成演示】，或稍后再试</w:t>
            </w:r>
          </w:p>
        </w:tc>
      </w:tr>
      <w:tr>
        <w:trPr>
          <w:cantSplit/>
          <w:tblHeader w:val="false"/>
        </w:trPr>
        <w:tc>
          <w:tcPr>
            <w:tcW w:type="dxa" w:w="3339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【服务不可用】/【不匹配】</w:t>
            </w:r>
          </w:p>
        </w:tc>
        <w:tc>
          <w:tcPr>
            <w:tcW w:type="dxa" w:w="227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平台不是经批准的版本</w:t>
            </w:r>
          </w:p>
        </w:tc>
        <w:tc>
          <w:tcPr>
            <w:tcW w:type="dxa" w:w="40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请勿继续实时测试，并告知 CRIL</w:t>
            </w:r>
          </w:p>
        </w:tc>
      </w:tr>
      <w:tr>
        <w:trPr>
          <w:cantSplit/>
          <w:tblHeader w:val="false"/>
        </w:trPr>
        <w:tc>
          <w:tcPr>
            <w:tcW w:type="dxa" w:w="3339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「设备不正确。此设备未获此邀请码授权。」</w:t>
            </w:r>
          </w:p>
        </w:tc>
        <w:tc>
          <w:tcPr>
            <w:tcW w:type="dxa" w:w="227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该邀请码已与另一部手机配对</w:t>
            </w:r>
          </w:p>
        </w:tc>
        <w:tc>
          <w:tcPr>
            <w:tcW w:type="dxa" w:w="40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使用已配对的手机，或向 CRIL 申请新邀请码</w:t>
            </w:r>
          </w:p>
        </w:tc>
      </w:tr>
      <w:tr>
        <w:trPr>
          <w:cantSplit/>
          <w:tblHeader w:val="false"/>
        </w:trPr>
        <w:tc>
          <w:tcPr>
            <w:tcW w:type="dxa" w:w="3339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「邀请码已过期。请申请新的邀请码。」</w:t>
            </w:r>
          </w:p>
        </w:tc>
        <w:tc>
          <w:tcPr>
            <w:tcW w:type="dxa" w:w="227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已超过 30 天有效期</w:t>
            </w:r>
          </w:p>
        </w:tc>
        <w:tc>
          <w:tcPr>
            <w:tcW w:type="dxa" w:w="40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向 CRIL 申请新邀请码</w:t>
            </w:r>
          </w:p>
        </w:tc>
      </w:tr>
      <w:tr>
        <w:trPr>
          <w:cantSplit/>
          <w:tblHeader w:val="false"/>
        </w:trPr>
        <w:tc>
          <w:tcPr>
            <w:tcW w:type="dxa" w:w="3339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【演示病例已修改】（红色）</w:t>
            </w:r>
          </w:p>
        </w:tc>
        <w:tc>
          <w:tcPr>
            <w:tcW w:type="dxa" w:w="227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演示病例的数值被修改</w:t>
            </w:r>
          </w:p>
        </w:tc>
        <w:tc>
          <w:tcPr>
            <w:tcW w:type="dxa" w:w="40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恢复原值，或切换到【实时平台】</w:t>
            </w:r>
          </w:p>
        </w:tc>
      </w:tr>
      <w:tr>
        <w:trPr>
          <w:cantSplit/>
          <w:tblHeader w:val="false"/>
        </w:trPr>
        <w:tc>
          <w:tcPr>
            <w:tcW w:type="dxa" w:w="3339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「已验证的合成样例不可用。」</w:t>
            </w:r>
          </w:p>
        </w:tc>
        <w:tc>
          <w:tcPr>
            <w:tcW w:type="dxa" w:w="227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没有可用的演示记录</w:t>
            </w:r>
          </w:p>
        </w:tc>
        <w:tc>
          <w:tcPr>
            <w:tcW w:type="dxa" w:w="40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使用【实时平台】；或在已配对手机上点击【浏览全部五个页面】，查看页面但不生成结果</w:t>
            </w:r>
          </w:p>
        </w:tc>
      </w:tr>
      <w:tr>
        <w:trPr>
          <w:cantSplit/>
          <w:tblHeader w:val="false"/>
        </w:trPr>
        <w:tc>
          <w:tcPr>
            <w:tcW w:type="dxa" w:w="3339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「请求过多。请等待后重试。」</w:t>
            </w:r>
          </w:p>
        </w:tc>
        <w:tc>
          <w:tcPr>
            <w:tcW w:type="dxa" w:w="227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短时间内尝试次数过多</w:t>
            </w:r>
          </w:p>
        </w:tc>
        <w:tc>
          <w:tcPr>
            <w:tcW w:type="dxa" w:w="40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等待几分钟</w:t>
            </w:r>
          </w:p>
        </w:tc>
      </w:tr>
      <w:tr>
        <w:trPr>
          <w:cantSplit/>
          <w:tblHeader w:val="false"/>
        </w:trPr>
        <w:tc>
          <w:tcPr>
            <w:tcW w:type="dxa" w:w="3339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「评估结果不确定。」</w:t>
            </w:r>
          </w:p>
        </w:tc>
        <w:tc>
          <w:tcPr>
            <w:tcW w:type="dxa" w:w="227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未能清晰收到结果</w:t>
            </w:r>
          </w:p>
        </w:tc>
        <w:tc>
          <w:tcPr>
            <w:tcW w:type="dxa" w:w="402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请勿反复提交；记下时间并告知 CRIL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Arial" w:cs="Arial" w:eastAsia="Microsoft YaHei" w:hAnsi="Arial"/>
        </w:rPr>
        <w:t xml:space="preserve">14. 数据与隐私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邀请码绝不会被保存。您的评估会话和一个随机安装标识符仅保存在手机的安全密钥库中，断开访问时即被删除。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病例输入和结果仅保存在内存中，评估结束即被清除。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应用不含数据分析和广告，也不能通过网络直接更新：每次更改都是一个经过审核的新版本。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为保障安全，服务会记录技术事件（例如请求的时间和结果），但不会记录临床数值。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15. 法律声明：GDPR 与 Cookies</w:t>
      </w:r>
    </w:p>
    <w:p>
      <w:pPr>
        <w:spacing w:after="120"/>
      </w:pPr>
      <w:r>
        <w:rPr>
          <w:rFonts w:ascii="Arial" w:cs="Arial" w:eastAsia="Microsoft YaHei" w:hAnsi="Arial"/>
          <w:i/>
          <w:iCs/>
        </w:rPr>
        <w:t xml:space="preserve">仅适用于本应用。ACR 平台网站另有声明。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Cookies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本应用不使用任何 Cookies、网络信标或跟踪技术。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数据保护</w:t>
      </w:r>
    </w:p>
    <w:p>
      <w:pPr>
        <w:spacing w:after="60"/>
      </w:pPr>
      <w:r>
        <w:rPr>
          <w:rFonts w:ascii="Arial" w:cs="Arial" w:eastAsia="Microsoft YaHei" w:hAnsi="Arial"/>
        </w:rPr>
        <w:t xml:space="preserve">数据控制者：Cornerstone Research International Ltd（CRIL），地址：c/o NovaUCD, Belfield Innovation Park, University College Dublin, Dublin 4, D04 V2P1, 爱尔兰。电子邮件：info@acragent.com · www.acragent.com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收集的数据：邀请码标签及机构标识；应用生成的随机设备标识符（仅以哈希形式保存）；配对与到期日期；应用版本；安全事件与请求记录（时间、路由、结果 — 绝不包含内容）。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网络数据：您的 IP 地址由我们的网络服务商 Cloudflare 处理，用于提供和保护服务。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不收集：您的姓名或联系方式，以及任何患者数据。合成病例输入仅用于返回结果，不会被保存。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目的：以安全的方式运行本次受邀评估。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法律依据：待法律审核确认。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接收方：Cloudflare, Inc.，其处理地点可能在您所在国家/地区之外。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保留期限：访问权限于配对后 30 天结束，或在撤销时结束；记录在评估结束后 30 天删除。CRIL 可调整该期限。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您的权利：查阅、更正、删除、限制处理和反对 — 请联系 CRIL（见第 16 节）。欧盟/欧洲经济区/英国：您也可向所在地数据保护机构投诉。</w:t>
      </w:r>
    </w:p>
    <w:p>
      <w:pPr>
        <w:spacing w:after="120"/>
      </w:pPr>
      <w:r>
        <w:rPr>
          <w:rFonts w:ascii="Arial" w:cs="Arial" w:eastAsia="Microsoft YaHei" w:hAnsi="Arial"/>
          <w:i/>
          <w:iCs/>
        </w:rPr>
        <w:t xml:space="preserve">完整隐私政策可向 CRIL 索取。</w:t>
      </w:r>
    </w:p>
    <w:p>
      <w:pPr>
        <w:spacing w:after="240"/>
      </w:pPr>
      <w:r>
        <w:rPr>
          <w:rFonts w:ascii="Arial" w:cs="Arial" w:eastAsia="Microsoft YaHei" w:hAnsi="Arial"/>
          <w:i/>
          <w:iCs/>
        </w:rPr>
        <w:t xml:space="preserve">中国大陆的评审人员：依据《个人信息保护法》的告知与跨境提供事项将另行提供，目前正在法律审核中。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16. 报告问题或提出意见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请将您的发现发送给 CRIL，并注明：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手机型号及操作系统版本；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应用版本（见【关于】）；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所用语言；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日期和时间；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您输入的内容（仅限合成数据）、预期结果及实际看到的结果；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</w:rPr>
        <w:t xml:space="preserve">如有帮助，请附截图。</w:t>
      </w:r>
    </w:p>
    <w:p>
      <w:pPr>
        <w:spacing w:after="120"/>
      </w:pPr>
      <w:r>
        <w:rPr>
          <w:rFonts w:ascii="Arial" w:cs="Arial" w:eastAsia="Microsoft YaHei" w:hAnsi="Arial"/>
        </w:rPr>
        <w:t xml:space="preserve">对规则本身的临床意见，请填写在《审核与测试清单》中。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17. 术语说明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3"/>
        <w:gridCol w:w="7575"/>
      </w:tblGrid>
      <w:tr>
        <w:trPr>
          <w:cantSplit/>
          <w:tblHeader/>
        </w:trPr>
        <w:tc>
          <w:tcPr>
            <w:tcW w:type="dxa" w:w="206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术语</w:t>
            </w:r>
          </w:p>
        </w:tc>
        <w:tc>
          <w:tcPr>
            <w:tcW w:type="dxa" w:w="757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8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b/>
                <w:bCs/>
                <w:color w:val="1A5276"/>
                <w:sz w:val="18"/>
                <w:szCs w:val="18"/>
              </w:rPr>
              <w:t xml:space="preserve">含义</w:t>
            </w:r>
          </w:p>
        </w:tc>
      </w:tr>
      <w:tr>
        <w:trPr>
          <w:cantSplit/>
          <w:tblHeader w:val="false"/>
        </w:trPr>
        <w:tc>
          <w:tcPr>
            <w:tcW w:type="dxa" w:w="206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ACR 平台</w:t>
            </w:r>
          </w:p>
        </w:tc>
        <w:tc>
          <w:tcPr>
            <w:tcW w:type="dxa" w:w="757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存放医学知识模型和规则、生成结果的服务器</w:t>
            </w:r>
          </w:p>
        </w:tc>
      </w:tr>
      <w:tr>
        <w:trPr>
          <w:cantSplit/>
          <w:tblHeader w:val="false"/>
        </w:trPr>
        <w:tc>
          <w:tcPr>
            <w:tcW w:type="dxa" w:w="206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网关</w:t>
            </w:r>
          </w:p>
        </w:tc>
        <w:tc>
          <w:tcPr>
            <w:tcW w:type="dxa" w:w="757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应用与 ACR 平台之间的安全服务</w:t>
            </w:r>
          </w:p>
        </w:tc>
      </w:tr>
      <w:tr>
        <w:trPr>
          <w:cantSplit/>
          <w:tblHeader w:val="false"/>
        </w:trPr>
        <w:tc>
          <w:tcPr>
            <w:tcW w:type="dxa" w:w="206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基线 / 基线证明</w:t>
            </w:r>
          </w:p>
        </w:tc>
        <w:tc>
          <w:tcPr>
            <w:tcW w:type="dxa" w:w="757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确认平台正是经批准版本的检查</w:t>
            </w:r>
          </w:p>
        </w:tc>
      </w:tr>
      <w:tr>
        <w:trPr>
          <w:cantSplit/>
          <w:tblHeader w:val="false"/>
        </w:trPr>
        <w:tc>
          <w:tcPr>
            <w:tcW w:type="dxa" w:w="206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层级</w:t>
            </w:r>
          </w:p>
        </w:tc>
        <w:tc>
          <w:tcPr>
            <w:tcW w:type="dxa" w:w="757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病例的完整程度：1 或 2 表示不显示风险；3 表示完整评估</w:t>
            </w:r>
          </w:p>
        </w:tc>
      </w:tr>
      <w:tr>
        <w:trPr>
          <w:cantSplit/>
          <w:tblHeader w:val="false"/>
        </w:trPr>
        <w:tc>
          <w:tcPr>
            <w:tcW w:type="dxa" w:w="206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合成数据</w:t>
            </w:r>
          </w:p>
        </w:tc>
        <w:tc>
          <w:tcPr>
            <w:tcW w:type="dxa" w:w="757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为测试而编造的数据，不来自任何患者</w:t>
            </w:r>
          </w:p>
        </w:tc>
      </w:tr>
      <w:tr>
        <w:trPr>
          <w:cantSplit/>
          <w:tblHeader w:val="false"/>
        </w:trPr>
        <w:tc>
          <w:tcPr>
            <w:tcW w:type="dxa" w:w="206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贝叶斯增强</w:t>
            </w:r>
          </w:p>
        </w:tc>
        <w:tc>
          <w:tcPr>
            <w:tcW w:type="dxa" w:w="757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在基于规则的结果之上附加的可选概率估计</w:t>
            </w:r>
          </w:p>
        </w:tc>
      </w:tr>
    </w:tbl>
    <w:p>
      <w:pPr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6B7A88"/>
        <w:sz w:val="16"/>
        <w:szCs w:val="16"/>
      </w:rPr>
      <w:t xml:space="preserve">仅限合成测试数据 · 不用于临床 · 第 </w:t>
    </w:r>
    <w:r>
      <w:rPr>
        <w:rFonts w:ascii="Arial" w:cs="Arial" w:eastAsia="Microsoft YaHei" w:hAnsi="Arial"/>
        <w:color w:val="6B7A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6B7A88"/>
        <w:sz w:val="16"/>
        <w:szCs w:val="16"/>
      </w:rPr>
      <w:t xml:space="preserve"> 页，共 </w:t>
    </w:r>
    <w:r>
      <w:rPr>
        <w:rFonts w:ascii="Arial" w:cs="Arial" w:eastAsia="Microsoft YaHei" w:hAnsi="Arial"/>
        <w:color w:val="6B7A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Microsoft YaHei" w:hAnsi="Arial"/>
        <w:color w:val="6B7A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6B7A88"/>
        <w:sz w:val="16"/>
        <w:szCs w:val="16"/>
      </w:rPr>
      <w:t xml:space="preserve">ACR Companion · 评审人员使用手册 · CRIL，仅限受邀评估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23A5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ACR Companion 0.6.6 版 — 评审人员使用手册</dc:title>
  <dc:creator>CRIL</dc:creator>
  <cp:lastModifiedBy>Un-named</cp:lastModifiedBy>
  <cp:revision>1</cp:revision>
  <dcterms:created xsi:type="dcterms:W3CDTF">2026-09-17T05:58:15.467Z</dcterms:created>
  <dcterms:modified xsi:type="dcterms:W3CDTF">2026-09-17T05:58:15.468Z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