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202C"/>
          <w:sz w:val="40"/>
          <w:szCs w:val="40"/>
        </w:rPr>
        <w:t xml:space="preserve">ACR Companion for iPhone</w:t>
      </w:r>
    </w:p>
    <w:p>
      <w:pPr>
        <w:spacing w:after="80"/>
      </w:pPr>
      <w:r>
        <w:rPr>
          <w:color w:val="5A6478"/>
          <w:sz w:val="26"/>
          <w:szCs w:val="26"/>
        </w:rPr>
        <w:t xml:space="preserve">How to get it</w:t>
      </w:r>
    </w:p>
    <w:p>
      <w:pPr>
        <w:pBdr>
          <w:bottom w:val="single" w:color="D7DDE8" w:sz="6" w:space="1"/>
        </w:pBdr>
        <w:spacing w:after="240" w:before="120"/>
      </w:pPr>
    </w:p>
    <w:p>
      <w:pPr>
        <w:pStyle w:val="Heading2"/>
        <w:spacing w:after="140" w:before="360"/>
      </w:pPr>
      <w:r>
        <w:rPr>
          <w:b/>
          <w:bCs/>
          <w:color w:val="1A202C"/>
          <w:sz w:val="26"/>
          <w:szCs w:val="26"/>
        </w:rPr>
        <w:t xml:space="preserve">What you will receive, and from whom</w:t>
      </w:r>
    </w:p>
    <w:p>
      <w:pPr>
        <w:spacing w:after="160" w:line="288"/>
      </w:pPr>
      <w:r>
        <w:rPr>
          <w:b/>
          <w:bCs/>
        </w:rPr>
        <w:t xml:space="preserve">Two separate e-mails, both from Apple.</w:t>
      </w:r>
      <w:r>
        <w:t xml:space="preserve"> They arrive at different times and look similar, which catches people out.</w:t>
      </w:r>
    </w:p>
    <w:p>
      <w:pPr>
        <w:spacing w:after="160" w:line="288"/>
      </w:pPr>
      <w:r>
        <w:rPr>
          <w:b/>
          <w:bCs/>
        </w:rPr>
        <w:t xml:space="preserve">The first</w:t>
      </w:r>
      <w:r>
        <w:t xml:space="preserve"> invites you to join Cornerstone Research International's developer team. The subject line mentions </w:t>
      </w:r>
      <w:r>
        <w:rPr>
          <w:b/>
          <w:bCs/>
        </w:rPr>
        <w:t xml:space="preserve">App Store Connect</w:t>
      </w:r>
      <w:r>
        <w:t xml:space="preserve">. You must accept this one before the second can arrive.</w:t>
      </w:r>
    </w:p>
    <w:p>
      <w:pPr>
        <w:spacing w:after="160" w:line="288"/>
      </w:pPr>
      <w:r>
        <w:rPr>
          <w:b/>
          <w:bCs/>
        </w:rPr>
        <w:t xml:space="preserve">The second</w:t>
      </w:r>
      <w:r>
        <w:t xml:space="preserve"> invites you to test the app itself. It comes from </w:t>
      </w:r>
      <w:r>
        <w:rPr>
          <w:b/>
          <w:bCs/>
        </w:rPr>
        <w:t xml:space="preserve">TestFlight</w:t>
      </w:r>
      <w:r>
        <w:t xml:space="preserve">, Apple’s app for trying software before public release.</w:t>
      </w:r>
    </w:p>
    <w:p>
      <w:pPr>
        <w:spacing w:after="160" w:line="288"/>
      </w:pPr>
      <w:r>
        <w:t xml:space="preserve">Both go to the e-mail address of your </w:t>
      </w:r>
      <w:r>
        <w:rPr>
          <w:b/>
          <w:bCs/>
        </w:rPr>
        <w:t xml:space="preserve">Apple Account</w:t>
      </w:r>
      <w:r>
        <w:t xml:space="preserve"> — the address you use for the App Store. If you gave us a different address, tell us, or the invitations cannot be accepted.</w:t>
      </w:r>
    </w:p>
    <w:p>
      <w:pPr>
        <w:pStyle w:val="Heading2"/>
        <w:spacing w:after="140" w:before="360"/>
      </w:pPr>
      <w:r>
        <w:rPr>
          <w:b/>
          <w:bCs/>
          <w:color w:val="1A202C"/>
          <w:sz w:val="26"/>
          <w:szCs w:val="26"/>
        </w:rPr>
        <w:t xml:space="preserve">Step 1 — accept the first e-mail</w:t>
      </w:r>
    </w:p>
    <w:p>
      <w:pPr>
        <w:spacing w:after="160" w:line="288"/>
      </w:pPr>
      <w:r>
        <w:t xml:space="preserve">Open it on any device. Click </w:t>
      </w:r>
      <w:r>
        <w:rPr>
          <w:b/>
          <w:bCs/>
        </w:rPr>
        <w:t xml:space="preserve">Activate</w:t>
      </w:r>
      <w:r>
        <w:t xml:space="preserve"> or </w:t>
      </w:r>
      <w:r>
        <w:rPr>
          <w:b/>
          <w:bCs/>
        </w:rPr>
        <w:t xml:space="preserve">Accept</w:t>
      </w:r>
      <w:r>
        <w:t xml:space="preserve">, and sign in with your Apple Account.</w:t>
      </w:r>
    </w:p>
    <w:p>
      <w:pPr>
        <w:spacing w:after="160" w:line="288"/>
      </w:pPr>
      <w:r>
        <w:t xml:space="preserve">If it asks you to create an App Store Connect profile, do so — it takes a minute and costs nothing.</w:t>
      </w:r>
    </w:p>
    <w:p>
      <w:pPr>
        <w:pStyle w:val="Heading2"/>
        <w:spacing w:after="140" w:before="360"/>
      </w:pPr>
      <w:r>
        <w:rPr>
          <w:b/>
          <w:bCs/>
          <w:color w:val="1A202C"/>
          <w:sz w:val="26"/>
          <w:szCs w:val="26"/>
        </w:rPr>
        <w:t xml:space="preserve">Step 2 — install TestFlight on your iPhone</w:t>
      </w:r>
    </w:p>
    <w:p>
      <w:pPr>
        <w:spacing w:after="160" w:line="288"/>
      </w:pPr>
      <w:r>
        <w:t xml:space="preserve">Open the </w:t>
      </w:r>
      <w:r>
        <w:rPr>
          <w:b/>
          <w:bCs/>
        </w:rPr>
        <w:t xml:space="preserve">App Store</w:t>
      </w:r>
      <w:r>
        <w:t xml:space="preserve"> and search for </w:t>
      </w:r>
      <w:r>
        <w:rPr>
          <w:b/>
          <w:bCs/>
        </w:rPr>
        <w:t xml:space="preserve">TestFlight</w:t>
      </w:r>
      <w:r>
        <w:t xml:space="preserve">. It is free, made by Apple. Install it.</w:t>
      </w:r>
    </w:p>
    <w:p>
      <w:pPr>
        <w:spacing w:after="160" w:line="288"/>
      </w:pPr>
      <w:r>
        <w:t xml:space="preserve">Do this before the second e-mail arrives and the rest is quicker.</w:t>
      </w:r>
    </w:p>
    <w:p>
      <w:pPr>
        <w:pStyle w:val="Heading2"/>
        <w:spacing w:after="140" w:before="360"/>
      </w:pPr>
      <w:r>
        <w:rPr>
          <w:b/>
          <w:bCs/>
          <w:color w:val="1A202C"/>
          <w:sz w:val="26"/>
          <w:szCs w:val="26"/>
        </w:rPr>
        <w:t xml:space="preserve">Step 3 — accept the second e-mail, on the iPhone</w:t>
      </w:r>
    </w:p>
    <w:p>
      <w:pPr>
        <w:spacing w:after="160" w:line="288"/>
      </w:pPr>
      <w:r>
        <w:t xml:space="preserve">Open the TestFlight e-mail </w:t>
      </w:r>
      <w:r>
        <w:rPr>
          <w:b/>
          <w:bCs/>
        </w:rPr>
        <w:t xml:space="preserve">on the iPhone itself</w:t>
      </w:r>
      <w:r>
        <w:t xml:space="preserve">, not on a computer. Tap </w:t>
      </w:r>
      <w:r>
        <w:rPr>
          <w:b/>
          <w:bCs/>
        </w:rPr>
        <w:t xml:space="preserve">View in TestFlight</w:t>
      </w:r>
      <w:r>
        <w:t xml:space="preserve">.</w:t>
      </w:r>
    </w:p>
    <w:p>
      <w:pPr>
        <w:spacing w:after="160" w:line="288"/>
      </w:pPr>
      <w:r>
        <w:t xml:space="preserve">TestFlight opens and shows </w:t>
      </w:r>
      <w:r>
        <w:rPr>
          <w:b/>
          <w:bCs/>
        </w:rPr>
        <w:t xml:space="preserve">ACR Companion</w:t>
      </w:r>
      <w:r>
        <w:t xml:space="preserve">. Tap </w:t>
      </w:r>
      <w:r>
        <w:rPr>
          <w:b/>
          <w:bCs/>
        </w:rPr>
        <w:t xml:space="preserve">Install</w:t>
      </w:r>
      <w:r>
        <w:t xml:space="preserve">.</w:t>
      </w:r>
    </w:p>
    <w:p>
      <w:pPr>
        <w:pStyle w:val="Heading2"/>
        <w:spacing w:after="140" w:before="360"/>
      </w:pPr>
      <w:r>
        <w:rPr>
          <w:b/>
          <w:bCs/>
          <w:color w:val="1A202C"/>
          <w:sz w:val="26"/>
          <w:szCs w:val="26"/>
        </w:rPr>
        <w:t xml:space="preserve">Step 4 — open the app</w:t>
      </w:r>
    </w:p>
    <w:p>
      <w:pPr>
        <w:spacing w:after="160" w:line="288"/>
      </w:pPr>
      <w:r>
        <w:t xml:space="preserve">It appears on your home screen like any other app. Open it.</w:t>
      </w:r>
    </w:p>
    <w:p>
      <w:pPr>
        <w:pStyle w:val="Heading2"/>
        <w:spacing w:after="140" w:before="360"/>
      </w:pPr>
      <w:r>
        <w:rPr>
          <w:b/>
          <w:bCs/>
          <w:color w:val="1A202C"/>
          <w:sz w:val="26"/>
          <w:szCs w:val="26"/>
        </w:rPr>
        <w:t xml:space="preserve">What you will see</w:t>
      </w:r>
    </w:p>
    <w:p>
      <w:pPr>
        <w:spacing w:after="160" w:line="288"/>
      </w:pPr>
      <w:r>
        <w:t xml:space="preserve">The app opens on a poster screen. </w:t>
      </w:r>
      <w:r>
        <w:rPr>
          <w:b/>
          <w:bCs/>
        </w:rPr>
        <w:t xml:space="preserve">READ DETAILS</w:t>
      </w:r>
      <w:r>
        <w:t xml:space="preserve"> there opens a short manual, available in eight languages.</w:t>
      </w:r>
    </w:p>
    <w:p>
      <w:pPr>
        <w:spacing w:after="160" w:line="288"/>
      </w:pPr>
      <w:r>
        <w:t xml:space="preserve">Then:</w:t>
      </w:r>
    </w:p>
    <w:p>
      <w:pPr>
        <w:pStyle w:val="ListParagraph"/>
        <w:numPr>
          <w:ilvl w:val="0"/>
          <w:numId w:val="2"/>
        </w:numPr>
        <w:spacing w:after="120" w:line="288"/>
      </w:pPr>
      <w:r>
        <w:t xml:space="preserve">A notice headed </w:t>
      </w:r>
      <w:r>
        <w:rPr>
          <w:b/>
          <w:bCs/>
        </w:rPr>
        <w:t xml:space="preserve">Before you begin</w:t>
      </w:r>
      <w:r>
        <w:t xml:space="preserve">. Tap </w:t>
      </w:r>
      <w:r>
        <w:rPr>
          <w:b/>
          <w:bCs/>
        </w:rPr>
        <w:t xml:space="preserve">I understand — Begin</w:t>
      </w:r>
      <w:r>
        <w:t xml:space="preserve">.</w:t>
      </w:r>
    </w:p>
    <w:p>
      <w:pPr>
        <w:pStyle w:val="ListParagraph"/>
        <w:numPr>
          <w:ilvl w:val="0"/>
          <w:numId w:val="2"/>
        </w:numPr>
        <w:spacing w:after="120" w:line="288"/>
      </w:pPr>
      <w:r>
        <w:t xml:space="preserve">A screen called </w:t>
      </w:r>
      <w:r>
        <w:rPr>
          <w:b/>
          <w:bCs/>
        </w:rPr>
        <w:t xml:space="preserve">Evaluation access</w:t>
      </w:r>
      <w:r>
        <w:t xml:space="preserve">. Set the selector to </w:t>
      </w:r>
      <w:r>
        <w:rPr>
          <w:b/>
          <w:bCs/>
        </w:rPr>
        <w:t xml:space="preserve">Synthetic demonstration</w:t>
      </w:r>
      <w:r>
        <w:t xml:space="preserve">.</w:t>
      </w:r>
    </w:p>
    <w:p>
      <w:pPr>
        <w:pStyle w:val="ListParagraph"/>
        <w:numPr>
          <w:ilvl w:val="0"/>
          <w:numId w:val="2"/>
        </w:numPr>
        <w:spacing w:after="120" w:line="288"/>
      </w:pPr>
      <w:r>
        <w:t xml:space="preserve">Five screens of clinical questions — receptor status, tumour characteristics, biomarkers, and two provisional assessments. Twenty questions in all. Tap </w:t>
      </w:r>
      <w:r>
        <w:rPr>
          <w:b/>
          <w:bCs/>
        </w:rPr>
        <w:t xml:space="preserve">Next</w:t>
      </w:r>
      <w:r>
        <w:t xml:space="preserve"> on each.</w:t>
      </w:r>
    </w:p>
    <w:p>
      <w:pPr>
        <w:pStyle w:val="ListParagraph"/>
        <w:numPr>
          <w:ilvl w:val="0"/>
          <w:numId w:val="2"/>
        </w:numPr>
        <w:spacing w:after="120" w:line="288"/>
      </w:pPr>
      <w:r>
        <w:t xml:space="preserve">A </w:t>
      </w:r>
      <w:r>
        <w:rPr>
          <w:b/>
          <w:bCs/>
        </w:rPr>
        <w:t xml:space="preserve">Review</w:t>
      </w:r>
      <w:r>
        <w:t xml:space="preserve"> screen listing everything you entered. Tap </w:t>
      </w:r>
      <w:r>
        <w:rPr>
          <w:b/>
          <w:bCs/>
        </w:rPr>
        <w:t xml:space="preserve">Submit</w:t>
      </w:r>
      <w:r>
        <w:t xml:space="preserve">.</w:t>
      </w:r>
    </w:p>
    <w:p>
      <w:pPr>
        <w:spacing w:after="160" w:line="288"/>
      </w:pPr>
      <w:r>
        <w:rPr>
          <w:b/>
          <w:bCs/>
        </w:rPr>
        <w:t xml:space="preserve">You need no password, no code and no internet connection for any of this.</w:t>
      </w:r>
      <w:r>
        <w:t xml:space="preserve"> Go through it as many times as you like.</w:t>
      </w:r>
    </w:p>
    <w:p>
      <w:pPr>
        <w:spacing w:after="160" w:line="288"/>
      </w:pPr>
      <w:r>
        <w:t xml:space="preserve">The app will tell you, at the end, that no result can be returned. </w:t>
      </w:r>
      <w:r>
        <w:rPr>
          <w:b/>
          <w:bCs/>
        </w:rPr>
        <w:t xml:space="preserve">That is expected</w:t>
      </w:r>
      <w:r>
        <w:t xml:space="preserve"> — see below.</w:t>
      </w:r>
    </w:p>
    <w:p>
      <w:pPr>
        <w:pStyle w:val="Heading2"/>
        <w:spacing w:after="140" w:before="360"/>
      </w:pPr>
      <w:r>
        <w:rPr>
          <w:b/>
          <w:bCs/>
          <w:color w:val="1A202C"/>
          <w:sz w:val="26"/>
          <w:szCs w:val="26"/>
        </w:rPr>
        <w:t xml:space="preserve">If you want to see an actual result</w:t>
      </w:r>
    </w:p>
    <w:p>
      <w:pPr>
        <w:spacing w:after="160" w:line="288"/>
      </w:pPr>
      <w:r>
        <w:t xml:space="preserve">The twenty questions are only the input. The answer is produced by </w:t>
      </w:r>
      <w:r>
        <w:rPr>
          <w:b/>
          <w:bCs/>
        </w:rPr>
        <w:t xml:space="preserve">our research service</w:t>
      </w:r>
      <w:r>
        <w:t xml:space="preserve">, which applies several hundred clinical rules to what you entered and returns an assessment with an explanation of how it reached it. The app on your phone deliberately holds none of that.</w:t>
      </w:r>
    </w:p>
    <w:p>
      <w:pPr>
        <w:spacing w:after="160" w:line="288"/>
      </w:pPr>
      <w:r>
        <w:t xml:space="preserve">To see it working, you need two things from us: a short </w:t>
      </w:r>
      <w:r>
        <w:rPr>
          <w:b/>
          <w:bCs/>
        </w:rPr>
        <w:t xml:space="preserve">access code</w:t>
      </w:r>
      <w:r>
        <w:t xml:space="preserve">, and the service switched on at an agreed time. </w:t>
      </w:r>
      <w:r>
        <w:rPr>
          <w:b/>
          <w:bCs/>
        </w:rPr>
        <w:t xml:space="preserve">Just ask</w:t>
      </w:r>
      <w:r>
        <w:t xml:space="preserve"> and we will arrange a slot — it takes a few minutes.</w:t>
      </w:r>
    </w:p>
    <w:p>
      <w:pPr>
        <w:spacing w:after="160" w:line="288"/>
      </w:pPr>
      <w:r>
        <w:t xml:space="preserve">Without the code, the app is a complete guided walk-through of the assessment. With it, you see the reasoning as a clinician would.</w:t>
      </w:r>
    </w:p>
    <w:p>
      <w:pPr>
        <w:pStyle w:val="Heading2"/>
        <w:spacing w:after="140" w:before="360"/>
      </w:pPr>
      <w:r>
        <w:rPr>
          <w:b/>
          <w:bCs/>
          <w:color w:val="1A202C"/>
          <w:sz w:val="26"/>
          <w:szCs w:val="26"/>
        </w:rPr>
        <w:t xml:space="preserve">Please note</w:t>
      </w:r>
    </w:p>
    <w:p>
      <w:pPr>
        <w:spacing w:after="160" w:line="288"/>
      </w:pPr>
      <w:r>
        <w:t xml:space="preserve">This is a </w:t>
      </w:r>
      <w:r>
        <w:rPr>
          <w:b/>
          <w:bCs/>
        </w:rPr>
        <w:t xml:space="preserve">research prototype under evaluation</w:t>
      </w:r>
      <w:r>
        <w:t xml:space="preserve">. It is </w:t>
      </w:r>
      <w:r>
        <w:rPr>
          <w:b/>
          <w:bCs/>
        </w:rPr>
        <w:t xml:space="preserve">not a medical device</w:t>
      </w:r>
      <w:r>
        <w:t xml:space="preserve">, it makes no diagnostic claim, and it must not be used in the care of any patient. Every screen says so.</w:t>
      </w:r>
    </w:p>
    <w:p>
      <w:pPr>
        <w:spacing w:after="160" w:line="288"/>
      </w:pPr>
      <w:r>
        <w:rPr>
          <w:b/>
          <w:bCs/>
        </w:rPr>
        <w:t xml:space="preserve">Never enter real patient information.</w:t>
      </w:r>
      <w:r>
        <w:t xml:space="preserve"> The questions are there to be answered with the example data in the manual.</w:t>
      </w:r>
    </w:p>
    <w:p>
      <w:pPr>
        <w:spacing w:after="160" w:line="288"/>
      </w:pPr>
      <w:r>
        <w:t xml:space="preserve">Anything you tell us about the app is welcome — in TestFlight you can shake the phone to send feedback with a screenshot.</w:t>
      </w:r>
    </w:p>
    <w:p>
      <w:pPr>
        <w:pStyle w:val="Heading2"/>
        <w:spacing w:after="140" w:before="360"/>
      </w:pPr>
      <w:r>
        <w:rPr>
          <w:b/>
          <w:bCs/>
          <w:color w:val="1A202C"/>
          <w:sz w:val="26"/>
          <w:szCs w:val="26"/>
        </w:rPr>
        <w:t xml:space="preserve">If something does not 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4F6FA" w:val="clear"/>
            <w:tcMar>
              <w:top w:type="dxa" w:w="100"/>
              <w:left w:type="dxa" w:w="140"/>
              <w:bottom w:type="dxa" w:w="100"/>
              <w:right w:type="dxa" w:w="140"/>
            </w:tcMar>
          </w:tcPr>
          <w:p>
            <w:pPr>
              <w:spacing w:after="0" w:line="276"/>
            </w:pPr>
            <w:r>
              <w:rPr>
                <w:b/>
                <w:bCs/>
              </w:rPr>
              <w:t xml:space="preserve">No e-mail arrived</w:t>
            </w:r>
          </w:p>
        </w:tc>
        <w:tc>
          <w:tcPr>
            <w:tcW w:type="dxa" w:w="5800"/>
            <w:shd w:fill="F4F6FA" w:val="clear"/>
            <w:tcMar>
              <w:top w:type="dxa" w:w="100"/>
              <w:left w:type="dxa" w:w="140"/>
              <w:bottom w:type="dxa" w:w="100"/>
              <w:right w:type="dxa" w:w="140"/>
            </w:tcMar>
          </w:tcPr>
          <w:p>
            <w:pPr>
              <w:spacing w:after="0" w:line="276"/>
            </w:pPr>
            <w:r>
              <w:rPr>
                <w:b w:val="false"/>
                <w:bCs w:val="false"/>
              </w:rPr>
              <w:t xml:space="preserve">Check your spam folder, and confirm with us which address your Apple Account uses.</w:t>
            </w:r>
          </w:p>
        </w:tc>
      </w:tr>
      <w:tr>
        <w:tc>
          <w:tcPr>
            <w:tcW w:type="dxa" w:w="3200"/>
            <w:tcMar>
              <w:top w:type="dxa" w:w="100"/>
              <w:left w:type="dxa" w:w="140"/>
              <w:bottom w:type="dxa" w:w="100"/>
              <w:right w:type="dxa" w:w="140"/>
            </w:tcMar>
          </w:tcPr>
          <w:p>
            <w:pPr>
              <w:spacing w:after="0" w:line="276"/>
            </w:pPr>
            <w:r>
              <w:rPr>
                <w:b/>
                <w:bCs/>
              </w:rPr>
              <w:t xml:space="preserve">The second e-mail won't open</w:t>
            </w:r>
          </w:p>
        </w:tc>
        <w:tc>
          <w:tcPr>
            <w:tcW w:type="dxa" w:w="5800"/>
            <w:tcMar>
              <w:top w:type="dxa" w:w="100"/>
              <w:left w:type="dxa" w:w="140"/>
              <w:bottom w:type="dxa" w:w="100"/>
              <w:right w:type="dxa" w:w="140"/>
            </w:tcMar>
          </w:tcPr>
          <w:p>
            <w:pPr>
              <w:spacing w:after="0" w:line="276"/>
            </w:pPr>
            <w:r>
              <w:rPr>
                <w:b w:val="false"/>
                <w:bCs w:val="false"/>
              </w:rPr>
              <w:t xml:space="preserve">Open it </w:t>
            </w:r>
            <w:r>
              <w:rPr>
                <w:b w:val="false"/>
                <w:bCs w:val="false"/>
              </w:rPr>
              <w:t xml:space="preserve">on the iPhone</w:t>
            </w:r>
            <w:r>
              <w:rPr>
                <w:b w:val="false"/>
                <w:bCs w:val="false"/>
              </w:rPr>
              <w:t xml:space="preserve">, not on a computer.</w:t>
            </w:r>
          </w:p>
        </w:tc>
      </w:tr>
      <w:tr>
        <w:tc>
          <w:tcPr>
            <w:tcW w:type="dxa" w:w="3200"/>
            <w:shd w:fill="F4F6FA" w:val="clear"/>
            <w:tcMar>
              <w:top w:type="dxa" w:w="100"/>
              <w:left w:type="dxa" w:w="140"/>
              <w:bottom w:type="dxa" w:w="100"/>
              <w:right w:type="dxa" w:w="140"/>
            </w:tcMar>
          </w:tcPr>
          <w:p>
            <w:pPr>
              <w:spacing w:after="0" w:line="276"/>
            </w:pPr>
            <w:r>
              <w:rPr>
                <w:b/>
                <w:bCs/>
              </w:rPr>
              <w:t xml:space="preserve">TestFlight says the invitation expired</w:t>
            </w:r>
          </w:p>
        </w:tc>
        <w:tc>
          <w:tcPr>
            <w:tcW w:type="dxa" w:w="5800"/>
            <w:shd w:fill="F4F6FA" w:val="clear"/>
            <w:tcMar>
              <w:top w:type="dxa" w:w="100"/>
              <w:left w:type="dxa" w:w="140"/>
              <w:bottom w:type="dxa" w:w="100"/>
              <w:right w:type="dxa" w:w="140"/>
            </w:tcMar>
          </w:tcPr>
          <w:p>
            <w:pPr>
              <w:spacing w:after="0" w:line="276"/>
            </w:pPr>
            <w:r>
              <w:rPr>
                <w:b w:val="false"/>
                <w:bCs w:val="false"/>
              </w:rPr>
              <w:t xml:space="preserve">Tell us and we will send it again.</w:t>
            </w:r>
          </w:p>
        </w:tc>
      </w:tr>
      <w:tr>
        <w:tc>
          <w:tcPr>
            <w:tcW w:type="dxa" w:w="3200"/>
            <w:tcMar>
              <w:top w:type="dxa" w:w="100"/>
              <w:left w:type="dxa" w:w="140"/>
              <w:bottom w:type="dxa" w:w="100"/>
              <w:right w:type="dxa" w:w="140"/>
            </w:tcMar>
          </w:tcPr>
          <w:p>
            <w:pPr>
              <w:spacing w:after="0" w:line="276"/>
            </w:pPr>
            <w:r>
              <w:rPr>
                <w:b/>
                <w:bCs/>
              </w:rPr>
              <w:t xml:space="preserve">The app will not install</w:t>
            </w:r>
          </w:p>
        </w:tc>
        <w:tc>
          <w:tcPr>
            <w:tcW w:type="dxa" w:w="5800"/>
            <w:tcMar>
              <w:top w:type="dxa" w:w="100"/>
              <w:left w:type="dxa" w:w="140"/>
              <w:bottom w:type="dxa" w:w="100"/>
              <w:right w:type="dxa" w:w="140"/>
            </w:tcMar>
          </w:tcPr>
          <w:p>
            <w:pPr>
              <w:spacing w:after="0" w:line="276"/>
            </w:pPr>
            <w:r>
              <w:rPr>
                <w:b w:val="false"/>
                <w:bCs w:val="false"/>
              </w:rPr>
              <w:t xml:space="preserve">Check the iPhone is running iOS 14 or later.</w:t>
            </w:r>
          </w:p>
        </w:tc>
      </w:tr>
    </w:tbl>
    <w:p>
      <w:pPr>
        <w:spacing w:before="300"/>
      </w:pPr>
      <w:r>
        <w:t xml:space="preserve">Contact: </w:t>
      </w:r>
      <w:r>
        <w:rPr>
          <w:b/>
          <w:bCs/>
        </w:rPr>
        <w:t xml:space="preserve">info@acragent.com</w:t>
      </w:r>
    </w:p>
    <w:p>
      <w:r>
        <w:br w:type="page"/>
      </w:r>
    </w:p>
    <w:p>
      <w:pPr>
        <w:spacing w:after="80"/>
      </w:pPr>
      <w:r>
        <w:rPr>
          <w:b/>
          <w:bCs/>
          <w:color w:val="1A202C"/>
          <w:sz w:val="40"/>
          <w:szCs w:val="40"/>
        </w:rPr>
        <w:t xml:space="preserve">Appendix</w:t>
      </w:r>
    </w:p>
    <w:p>
      <w:pPr>
        <w:spacing w:after="80"/>
      </w:pPr>
      <w:r>
        <w:rPr>
          <w:color w:val="5A6478"/>
          <w:sz w:val="26"/>
          <w:szCs w:val="26"/>
        </w:rPr>
        <w:t xml:space="preserve">What ACR is, and the other versions</w:t>
      </w:r>
    </w:p>
    <w:p>
      <w:pPr>
        <w:pBdr>
          <w:bottom w:val="single" w:color="D7DDE8" w:sz="6" w:space="1"/>
        </w:pBdr>
        <w:spacing w:after="240" w:before="120"/>
      </w:pPr>
    </w:p>
    <w:p>
      <w:pPr>
        <w:spacing w:after="160" w:line="288"/>
      </w:pPr>
      <w:r>
        <w:t xml:space="preserve">The </w:t>
      </w:r>
      <w:r>
        <w:rPr>
          <w:b/>
          <w:bCs/>
        </w:rPr>
        <w:t xml:space="preserve">ACR platform</w:t>
      </w:r>
      <w:r>
        <w:t xml:space="preserve"> assesses a cancer diagnosis from twenty clinical answers. A formal ontology of several hundred clinical rules does the reasoning, AI agents explain how it reached its conclusion, and an optional Bayesian layer adds probabilities and uncertainty bounds. </w:t>
      </w:r>
      <w:r>
        <w:rPr>
          <w:b/>
          <w:bCs/>
        </w:rPr>
        <w:t xml:space="preserve">ACR Companion</w:t>
      </w:r>
      <w:r>
        <w:t xml:space="preserve"> is the mobile companion to that platform — the same five screens and twenty fields, on a phone. Breast cancer is implemented today; a prostate cancer ontology is being added as of October 2026. The project’s website is </w:t>
      </w:r>
      <w:r>
        <w:rPr>
          <w:b/>
          <w:bCs/>
        </w:rPr>
        <w:t xml:space="preserve">www.acragent.com</w:t>
      </w:r>
      <w:r>
        <w:t xml:space="preserve">.</w:t>
      </w:r>
    </w:p>
    <w:p>
      <w:pPr>
        <w:pStyle w:val="Heading2"/>
        <w:spacing w:after="140" w:before="360"/>
      </w:pPr>
      <w:r>
        <w:rPr>
          <w:b/>
          <w:bCs/>
          <w:color w:val="1A202C"/>
          <w:sz w:val="26"/>
          <w:szCs w:val="26"/>
        </w:rPr>
        <w:t xml:space="preserve">Getting the app</w:t>
      </w:r>
    </w:p>
    <w:p>
      <w:pPr>
        <w:spacing w:after="160" w:line="288"/>
      </w:pPr>
      <w:r>
        <w:t xml:space="preserve">One address covers all of it: </w:t>
      </w:r>
      <w:r>
        <w:rPr>
          <w:b/>
          <w:bCs/>
        </w:rPr>
        <w:t xml:space="preserve">www.acragent.com</w:t>
      </w:r>
      <w:r>
        <w:t xml:space="preserve">. Sign in there and the download options appear — you will not see them until you do. Then choose the version you need.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F4F6FA" w:val="clear"/>
            <w:tcMar>
              <w:top w:type="dxa" w:w="100"/>
              <w:left w:type="dxa" w:w="140"/>
              <w:bottom w:type="dxa" w:w="100"/>
              <w:right w:type="dxa" w:w="140"/>
            </w:tcMar>
          </w:tcPr>
          <w:p>
            <w:pPr>
              <w:spacing w:after="0" w:line="276"/>
            </w:pPr>
            <w:r>
              <w:rPr>
                <w:b/>
                <w:bCs/>
              </w:rPr>
              <w:t xml:space="preserve">iPhone</w:t>
            </w:r>
          </w:p>
        </w:tc>
        <w:tc>
          <w:tcPr>
            <w:tcW w:type="dxa" w:w="6400"/>
            <w:shd w:fill="F4F6FA" w:val="clear"/>
            <w:tcMar>
              <w:top w:type="dxa" w:w="100"/>
              <w:left w:type="dxa" w:w="140"/>
              <w:bottom w:type="dxa" w:w="100"/>
              <w:right w:type="dxa" w:w="140"/>
            </w:tcMar>
          </w:tcPr>
          <w:p>
            <w:pPr>
              <w:spacing w:after="0" w:line="276"/>
            </w:pPr>
            <w:r>
              <w:rPr>
                <w:b w:val="false"/>
                <w:bCs w:val="false"/>
              </w:rPr>
              <w:t xml:space="preserve">You are already being invited. The four steps on the previous pages are all you need.</w:t>
            </w:r>
          </w:p>
        </w:tc>
      </w:tr>
      <w:tr>
        <w:tc>
          <w:tcPr>
            <w:tcW w:type="dxa" w:w="2600"/>
            <w:tcMar>
              <w:top w:type="dxa" w:w="100"/>
              <w:left w:type="dxa" w:w="140"/>
              <w:bottom w:type="dxa" w:w="100"/>
              <w:right w:type="dxa" w:w="140"/>
            </w:tcMar>
          </w:tcPr>
          <w:p>
            <w:pPr>
              <w:spacing w:after="0" w:line="276"/>
            </w:pPr>
            <w:r>
              <w:rPr>
                <w:b/>
                <w:bCs/>
              </w:rPr>
              <w:t xml:space="preserve">Android</w:t>
            </w:r>
          </w:p>
        </w:tc>
        <w:tc>
          <w:tcPr>
            <w:tcW w:type="dxa" w:w="6400"/>
            <w:tcMar>
              <w:top w:type="dxa" w:w="100"/>
              <w:left w:type="dxa" w:w="140"/>
              <w:bottom w:type="dxa" w:w="100"/>
              <w:right w:type="dxa" w:w="140"/>
            </w:tcMar>
          </w:tcPr>
          <w:p>
            <w:pPr>
              <w:spacing w:after="0" w:line="276"/>
            </w:pPr>
            <w:r>
              <w:rPr>
                <w:b w:val="false"/>
                <w:bCs w:val="false"/>
              </w:rPr>
              <w:t xml:space="preserve">Choose Android after signing in. We send you a </w:t>
            </w:r>
            <w:r>
              <w:rPr>
                <w:b w:val="false"/>
                <w:bCs w:val="false"/>
              </w:rPr>
              <w:t xml:space="preserve">download code</w:t>
            </w:r>
            <w:r>
              <w:rPr>
                <w:b w:val="false"/>
                <w:bCs w:val="false"/>
              </w:rPr>
              <w:t xml:space="preserve"> to use on that page.</w:t>
            </w:r>
          </w:p>
        </w:tc>
      </w:tr>
      <w:tr>
        <w:tc>
          <w:tcPr>
            <w:tcW w:type="dxa" w:w="2600"/>
            <w:shd w:fill="F4F6FA" w:val="clear"/>
            <w:tcMar>
              <w:top w:type="dxa" w:w="100"/>
              <w:left w:type="dxa" w:w="140"/>
              <w:bottom w:type="dxa" w:w="100"/>
              <w:right w:type="dxa" w:w="140"/>
            </w:tcMar>
          </w:tcPr>
          <w:p>
            <w:pPr>
              <w:spacing w:after="0" w:line="276"/>
            </w:pPr>
            <w:r>
              <w:rPr>
                <w:b/>
                <w:bCs/>
              </w:rPr>
              <w:t xml:space="preserve">WeChat mini-program</w:t>
            </w:r>
          </w:p>
        </w:tc>
        <w:tc>
          <w:tcPr>
            <w:tcW w:type="dxa" w:w="6400"/>
            <w:shd w:fill="F4F6FA" w:val="clear"/>
            <w:tcMar>
              <w:top w:type="dxa" w:w="100"/>
              <w:left w:type="dxa" w:w="140"/>
              <w:bottom w:type="dxa" w:w="100"/>
              <w:right w:type="dxa" w:w="140"/>
            </w:tcMar>
          </w:tcPr>
          <w:p>
            <w:pPr>
              <w:spacing w:after="0" w:line="276"/>
            </w:pPr>
            <w:r>
              <w:rPr>
                <w:b w:val="false"/>
                <w:bCs w:val="false"/>
              </w:rPr>
              <w:t xml:space="preserve">Also available, for use inside China. Just ask.</w:t>
            </w:r>
          </w:p>
        </w:tc>
      </w:tr>
    </w:tbl>
    <w:p>
      <w:pPr>
        <w:pStyle w:val="Heading2"/>
        <w:spacing w:after="140" w:before="360"/>
      </w:pPr>
      <w:r>
        <w:rPr>
          <w:b/>
          <w:bCs/>
          <w:color w:val="1A202C"/>
          <w:sz w:val="26"/>
          <w:szCs w:val="26"/>
        </w:rPr>
        <w:t xml:space="preserve">Seeing a real result</w:t>
      </w:r>
    </w:p>
    <w:p>
      <w:pPr>
        <w:spacing w:after="160" w:line="288"/>
      </w:pPr>
      <w:r>
        <w:t xml:space="preserve">Walking through the app needs nothing from us — no code, no account, no network.</w:t>
      </w:r>
    </w:p>
    <w:p>
      <w:pPr>
        <w:spacing w:after="160" w:line="288"/>
      </w:pPr>
      <w:r>
        <w:t xml:space="preserve">To see the engine actually working, </w:t>
      </w:r>
      <w:r>
        <w:rPr>
          <w:b/>
          <w:bCs/>
        </w:rPr>
        <w:t xml:space="preserve">just ask</w:t>
      </w:r>
      <w:r>
        <w:t xml:space="preserve">. We send you an </w:t>
      </w:r>
      <w:r>
        <w:rPr>
          <w:b/>
          <w:bCs/>
        </w:rPr>
        <w:t xml:space="preserve">invite code</w:t>
      </w:r>
      <w:r>
        <w:t xml:space="preserve"> and switch the service on at an agreed time.</w:t>
      </w:r>
    </w:p>
    <w:p>
      <w:pPr>
        <w:pStyle w:val="Heading2"/>
        <w:spacing w:after="140" w:before="360"/>
      </w:pPr>
      <w:r>
        <w:rPr>
          <w:b/>
          <w:bCs/>
          <w:color w:val="1A202C"/>
          <w:sz w:val="26"/>
          <w:szCs w:val="26"/>
        </w:rPr>
        <w:t xml:space="preserve">Why there are so many steps</w:t>
      </w:r>
    </w:p>
    <w:p>
      <w:pPr>
        <w:spacing w:after="160" w:line="288"/>
      </w:pPr>
      <w:r>
        <w:t xml:space="preserve">Our apologies. The platform handles clinical data, and EU healthcare data protection — </w:t>
      </w:r>
      <w:r>
        <w:rPr>
          <w:b/>
          <w:bCs/>
        </w:rPr>
        <w:t xml:space="preserve">GDPR</w:t>
      </w:r>
      <w:r>
        <w:t xml:space="preserve"> above all — governs who may be given access and how that is recorded. Apple’s review rules add a further layer for the iPhone. None of it is caution for its own sake.</w:t>
      </w:r>
    </w:p>
    <w:p>
      <w:pPr>
        <w:spacing w:before="300"/>
      </w:pPr>
      <w:r>
        <w:t xml:space="preserve">Contact: </w:t>
      </w:r>
      <w:r>
        <w:rPr>
          <w:b/>
          <w:bCs/>
        </w:rPr>
        <w:t xml:space="preserve">info@acragent.com</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4" w:hanging="316"/>
      </w:pPr>
    </w:lvl>
  </w:abstractNum>
  <w:abstractNum w:abstractNumId="3" w15:restartNumberingAfterBreak="0">
    <w:multiLevelType w:val="hybridMultilevel"/>
    <w:lvl w:ilvl="0" w:tentative="1">
      <w:start w:val="1"/>
      <w:numFmt w:val="decimal"/>
      <w:lvlText w:val="%1."/>
      <w:lvlJc w:val="left"/>
      <w:pPr>
        <w:ind w:left="504" w:hanging="316"/>
      </w:pPr>
    </w:lvl>
  </w:abstractNum>
  <w:abstractNum w:abstractNumId="4" w15:restartNumberingAfterBreak="0">
    <w:multiLevelType w:val="hybridMultilevel"/>
    <w:lvl w:ilvl="0" w:tentative="1">
      <w:start w:val="1"/>
      <w:numFmt w:val="bullet"/>
      <w:lvlText w:val="•"/>
      <w:lvlJc w:val="left"/>
      <w:pPr>
        <w:ind w:left="504"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02C"/>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ACR Companion for iPhone — how to get it</dc:title>
  <dc:creator>Cornerstone Research International Ltd</dc:creator>
  <dc:description>Installation instructions for an invited reviewer</dc:description>
  <cp:lastModifiedBy>Un-named</cp:lastModifiedBy>
  <cp:revision>1</cp:revision>
  <dcterms:created xsi:type="dcterms:W3CDTF">2026-10-09T08:06:40.353Z</dcterms:created>
  <dcterms:modified xsi:type="dcterms:W3CDTF">2026-10-09T08:06:40.364Z</dcterms:modified>
</cp:coreProperties>
</file>

<file path=docProps/custom.xml><?xml version="1.0" encoding="utf-8"?>
<Properties xmlns="http://schemas.openxmlformats.org/officeDocument/2006/custom-properties" xmlns:vt="http://schemas.openxmlformats.org/officeDocument/2006/docPropsVTypes"/>
</file>