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15" w:rsidRPr="00D9365F" w:rsidRDefault="00081E15" w:rsidP="00EA686E">
      <w:pPr>
        <w:pStyle w:val="Title"/>
        <w:jc w:val="both"/>
        <w:rPr>
          <w:sz w:val="36"/>
          <w:szCs w:val="36"/>
        </w:rPr>
      </w:pPr>
      <w:r w:rsidRPr="00D9365F">
        <w:rPr>
          <w:sz w:val="36"/>
          <w:szCs w:val="36"/>
        </w:rPr>
        <w:t>Temasek Polytechnic</w:t>
      </w:r>
    </w:p>
    <w:p w:rsidR="00081E15" w:rsidRPr="00D9365F" w:rsidRDefault="00081E15" w:rsidP="00EA686E">
      <w:pPr>
        <w:pStyle w:val="Title"/>
        <w:jc w:val="both"/>
        <w:rPr>
          <w:sz w:val="36"/>
          <w:szCs w:val="36"/>
        </w:rPr>
      </w:pPr>
      <w:r w:rsidRPr="00D9365F">
        <w:rPr>
          <w:sz w:val="36"/>
          <w:szCs w:val="36"/>
        </w:rPr>
        <w:t>School of Informatics &amp; IT</w:t>
      </w:r>
    </w:p>
    <w:p w:rsidR="00081E15" w:rsidRPr="00D9365F" w:rsidRDefault="00081E15" w:rsidP="00EA686E">
      <w:pPr>
        <w:jc w:val="both"/>
        <w:rPr>
          <w:b/>
          <w:sz w:val="32"/>
          <w:szCs w:val="32"/>
        </w:rPr>
      </w:pPr>
      <w:r w:rsidRPr="00D9365F">
        <w:rPr>
          <w:b/>
          <w:sz w:val="32"/>
          <w:szCs w:val="32"/>
        </w:rPr>
        <w:t>Diploma in Financial Business Informatics</w:t>
      </w:r>
    </w:p>
    <w:p w:rsidR="00C77A31" w:rsidRDefault="00C77A31" w:rsidP="00EA686E">
      <w:pPr>
        <w:jc w:val="both"/>
        <w:rPr>
          <w:b/>
          <w:bCs/>
          <w:sz w:val="28"/>
          <w:szCs w:val="28"/>
        </w:rPr>
      </w:pPr>
    </w:p>
    <w:p w:rsidR="00C77A31" w:rsidRDefault="00C77A31" w:rsidP="00EA686E">
      <w:pPr>
        <w:pStyle w:val="BodyText"/>
        <w:jc w:val="both"/>
      </w:pPr>
      <w:r>
        <w:t>MP</w:t>
      </w:r>
      <w:r w:rsidR="008528F4">
        <w:t xml:space="preserve"> Minutes of Meeting</w:t>
      </w:r>
    </w:p>
    <w:p w:rsidR="00C77A31" w:rsidRDefault="00C77A31" w:rsidP="00EA686E">
      <w:pPr>
        <w:jc w:val="both"/>
        <w:rPr>
          <w:sz w:val="20"/>
          <w:szCs w:val="20"/>
        </w:rPr>
      </w:pPr>
    </w:p>
    <w:p w:rsidR="00C77A31" w:rsidRDefault="00C77A31" w:rsidP="00EA686E">
      <w:pPr>
        <w:jc w:val="both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755"/>
        <w:gridCol w:w="4275"/>
        <w:gridCol w:w="1755"/>
      </w:tblGrid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A31" w:rsidRDefault="009619D5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26/11/2012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A31" w:rsidRDefault="009619D5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Venue: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A31" w:rsidRDefault="00C233F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IT7-6</w:t>
            </w:r>
            <w:r w:rsidR="005C5FAD">
              <w:rPr>
                <w:sz w:val="20"/>
                <w:szCs w:val="20"/>
              </w:rPr>
              <w:t>-8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FA1" w:rsidRDefault="009619D5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Esther</w:t>
            </w:r>
            <w:r w:rsidR="00E51F23">
              <w:rPr>
                <w:sz w:val="20"/>
                <w:szCs w:val="20"/>
              </w:rPr>
              <w:t xml:space="preserve"> Chia</w:t>
            </w:r>
          </w:p>
          <w:p w:rsidR="004A3FA1" w:rsidRDefault="004A3FA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Soh Jun Jie</w:t>
            </w:r>
          </w:p>
          <w:p w:rsidR="004A3FA1" w:rsidRDefault="004A3FA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Qi Yong</w:t>
            </w:r>
          </w:p>
          <w:p w:rsidR="004A3FA1" w:rsidRDefault="004A3FA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Leung Kai Yiu</w:t>
            </w:r>
          </w:p>
          <w:p w:rsidR="00C77A31" w:rsidRDefault="009619D5" w:rsidP="00EA686E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Yan Dawei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rPr>
          <w:gridAfter w:val="2"/>
          <w:wAfter w:w="6030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  <w:tr w:rsidR="00C77A3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 with apologies: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D6D" w:rsidRDefault="008D6D6D" w:rsidP="00EA686E">
            <w:pPr>
              <w:jc w:val="both"/>
              <w:rPr>
                <w:sz w:val="20"/>
                <w:szCs w:val="20"/>
              </w:rPr>
            </w:pPr>
          </w:p>
          <w:p w:rsidR="00C77A31" w:rsidRDefault="009619D5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C77A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</w:p>
        </w:tc>
      </w:tr>
    </w:tbl>
    <w:p w:rsidR="00C77A31" w:rsidRDefault="00C77A31" w:rsidP="00EA686E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:rsidR="00C77A31" w:rsidRDefault="00C77A31" w:rsidP="00EA686E">
      <w:pPr>
        <w:jc w:val="both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5"/>
        <w:gridCol w:w="6629"/>
        <w:gridCol w:w="1726"/>
      </w:tblGrid>
      <w:tr w:rsidR="00C77A31" w:rsidTr="00EA686E">
        <w:trPr>
          <w:trHeight w:val="383"/>
          <w:tblHeader/>
        </w:trPr>
        <w:tc>
          <w:tcPr>
            <w:tcW w:w="725" w:type="dxa"/>
            <w:tcBorders>
              <w:top w:val="nil"/>
              <w:left w:val="nil"/>
              <w:bottom w:val="nil"/>
            </w:tcBorders>
          </w:tcPr>
          <w:p w:rsidR="00C77A31" w:rsidRDefault="00C77A31" w:rsidP="00EA686E">
            <w:pPr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S/No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tabs>
                <w:tab w:val="left" w:pos="522"/>
              </w:tabs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Item</w:t>
            </w:r>
          </w:p>
          <w:p w:rsidR="00C77A31" w:rsidRDefault="00C77A31" w:rsidP="00EA686E">
            <w:pPr>
              <w:tabs>
                <w:tab w:val="left" w:pos="522"/>
              </w:tabs>
              <w:jc w:val="both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7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Action By</w:t>
            </w:r>
          </w:p>
        </w:tc>
      </w:tr>
      <w:tr w:rsidR="00C77A31" w:rsidTr="00EA686E">
        <w:trPr>
          <w:trHeight w:val="371"/>
        </w:trPr>
        <w:tc>
          <w:tcPr>
            <w:tcW w:w="725" w:type="dxa"/>
            <w:tcBorders>
              <w:top w:val="nil"/>
              <w:left w:val="nil"/>
              <w:bottom w:val="nil"/>
            </w:tcBorders>
          </w:tcPr>
          <w:p w:rsidR="00C77A31" w:rsidRDefault="00C77A31" w:rsidP="00EA686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pStyle w:val="Header"/>
              <w:tabs>
                <w:tab w:val="clear" w:pos="4153"/>
                <w:tab w:val="clear" w:pos="8306"/>
                <w:tab w:val="left" w:pos="52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star</w:t>
            </w:r>
            <w:r w:rsidR="009619D5">
              <w:rPr>
                <w:sz w:val="20"/>
                <w:szCs w:val="20"/>
              </w:rPr>
              <w:t xml:space="preserve">ted at 2:30 </w:t>
            </w:r>
            <w:r>
              <w:rPr>
                <w:sz w:val="20"/>
                <w:szCs w:val="20"/>
              </w:rPr>
              <w:t>pm</w:t>
            </w:r>
          </w:p>
          <w:p w:rsidR="00C77A31" w:rsidRDefault="00C77A31" w:rsidP="00EA686E">
            <w:pPr>
              <w:pStyle w:val="Header"/>
              <w:tabs>
                <w:tab w:val="clear" w:pos="4153"/>
                <w:tab w:val="clear" w:pos="8306"/>
                <w:tab w:val="left" w:pos="52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C77A31" w:rsidTr="00EA686E">
        <w:trPr>
          <w:trHeight w:val="4932"/>
        </w:trPr>
        <w:tc>
          <w:tcPr>
            <w:tcW w:w="725" w:type="dxa"/>
            <w:tcBorders>
              <w:top w:val="nil"/>
              <w:left w:val="nil"/>
              <w:bottom w:val="nil"/>
            </w:tcBorders>
          </w:tcPr>
          <w:p w:rsidR="00D20C9B" w:rsidRPr="00027E33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 w:rsidRPr="00027E33">
              <w:rPr>
                <w:b/>
                <w:bCs/>
                <w:sz w:val="20"/>
                <w:szCs w:val="20"/>
              </w:rPr>
              <w:t>1.</w:t>
            </w: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EC0B65" w:rsidRDefault="00EC0B65" w:rsidP="00EA686E">
            <w:pPr>
              <w:jc w:val="both"/>
              <w:rPr>
                <w:b/>
                <w:sz w:val="20"/>
                <w:szCs w:val="20"/>
              </w:rPr>
            </w:pPr>
          </w:p>
          <w:p w:rsidR="00D20C9B" w:rsidRPr="00027E33" w:rsidRDefault="00D20C9B" w:rsidP="00EA686E">
            <w:pPr>
              <w:jc w:val="both"/>
              <w:rPr>
                <w:b/>
                <w:sz w:val="20"/>
                <w:szCs w:val="20"/>
              </w:rPr>
            </w:pPr>
            <w:r w:rsidRPr="00027E33">
              <w:rPr>
                <w:b/>
                <w:sz w:val="20"/>
                <w:szCs w:val="20"/>
              </w:rPr>
              <w:t>2.</w:t>
            </w: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P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D20C9B" w:rsidRDefault="00D20C9B" w:rsidP="00EA686E">
            <w:pPr>
              <w:jc w:val="both"/>
              <w:rPr>
                <w:sz w:val="20"/>
                <w:szCs w:val="20"/>
              </w:rPr>
            </w:pPr>
          </w:p>
          <w:p w:rsidR="00C77A31" w:rsidRPr="00027E33" w:rsidRDefault="00D20C9B" w:rsidP="00EA686E">
            <w:pPr>
              <w:jc w:val="both"/>
              <w:rPr>
                <w:b/>
                <w:sz w:val="20"/>
                <w:szCs w:val="20"/>
              </w:rPr>
            </w:pPr>
            <w:r w:rsidRPr="00027E33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D20C9B" w:rsidRPr="00027E33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 w:rsidRPr="00027E33">
              <w:rPr>
                <w:b/>
                <w:bCs/>
                <w:sz w:val="20"/>
                <w:szCs w:val="20"/>
              </w:rPr>
              <w:t>Enquiries regarding Literature Review</w:t>
            </w:r>
          </w:p>
          <w:p w:rsidR="00C77A31" w:rsidRDefault="009619D5" w:rsidP="00EA686E">
            <w:pPr>
              <w:jc w:val="both"/>
              <w:rPr>
                <w:bCs/>
                <w:sz w:val="20"/>
                <w:szCs w:val="20"/>
              </w:rPr>
            </w:pPr>
            <w:r w:rsidRPr="009619D5">
              <w:rPr>
                <w:bCs/>
                <w:sz w:val="20"/>
                <w:szCs w:val="20"/>
              </w:rPr>
              <w:t>Jun Jie and Qi Yong enquired about the format and contents for the literature review.</w:t>
            </w:r>
            <w:r>
              <w:rPr>
                <w:bCs/>
                <w:sz w:val="20"/>
                <w:szCs w:val="20"/>
              </w:rPr>
              <w:t xml:space="preserve"> Both Qi Yong and</w:t>
            </w:r>
            <w:r w:rsidRPr="009619D5">
              <w:rPr>
                <w:bCs/>
                <w:sz w:val="20"/>
                <w:szCs w:val="20"/>
              </w:rPr>
              <w:t xml:space="preserve"> Jun Jie asked whether it was necessary to incorporate a cr</w:t>
            </w:r>
            <w:r w:rsidR="00654949">
              <w:rPr>
                <w:bCs/>
                <w:sz w:val="20"/>
                <w:szCs w:val="20"/>
              </w:rPr>
              <w:t>itique</w:t>
            </w:r>
            <w:r>
              <w:rPr>
                <w:bCs/>
                <w:sz w:val="20"/>
                <w:szCs w:val="20"/>
              </w:rPr>
              <w:t xml:space="preserve"> section in the literature r</w:t>
            </w:r>
            <w:r w:rsidRPr="009619D5">
              <w:rPr>
                <w:bCs/>
                <w:sz w:val="20"/>
                <w:szCs w:val="20"/>
              </w:rPr>
              <w:t xml:space="preserve">eview for current industry practices. </w:t>
            </w:r>
            <w:r>
              <w:rPr>
                <w:bCs/>
                <w:sz w:val="20"/>
                <w:szCs w:val="20"/>
              </w:rPr>
              <w:t xml:space="preserve">Esther replied that it </w:t>
            </w:r>
            <w:r w:rsidR="00EC0B65">
              <w:rPr>
                <w:bCs/>
                <w:sz w:val="20"/>
                <w:szCs w:val="20"/>
              </w:rPr>
              <w:t>is</w:t>
            </w:r>
            <w:r>
              <w:rPr>
                <w:bCs/>
                <w:sz w:val="20"/>
                <w:szCs w:val="20"/>
              </w:rPr>
              <w:t xml:space="preserve"> necessary to </w:t>
            </w:r>
            <w:r w:rsidR="00EC0B65">
              <w:rPr>
                <w:bCs/>
                <w:sz w:val="20"/>
                <w:szCs w:val="20"/>
              </w:rPr>
              <w:t>have some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EC0B65">
              <w:rPr>
                <w:bCs/>
                <w:sz w:val="20"/>
                <w:szCs w:val="20"/>
              </w:rPr>
              <w:t>critique</w:t>
            </w:r>
            <w:r>
              <w:rPr>
                <w:bCs/>
                <w:sz w:val="20"/>
                <w:szCs w:val="20"/>
              </w:rPr>
              <w:t xml:space="preserve"> section as </w:t>
            </w:r>
            <w:r w:rsidR="00EC0B65">
              <w:rPr>
                <w:bCs/>
                <w:sz w:val="20"/>
                <w:szCs w:val="20"/>
              </w:rPr>
              <w:t>it</w:t>
            </w:r>
            <w:r>
              <w:rPr>
                <w:bCs/>
                <w:sz w:val="20"/>
                <w:szCs w:val="20"/>
              </w:rPr>
              <w:t xml:space="preserve"> show</w:t>
            </w:r>
            <w:r w:rsidR="00EC0B65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 the </w:t>
            </w:r>
            <w:r w:rsidR="00EC0B65">
              <w:rPr>
                <w:bCs/>
                <w:sz w:val="20"/>
                <w:szCs w:val="20"/>
              </w:rPr>
              <w:t>individual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EC0B65">
              <w:rPr>
                <w:bCs/>
                <w:sz w:val="20"/>
                <w:szCs w:val="20"/>
              </w:rPr>
              <w:t>have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EC0B65">
              <w:rPr>
                <w:bCs/>
                <w:sz w:val="20"/>
                <w:szCs w:val="20"/>
              </w:rPr>
              <w:t xml:space="preserve">assessed </w:t>
            </w:r>
            <w:r>
              <w:rPr>
                <w:bCs/>
                <w:sz w:val="20"/>
                <w:szCs w:val="20"/>
              </w:rPr>
              <w:t>alternatives for the solution</w:t>
            </w:r>
            <w:r w:rsidR="00EC0B65">
              <w:rPr>
                <w:bCs/>
                <w:sz w:val="20"/>
                <w:szCs w:val="20"/>
              </w:rPr>
              <w:t>, but more importantly, the discussion must also be there to show the individual’s thought process</w:t>
            </w:r>
            <w:r>
              <w:rPr>
                <w:bCs/>
                <w:sz w:val="20"/>
                <w:szCs w:val="20"/>
              </w:rPr>
              <w:t xml:space="preserve">. She </w:t>
            </w:r>
            <w:r w:rsidR="00EC0B65">
              <w:rPr>
                <w:bCs/>
                <w:sz w:val="20"/>
                <w:szCs w:val="20"/>
              </w:rPr>
              <w:t>elaborated</w:t>
            </w:r>
            <w:r>
              <w:rPr>
                <w:bCs/>
                <w:sz w:val="20"/>
                <w:szCs w:val="20"/>
              </w:rPr>
              <w:t xml:space="preserve"> that the format for the literature review is flexible as long as </w:t>
            </w:r>
            <w:r w:rsidR="008B3B06">
              <w:rPr>
                <w:bCs/>
                <w:sz w:val="20"/>
                <w:szCs w:val="20"/>
              </w:rPr>
              <w:t>it is context-centric</w:t>
            </w:r>
            <w:r>
              <w:rPr>
                <w:bCs/>
                <w:sz w:val="20"/>
                <w:szCs w:val="20"/>
              </w:rPr>
              <w:t xml:space="preserve"> and </w:t>
            </w:r>
            <w:r w:rsidR="008B3B06">
              <w:rPr>
                <w:bCs/>
                <w:sz w:val="20"/>
                <w:szCs w:val="20"/>
              </w:rPr>
              <w:t xml:space="preserve">has a </w:t>
            </w:r>
            <w:r>
              <w:rPr>
                <w:bCs/>
                <w:sz w:val="20"/>
                <w:szCs w:val="20"/>
              </w:rPr>
              <w:t>logical flow to it.</w:t>
            </w:r>
          </w:p>
          <w:p w:rsidR="008B3B06" w:rsidRDefault="008B3B06" w:rsidP="00EA686E">
            <w:pPr>
              <w:jc w:val="both"/>
              <w:rPr>
                <w:bCs/>
                <w:sz w:val="20"/>
                <w:szCs w:val="20"/>
              </w:rPr>
            </w:pPr>
          </w:p>
          <w:p w:rsidR="00D20C9B" w:rsidRPr="00027E33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 w:rsidRPr="00027E33">
              <w:rPr>
                <w:b/>
                <w:bCs/>
                <w:sz w:val="20"/>
                <w:szCs w:val="20"/>
              </w:rPr>
              <w:t>Review</w:t>
            </w:r>
            <w:r w:rsidR="00580832">
              <w:rPr>
                <w:b/>
                <w:bCs/>
                <w:sz w:val="20"/>
                <w:szCs w:val="20"/>
              </w:rPr>
              <w:t>ing</w:t>
            </w:r>
            <w:r w:rsidRPr="00027E33">
              <w:rPr>
                <w:b/>
                <w:bCs/>
                <w:sz w:val="20"/>
                <w:szCs w:val="20"/>
              </w:rPr>
              <w:t xml:space="preserve"> </w:t>
            </w:r>
            <w:r w:rsidR="00580832">
              <w:rPr>
                <w:b/>
                <w:bCs/>
                <w:sz w:val="20"/>
                <w:szCs w:val="20"/>
              </w:rPr>
              <w:t>Project</w:t>
            </w:r>
            <w:r w:rsidRPr="00027E33">
              <w:rPr>
                <w:b/>
                <w:bCs/>
                <w:sz w:val="20"/>
                <w:szCs w:val="20"/>
              </w:rPr>
              <w:t xml:space="preserve"> Progress</w:t>
            </w:r>
          </w:p>
          <w:p w:rsidR="008B3B06" w:rsidRDefault="008B3B06" w:rsidP="00EA686E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Qi Yong mentions that a new feature has been incl</w:t>
            </w:r>
            <w:r w:rsidR="00EC0B65">
              <w:rPr>
                <w:bCs/>
                <w:sz w:val="20"/>
                <w:szCs w:val="20"/>
              </w:rPr>
              <w:t xml:space="preserve">uded. This feature archives </w:t>
            </w:r>
            <w:r>
              <w:rPr>
                <w:bCs/>
                <w:sz w:val="20"/>
                <w:szCs w:val="20"/>
              </w:rPr>
              <w:t xml:space="preserve">news data </w:t>
            </w:r>
            <w:r w:rsidR="00EC0B65">
              <w:rPr>
                <w:bCs/>
                <w:sz w:val="20"/>
                <w:szCs w:val="20"/>
              </w:rPr>
              <w:t xml:space="preserve">from Bloomberg periodically. </w:t>
            </w:r>
            <w:r>
              <w:rPr>
                <w:bCs/>
                <w:sz w:val="20"/>
                <w:szCs w:val="20"/>
              </w:rPr>
              <w:t>Esther then enquired about whether there is system downtime for the archiving function to take place. Qi Yong replied that there will be no system downtime</w:t>
            </w:r>
            <w:r w:rsidR="00F529AF">
              <w:rPr>
                <w:bCs/>
                <w:sz w:val="20"/>
                <w:szCs w:val="20"/>
              </w:rPr>
              <w:t xml:space="preserve"> but</w:t>
            </w:r>
            <w:r w:rsidR="00844493">
              <w:rPr>
                <w:bCs/>
                <w:sz w:val="20"/>
                <w:szCs w:val="20"/>
              </w:rPr>
              <w:t xml:space="preserve"> instead there may be </w:t>
            </w:r>
            <w:r w:rsidR="00EC0B65">
              <w:rPr>
                <w:bCs/>
                <w:sz w:val="20"/>
                <w:szCs w:val="20"/>
              </w:rPr>
              <w:t xml:space="preserve">a </w:t>
            </w:r>
            <w:r w:rsidR="00844493">
              <w:rPr>
                <w:bCs/>
                <w:sz w:val="20"/>
                <w:szCs w:val="20"/>
              </w:rPr>
              <w:t>system lag time</w:t>
            </w:r>
            <w:r w:rsidR="00F529AF">
              <w:rPr>
                <w:bCs/>
                <w:sz w:val="20"/>
                <w:szCs w:val="20"/>
              </w:rPr>
              <w:t xml:space="preserve"> as</w:t>
            </w:r>
            <w:r w:rsidR="00844493">
              <w:rPr>
                <w:bCs/>
                <w:sz w:val="20"/>
                <w:szCs w:val="20"/>
              </w:rPr>
              <w:t xml:space="preserve"> new news data released from </w:t>
            </w:r>
            <w:r w:rsidR="00F529AF">
              <w:rPr>
                <w:bCs/>
                <w:sz w:val="20"/>
                <w:szCs w:val="20"/>
              </w:rPr>
              <w:t>Bloomberg</w:t>
            </w:r>
            <w:r w:rsidR="00844493">
              <w:rPr>
                <w:bCs/>
                <w:sz w:val="20"/>
                <w:szCs w:val="20"/>
              </w:rPr>
              <w:t xml:space="preserve"> </w:t>
            </w:r>
            <w:r w:rsidR="00F529AF">
              <w:rPr>
                <w:bCs/>
                <w:sz w:val="20"/>
                <w:szCs w:val="20"/>
              </w:rPr>
              <w:t>will not be archived until the subsequent scheduled timing</w:t>
            </w:r>
            <w:r w:rsidR="00844493">
              <w:rPr>
                <w:bCs/>
                <w:sz w:val="20"/>
                <w:szCs w:val="20"/>
              </w:rPr>
              <w:t xml:space="preserve">. </w:t>
            </w:r>
            <w:r w:rsidR="00F529AF">
              <w:rPr>
                <w:bCs/>
                <w:sz w:val="20"/>
                <w:szCs w:val="20"/>
              </w:rPr>
              <w:t>This</w:t>
            </w:r>
            <w:r w:rsidR="00844493">
              <w:rPr>
                <w:bCs/>
                <w:sz w:val="20"/>
                <w:szCs w:val="20"/>
              </w:rPr>
              <w:t xml:space="preserve"> maximum lag </w:t>
            </w:r>
            <w:r w:rsidR="00F529AF">
              <w:rPr>
                <w:bCs/>
                <w:sz w:val="20"/>
                <w:szCs w:val="20"/>
              </w:rPr>
              <w:t>time is approximately</w:t>
            </w:r>
            <w:r w:rsidR="00844493">
              <w:rPr>
                <w:bCs/>
                <w:sz w:val="20"/>
                <w:szCs w:val="20"/>
              </w:rPr>
              <w:t xml:space="preserve"> 24 hours/1 day. However </w:t>
            </w:r>
            <w:r w:rsidR="00D20C9B">
              <w:rPr>
                <w:bCs/>
                <w:sz w:val="20"/>
                <w:szCs w:val="20"/>
              </w:rPr>
              <w:t>this does</w:t>
            </w:r>
            <w:r w:rsidR="00844493">
              <w:rPr>
                <w:bCs/>
                <w:sz w:val="20"/>
                <w:szCs w:val="20"/>
              </w:rPr>
              <w:t xml:space="preserve"> not affect the users </w:t>
            </w:r>
            <w:r w:rsidR="00F00CC1">
              <w:rPr>
                <w:bCs/>
                <w:sz w:val="20"/>
                <w:szCs w:val="20"/>
              </w:rPr>
              <w:t>browsing news</w:t>
            </w:r>
            <w:r w:rsidR="00844493">
              <w:rPr>
                <w:bCs/>
                <w:sz w:val="20"/>
                <w:szCs w:val="20"/>
              </w:rPr>
              <w:t xml:space="preserve"> on the website </w:t>
            </w:r>
            <w:r w:rsidR="00F00CC1">
              <w:rPr>
                <w:bCs/>
                <w:sz w:val="20"/>
                <w:szCs w:val="20"/>
              </w:rPr>
              <w:t xml:space="preserve">as they </w:t>
            </w:r>
            <w:r w:rsidR="00844493">
              <w:rPr>
                <w:bCs/>
                <w:sz w:val="20"/>
                <w:szCs w:val="20"/>
              </w:rPr>
              <w:t xml:space="preserve">will not be interacting with the </w:t>
            </w:r>
            <w:r w:rsidR="00F00CC1">
              <w:rPr>
                <w:bCs/>
                <w:sz w:val="20"/>
                <w:szCs w:val="20"/>
              </w:rPr>
              <w:t>archived news</w:t>
            </w:r>
            <w:r w:rsidR="00844493">
              <w:rPr>
                <w:bCs/>
                <w:sz w:val="20"/>
                <w:szCs w:val="20"/>
              </w:rPr>
              <w:t xml:space="preserve"> database.</w:t>
            </w:r>
          </w:p>
          <w:p w:rsidR="00D20C9B" w:rsidRDefault="00D20C9B" w:rsidP="00EA686E">
            <w:pPr>
              <w:jc w:val="both"/>
              <w:rPr>
                <w:bCs/>
                <w:sz w:val="20"/>
                <w:szCs w:val="20"/>
              </w:rPr>
            </w:pPr>
          </w:p>
          <w:p w:rsidR="00D20C9B" w:rsidRPr="00027E33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 w:rsidRPr="00027E33">
              <w:rPr>
                <w:b/>
                <w:bCs/>
                <w:sz w:val="20"/>
                <w:szCs w:val="20"/>
              </w:rPr>
              <w:t>Revis</w:t>
            </w:r>
            <w:r w:rsidR="00580832">
              <w:rPr>
                <w:b/>
                <w:bCs/>
                <w:sz w:val="20"/>
                <w:szCs w:val="20"/>
              </w:rPr>
              <w:t>ion of</w:t>
            </w:r>
            <w:r w:rsidRPr="00027E33">
              <w:rPr>
                <w:b/>
                <w:bCs/>
                <w:sz w:val="20"/>
                <w:szCs w:val="20"/>
              </w:rPr>
              <w:t xml:space="preserve"> scope for Literature Review</w:t>
            </w:r>
          </w:p>
          <w:p w:rsidR="00D20C9B" w:rsidRPr="009619D5" w:rsidRDefault="00D20C9B" w:rsidP="00EA686E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Kai Yiu and Dawei revised their scope for literature review. Kai Yiu will be including a comparison of the current news analytics software that is available in the market. Dawei will be</w:t>
            </w:r>
            <w:r w:rsidR="00F00CC1">
              <w:rPr>
                <w:bCs/>
                <w:sz w:val="20"/>
                <w:szCs w:val="20"/>
              </w:rPr>
              <w:t xml:space="preserve"> exploring the various ways </w:t>
            </w:r>
            <w:r>
              <w:rPr>
                <w:bCs/>
                <w:sz w:val="20"/>
                <w:szCs w:val="20"/>
              </w:rPr>
              <w:t>news analytics is being incorporated into the various financial industry practices.</w:t>
            </w:r>
          </w:p>
        </w:tc>
        <w:tc>
          <w:tcPr>
            <w:tcW w:w="17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C77A31" w:rsidRPr="00027E33" w:rsidRDefault="00027E33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 Yiu &amp; Dawei</w:t>
            </w:r>
          </w:p>
        </w:tc>
      </w:tr>
      <w:tr w:rsidR="00C77A31" w:rsidTr="00EA686E">
        <w:trPr>
          <w:trHeight w:val="2089"/>
        </w:trPr>
        <w:tc>
          <w:tcPr>
            <w:tcW w:w="725" w:type="dxa"/>
            <w:tcBorders>
              <w:top w:val="nil"/>
              <w:left w:val="nil"/>
              <w:bottom w:val="nil"/>
            </w:tcBorders>
          </w:tcPr>
          <w:p w:rsidR="00C77A31" w:rsidRDefault="00C77A31" w:rsidP="00EA686E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027E33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</w:t>
            </w: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027E33" w:rsidRDefault="00027E33" w:rsidP="00EA686E">
            <w:pPr>
              <w:jc w:val="both"/>
              <w:rPr>
                <w:sz w:val="20"/>
                <w:szCs w:val="20"/>
              </w:rPr>
            </w:pPr>
          </w:p>
          <w:p w:rsidR="00D20C9B" w:rsidRPr="00027E33" w:rsidRDefault="00027E33" w:rsidP="00EA686E">
            <w:pPr>
              <w:jc w:val="both"/>
              <w:rPr>
                <w:b/>
                <w:sz w:val="20"/>
                <w:szCs w:val="20"/>
              </w:rPr>
            </w:pPr>
            <w:r w:rsidRPr="00027E33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D20C9B" w:rsidRDefault="00D20C9B" w:rsidP="00EA686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Any other business</w:t>
            </w:r>
          </w:p>
          <w:p w:rsidR="00D20C9B" w:rsidRDefault="00027E33" w:rsidP="00EA686E">
            <w:pPr>
              <w:jc w:val="both"/>
              <w:rPr>
                <w:bCs/>
                <w:sz w:val="20"/>
                <w:szCs w:val="20"/>
              </w:rPr>
            </w:pPr>
            <w:r w:rsidRPr="00027E33">
              <w:rPr>
                <w:bCs/>
                <w:sz w:val="20"/>
                <w:szCs w:val="20"/>
              </w:rPr>
              <w:t>Kai Yiu and Qi Yong will need to complete the website design by 30 November 2012</w:t>
            </w:r>
          </w:p>
          <w:p w:rsidR="00027E33" w:rsidRDefault="00027E33" w:rsidP="00EA686E">
            <w:pPr>
              <w:jc w:val="both"/>
              <w:rPr>
                <w:bCs/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b/>
                <w:bCs/>
                <w:sz w:val="20"/>
                <w:szCs w:val="20"/>
              </w:rPr>
            </w:pPr>
            <w:r w:rsidRPr="00027E33">
              <w:rPr>
                <w:b/>
                <w:bCs/>
                <w:sz w:val="20"/>
                <w:szCs w:val="20"/>
              </w:rPr>
              <w:t>Date of next meeting</w:t>
            </w:r>
          </w:p>
          <w:p w:rsidR="00027E33" w:rsidRDefault="00027E33" w:rsidP="00EA686E">
            <w:pPr>
              <w:jc w:val="both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project team agreed that the next meetin</w:t>
            </w:r>
            <w:r w:rsidR="00061487">
              <w:rPr>
                <w:iCs/>
                <w:sz w:val="20"/>
                <w:szCs w:val="20"/>
              </w:rPr>
              <w:t xml:space="preserve">g would be held in IT7-6-8 on 3 December </w:t>
            </w:r>
            <w:r>
              <w:rPr>
                <w:iCs/>
                <w:sz w:val="20"/>
                <w:szCs w:val="20"/>
              </w:rPr>
              <w:t xml:space="preserve">2012 at 2:30pm. The </w:t>
            </w:r>
            <w:r w:rsidR="008C41F4">
              <w:rPr>
                <w:iCs/>
                <w:sz w:val="20"/>
                <w:szCs w:val="20"/>
              </w:rPr>
              <w:t>meeting</w:t>
            </w:r>
            <w:r>
              <w:rPr>
                <w:iCs/>
                <w:sz w:val="20"/>
                <w:szCs w:val="20"/>
              </w:rPr>
              <w:t xml:space="preserve"> was closed at 3:00 pm, 26 November 2012. </w:t>
            </w:r>
          </w:p>
          <w:p w:rsidR="00027E33" w:rsidRPr="008904AA" w:rsidRDefault="00027E33" w:rsidP="00EA686E">
            <w:pPr>
              <w:pStyle w:val="Header"/>
              <w:tabs>
                <w:tab w:val="clear" w:pos="4153"/>
                <w:tab w:val="clear" w:pos="8306"/>
                <w:tab w:val="left" w:pos="522"/>
              </w:tabs>
              <w:jc w:val="both"/>
              <w:rPr>
                <w:iCs/>
                <w:sz w:val="20"/>
                <w:szCs w:val="20"/>
              </w:rPr>
            </w:pPr>
          </w:p>
          <w:p w:rsidR="00027E33" w:rsidRPr="00027E33" w:rsidRDefault="00027E33" w:rsidP="00EA686E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77A31" w:rsidRDefault="00C77A31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92DEB" w:rsidTr="00EA686E">
        <w:trPr>
          <w:trHeight w:val="185"/>
        </w:trPr>
        <w:tc>
          <w:tcPr>
            <w:tcW w:w="725" w:type="dxa"/>
            <w:tcBorders>
              <w:top w:val="nil"/>
              <w:left w:val="nil"/>
              <w:bottom w:val="nil"/>
            </w:tcBorders>
          </w:tcPr>
          <w:p w:rsidR="00A92DEB" w:rsidRDefault="00A92DEB" w:rsidP="00EA68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A92DEB" w:rsidRDefault="00A92DEB" w:rsidP="00EA686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2DEB" w:rsidRDefault="00A92DEB" w:rsidP="00EA68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Recorded by:</w:t>
      </w:r>
    </w:p>
    <w:p w:rsidR="005A1851" w:rsidRDefault="005A1851" w:rsidP="005A1851">
      <w:pPr>
        <w:rPr>
          <w:rFonts w:ascii="Edwardian Script ITC" w:hAnsi="Edwardian Script ITC"/>
          <w:i/>
          <w:sz w:val="20"/>
          <w:szCs w:val="20"/>
        </w:rPr>
      </w:pPr>
      <w:r>
        <w:rPr>
          <w:rFonts w:ascii="Edwardian Script ITC" w:hAnsi="Edwardian Script ITC"/>
          <w:i/>
          <w:sz w:val="20"/>
          <w:szCs w:val="20"/>
        </w:rPr>
        <w:t>Yan Dawei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Yan Dawei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Recording Secretary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26 November 2012</w:t>
      </w:r>
    </w:p>
    <w:p w:rsidR="005A1851" w:rsidRDefault="005A1851" w:rsidP="005A1851">
      <w:pPr>
        <w:rPr>
          <w:sz w:val="20"/>
          <w:szCs w:val="20"/>
        </w:rPr>
      </w:pP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Confirmed by: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___________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Esther Chia</w:t>
      </w:r>
    </w:p>
    <w:p w:rsidR="005A1851" w:rsidRDefault="005A1851" w:rsidP="005A1851">
      <w:pPr>
        <w:rPr>
          <w:sz w:val="20"/>
          <w:szCs w:val="20"/>
        </w:rPr>
      </w:pPr>
      <w:r>
        <w:rPr>
          <w:sz w:val="20"/>
          <w:szCs w:val="20"/>
        </w:rPr>
        <w:t>Supervisor</w:t>
      </w:r>
    </w:p>
    <w:p w:rsidR="005A1851" w:rsidRDefault="00017C1B" w:rsidP="005A1851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5A1851">
        <w:rPr>
          <w:sz w:val="20"/>
          <w:szCs w:val="20"/>
        </w:rPr>
        <w:t xml:space="preserve"> </w:t>
      </w:r>
      <w:r>
        <w:rPr>
          <w:sz w:val="20"/>
          <w:szCs w:val="20"/>
        </w:rPr>
        <w:t>December</w:t>
      </w:r>
      <w:r w:rsidR="005A1851">
        <w:rPr>
          <w:sz w:val="20"/>
          <w:szCs w:val="20"/>
        </w:rPr>
        <w:t xml:space="preserve"> 2012</w:t>
      </w:r>
    </w:p>
    <w:p w:rsidR="00C77A31" w:rsidRDefault="00C77A31" w:rsidP="00EA686E">
      <w:pPr>
        <w:jc w:val="both"/>
        <w:rPr>
          <w:sz w:val="20"/>
          <w:szCs w:val="20"/>
        </w:rPr>
      </w:pPr>
    </w:p>
    <w:sectPr w:rsidR="00C77A31">
      <w:headerReference w:type="default" r:id="rId8"/>
      <w:footerReference w:type="default" r:id="rId9"/>
      <w:pgSz w:w="11909" w:h="16834" w:code="9"/>
      <w:pgMar w:top="1440" w:right="1440" w:bottom="1152" w:left="1440" w:header="706" w:footer="70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358" w:rsidRDefault="00605358">
      <w:r>
        <w:separator/>
      </w:r>
    </w:p>
  </w:endnote>
  <w:endnote w:type="continuationSeparator" w:id="0">
    <w:p w:rsidR="00605358" w:rsidRDefault="0060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F4" w:rsidRDefault="008528F4">
    <w:pPr>
      <w:pStyle w:val="Footer"/>
      <w:tabs>
        <w:tab w:val="clear" w:pos="8306"/>
        <w:tab w:val="right" w:pos="8730"/>
      </w:tabs>
      <w:rPr>
        <w:sz w:val="16"/>
        <w:szCs w:val="16"/>
      </w:rPr>
    </w:pP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A3FA1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358" w:rsidRDefault="00605358">
      <w:r>
        <w:separator/>
      </w:r>
    </w:p>
  </w:footnote>
  <w:footnote w:type="continuationSeparator" w:id="0">
    <w:p w:rsidR="00605358" w:rsidRDefault="00605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F4" w:rsidRDefault="008528F4">
    <w:pPr>
      <w:pStyle w:val="Header"/>
      <w:jc w:val="right"/>
      <w:rPr>
        <w:b/>
        <w:bCs/>
      </w:rPr>
    </w:pPr>
  </w:p>
  <w:p w:rsidR="008528F4" w:rsidRDefault="008528F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B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0DE95FC2"/>
    <w:multiLevelType w:val="singleLevel"/>
    <w:tmpl w:val="E0B895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73621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3E0F7E93"/>
    <w:multiLevelType w:val="multilevel"/>
    <w:tmpl w:val="A47A5806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19C343D"/>
    <w:multiLevelType w:val="singleLevel"/>
    <w:tmpl w:val="7878FF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41BA4645"/>
    <w:multiLevelType w:val="multilevel"/>
    <w:tmpl w:val="2CB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31"/>
    <w:rsid w:val="00017C1B"/>
    <w:rsid w:val="00027E33"/>
    <w:rsid w:val="00061487"/>
    <w:rsid w:val="00081E15"/>
    <w:rsid w:val="0048139D"/>
    <w:rsid w:val="004A3FA1"/>
    <w:rsid w:val="00523FBD"/>
    <w:rsid w:val="00580832"/>
    <w:rsid w:val="005A1851"/>
    <w:rsid w:val="005B04A5"/>
    <w:rsid w:val="005C5FAD"/>
    <w:rsid w:val="00605358"/>
    <w:rsid w:val="006518C1"/>
    <w:rsid w:val="00654949"/>
    <w:rsid w:val="006A6655"/>
    <w:rsid w:val="007D5747"/>
    <w:rsid w:val="00844493"/>
    <w:rsid w:val="008528F4"/>
    <w:rsid w:val="008B3B06"/>
    <w:rsid w:val="008C41F4"/>
    <w:rsid w:val="008D1DA1"/>
    <w:rsid w:val="008D6D6D"/>
    <w:rsid w:val="009118E7"/>
    <w:rsid w:val="009619D5"/>
    <w:rsid w:val="00A92DEB"/>
    <w:rsid w:val="00B0101F"/>
    <w:rsid w:val="00C233F1"/>
    <w:rsid w:val="00C77A31"/>
    <w:rsid w:val="00CA0CBC"/>
    <w:rsid w:val="00CA784E"/>
    <w:rsid w:val="00D20C9B"/>
    <w:rsid w:val="00E51F23"/>
    <w:rsid w:val="00EA686E"/>
    <w:rsid w:val="00EC0B65"/>
    <w:rsid w:val="00EE1C9A"/>
    <w:rsid w:val="00F00CC1"/>
    <w:rsid w:val="00F529AF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-18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bCs/>
      <w:sz w:val="28"/>
      <w:szCs w:val="28"/>
      <w:u w:val="single"/>
    </w:rPr>
  </w:style>
  <w:style w:type="paragraph" w:styleId="BodyTextIndent">
    <w:name w:val="Body Text Indent"/>
    <w:basedOn w:val="Normal"/>
    <w:pPr>
      <w:ind w:left="1422" w:hanging="1422"/>
      <w:jc w:val="both"/>
    </w:pPr>
  </w:style>
  <w:style w:type="paragraph" w:styleId="BodyText3">
    <w:name w:val="Body Text 3"/>
    <w:basedOn w:val="Normal"/>
    <w:pPr>
      <w:jc w:val="both"/>
    </w:pPr>
    <w:rPr>
      <w:u w:val="single"/>
    </w:rPr>
  </w:style>
  <w:style w:type="paragraph" w:styleId="BodyTextIndent2">
    <w:name w:val="Body Text Indent 2"/>
    <w:basedOn w:val="Normal"/>
    <w:pPr>
      <w:ind w:left="360"/>
      <w:jc w:val="both"/>
    </w:pPr>
  </w:style>
  <w:style w:type="paragraph" w:styleId="BodyTextIndent3">
    <w:name w:val="Body Text Indent 3"/>
    <w:basedOn w:val="Normal"/>
    <w:pPr>
      <w:ind w:left="1422" w:hanging="1422"/>
    </w:pPr>
    <w:rPr>
      <w:sz w:val="20"/>
    </w:r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-18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bCs/>
      <w:sz w:val="28"/>
      <w:szCs w:val="28"/>
      <w:u w:val="single"/>
    </w:rPr>
  </w:style>
  <w:style w:type="paragraph" w:styleId="BodyTextIndent">
    <w:name w:val="Body Text Indent"/>
    <w:basedOn w:val="Normal"/>
    <w:pPr>
      <w:ind w:left="1422" w:hanging="1422"/>
      <w:jc w:val="both"/>
    </w:pPr>
  </w:style>
  <w:style w:type="paragraph" w:styleId="BodyText3">
    <w:name w:val="Body Text 3"/>
    <w:basedOn w:val="Normal"/>
    <w:pPr>
      <w:jc w:val="both"/>
    </w:pPr>
    <w:rPr>
      <w:u w:val="single"/>
    </w:rPr>
  </w:style>
  <w:style w:type="paragraph" w:styleId="BodyTextIndent2">
    <w:name w:val="Body Text Indent 2"/>
    <w:basedOn w:val="Normal"/>
    <w:pPr>
      <w:ind w:left="360"/>
      <w:jc w:val="both"/>
    </w:pPr>
  </w:style>
  <w:style w:type="paragraph" w:styleId="BodyTextIndent3">
    <w:name w:val="Body Text Indent 3"/>
    <w:basedOn w:val="Normal"/>
    <w:pPr>
      <w:ind w:left="1422" w:hanging="1422"/>
    </w:pPr>
    <w:rPr>
      <w:sz w:val="20"/>
    </w:r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Temasek Polytechnic</vt:lpstr>
    </vt:vector>
  </TitlesOfParts>
  <Company>user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Temasek Polytechnic</dc:title>
  <dc:creator>CIS</dc:creator>
  <cp:lastModifiedBy>Soh jun jie</cp:lastModifiedBy>
  <cp:revision>17</cp:revision>
  <cp:lastPrinted>2002-04-25T07:07:00Z</cp:lastPrinted>
  <dcterms:created xsi:type="dcterms:W3CDTF">2012-11-26T07:56:00Z</dcterms:created>
  <dcterms:modified xsi:type="dcterms:W3CDTF">2012-11-26T18:01:00Z</dcterms:modified>
</cp:coreProperties>
</file>