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A10C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>Super Earth Coin (SEC) Whitepaper</w:t>
      </w:r>
    </w:p>
    <w:p w14:paraId="1CB749CA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>1. Introduction</w:t>
      </w:r>
    </w:p>
    <w:p w14:paraId="3E968A99" w14:textId="77777777" w:rsidR="00CA4EF1" w:rsidRPr="00CA4EF1" w:rsidRDefault="00CA4EF1" w:rsidP="00CA4EF1">
      <w:r w:rsidRPr="00CA4EF1">
        <w:t xml:space="preserve">Super Earth Coin (SEC) is a Solana-based </w:t>
      </w:r>
      <w:proofErr w:type="spellStart"/>
      <w:r w:rsidRPr="00CA4EF1">
        <w:t>memecoin</w:t>
      </w:r>
      <w:proofErr w:type="spellEnd"/>
      <w:r w:rsidRPr="00CA4EF1">
        <w:t xml:space="preserve"> inspired by the Helldivers Universe, aiming to spread </w:t>
      </w:r>
      <w:r w:rsidRPr="00CA4EF1">
        <w:rPr>
          <w:b/>
          <w:bCs/>
        </w:rPr>
        <w:t>Managed Democracy</w:t>
      </w:r>
      <w:r w:rsidRPr="00CA4EF1">
        <w:t xml:space="preserve"> across the blockchain ecosystem. SEC is not just another token; it represents a community-driven initiative to establish a strong economy based on engagement, governance, and strategic adoption.</w:t>
      </w:r>
    </w:p>
    <w:p w14:paraId="304FDC9C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>2. Vision &amp; Mission</w:t>
      </w:r>
    </w:p>
    <w:p w14:paraId="02CF1C06" w14:textId="77777777" w:rsidR="00CA4EF1" w:rsidRPr="00CA4EF1" w:rsidRDefault="00CA4EF1" w:rsidP="00CA4EF1">
      <w:r w:rsidRPr="00CA4EF1">
        <w:t xml:space="preserve">The core mission of SEC is to empower the community through a </w:t>
      </w:r>
      <w:r w:rsidRPr="00CA4EF1">
        <w:rPr>
          <w:b/>
          <w:bCs/>
        </w:rPr>
        <w:t>governance token model</w:t>
      </w:r>
      <w:r w:rsidRPr="00CA4EF1">
        <w:t xml:space="preserve">, allowing holders to have a say in decisions while maintaining liquidity and strong market presence. Our goal is to create a </w:t>
      </w:r>
      <w:r w:rsidRPr="00CA4EF1">
        <w:rPr>
          <w:b/>
          <w:bCs/>
        </w:rPr>
        <w:t>sustainable, community-led</w:t>
      </w:r>
      <w:r w:rsidRPr="00CA4EF1">
        <w:t xml:space="preserve"> token that grows beyond trading, integrating into gaming, NFTs, and Web3 applications.</w:t>
      </w:r>
    </w:p>
    <w:p w14:paraId="5E72D35E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 xml:space="preserve">3. </w:t>
      </w:r>
      <w:proofErr w:type="spellStart"/>
      <w:r w:rsidRPr="00CA4EF1">
        <w:rPr>
          <w:b/>
          <w:bCs/>
        </w:rPr>
        <w:t>Tokenomics</w:t>
      </w:r>
      <w:proofErr w:type="spellEnd"/>
    </w:p>
    <w:p w14:paraId="76239809" w14:textId="77777777" w:rsidR="00CA4EF1" w:rsidRPr="00CA4EF1" w:rsidRDefault="00CA4EF1" w:rsidP="00CA4EF1">
      <w:pPr>
        <w:numPr>
          <w:ilvl w:val="0"/>
          <w:numId w:val="1"/>
        </w:numPr>
      </w:pPr>
      <w:r w:rsidRPr="00CA4EF1">
        <w:rPr>
          <w:b/>
          <w:bCs/>
        </w:rPr>
        <w:t>Total Supply</w:t>
      </w:r>
      <w:r w:rsidRPr="00CA4EF1">
        <w:t>: 1,000,000,000 SEC</w:t>
      </w:r>
    </w:p>
    <w:p w14:paraId="4E8C8EC6" w14:textId="42FC8F4E" w:rsidR="00CA4EF1" w:rsidRPr="00CA4EF1" w:rsidRDefault="00CA4EF1" w:rsidP="00CA4EF1">
      <w:pPr>
        <w:numPr>
          <w:ilvl w:val="0"/>
          <w:numId w:val="1"/>
        </w:numPr>
      </w:pPr>
      <w:r w:rsidRPr="00CA4EF1">
        <w:rPr>
          <w:b/>
          <w:bCs/>
        </w:rPr>
        <w:t>Initial Liquidity Pool (</w:t>
      </w:r>
      <w:proofErr w:type="spellStart"/>
      <w:r w:rsidRPr="00CA4EF1">
        <w:rPr>
          <w:b/>
          <w:bCs/>
        </w:rPr>
        <w:t>Raydium</w:t>
      </w:r>
      <w:proofErr w:type="spellEnd"/>
      <w:r w:rsidRPr="00CA4EF1">
        <w:rPr>
          <w:b/>
          <w:bCs/>
        </w:rPr>
        <w:t>)</w:t>
      </w:r>
      <w:r w:rsidRPr="00CA4EF1">
        <w:t>: 8</w:t>
      </w:r>
      <w:r>
        <w:t>0</w:t>
      </w:r>
      <w:r w:rsidRPr="00CA4EF1">
        <w:t>0,000,000 SEC</w:t>
      </w:r>
    </w:p>
    <w:p w14:paraId="014E255D" w14:textId="25940912" w:rsidR="00CA4EF1" w:rsidRPr="00CA4EF1" w:rsidRDefault="00CA4EF1" w:rsidP="00CA4EF1">
      <w:pPr>
        <w:numPr>
          <w:ilvl w:val="0"/>
          <w:numId w:val="1"/>
        </w:numPr>
      </w:pPr>
      <w:r>
        <w:rPr>
          <w:b/>
          <w:bCs/>
        </w:rPr>
        <w:t>Strategic Reserve</w:t>
      </w:r>
      <w:r w:rsidRPr="00CA4EF1">
        <w:t xml:space="preserve">: </w:t>
      </w:r>
      <w:r>
        <w:t>10</w:t>
      </w:r>
      <w:r w:rsidRPr="00CA4EF1">
        <w:t>0,000,000 SEC</w:t>
      </w:r>
    </w:p>
    <w:p w14:paraId="2DFC15B0" w14:textId="77777777" w:rsidR="00CA4EF1" w:rsidRPr="00CA4EF1" w:rsidRDefault="00CA4EF1" w:rsidP="00CA4EF1">
      <w:pPr>
        <w:numPr>
          <w:ilvl w:val="0"/>
          <w:numId w:val="1"/>
        </w:numPr>
      </w:pPr>
      <w:r w:rsidRPr="00CA4EF1">
        <w:rPr>
          <w:b/>
          <w:bCs/>
        </w:rPr>
        <w:t>Marketing &amp; Development</w:t>
      </w:r>
      <w:r w:rsidRPr="00CA4EF1">
        <w:t>: 50,000,000 SEC</w:t>
      </w:r>
    </w:p>
    <w:p w14:paraId="3AD8BD8E" w14:textId="77777777" w:rsidR="00CA4EF1" w:rsidRPr="00CA4EF1" w:rsidRDefault="00CA4EF1" w:rsidP="00CA4EF1">
      <w:pPr>
        <w:numPr>
          <w:ilvl w:val="0"/>
          <w:numId w:val="1"/>
        </w:numPr>
      </w:pPr>
      <w:r w:rsidRPr="00CA4EF1">
        <w:rPr>
          <w:b/>
          <w:bCs/>
        </w:rPr>
        <w:t>Team &amp; Community Rewards</w:t>
      </w:r>
      <w:r w:rsidRPr="00CA4EF1">
        <w:t>: 50,000,000 SEC</w:t>
      </w:r>
    </w:p>
    <w:p w14:paraId="27ECD3E8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>4. Use Cases</w:t>
      </w:r>
    </w:p>
    <w:p w14:paraId="438A28DF" w14:textId="77777777" w:rsidR="00CA4EF1" w:rsidRPr="00CA4EF1" w:rsidRDefault="00CA4EF1" w:rsidP="00CA4EF1">
      <w:r w:rsidRPr="00CA4EF1">
        <w:t>SEC is designed to serve multiple purposes:</w:t>
      </w:r>
    </w:p>
    <w:p w14:paraId="264ED8B1" w14:textId="77777777" w:rsidR="00CA4EF1" w:rsidRPr="00CA4EF1" w:rsidRDefault="00CA4EF1" w:rsidP="00CA4EF1">
      <w:pPr>
        <w:numPr>
          <w:ilvl w:val="0"/>
          <w:numId w:val="2"/>
        </w:numPr>
      </w:pPr>
      <w:r w:rsidRPr="00CA4EF1">
        <w:rPr>
          <w:b/>
          <w:bCs/>
        </w:rPr>
        <w:t>Trading &amp; Liquidity Farming</w:t>
      </w:r>
      <w:r w:rsidRPr="00CA4EF1">
        <w:t xml:space="preserve">: Available on </w:t>
      </w:r>
      <w:proofErr w:type="spellStart"/>
      <w:r w:rsidRPr="00CA4EF1">
        <w:t>Raydium</w:t>
      </w:r>
      <w:proofErr w:type="spellEnd"/>
      <w:r w:rsidRPr="00CA4EF1">
        <w:t xml:space="preserve"> for DEX trading.</w:t>
      </w:r>
    </w:p>
    <w:p w14:paraId="39DBC46F" w14:textId="77777777" w:rsidR="00CA4EF1" w:rsidRPr="00CA4EF1" w:rsidRDefault="00CA4EF1" w:rsidP="00CA4EF1">
      <w:pPr>
        <w:numPr>
          <w:ilvl w:val="0"/>
          <w:numId w:val="2"/>
        </w:numPr>
      </w:pPr>
      <w:r w:rsidRPr="00CA4EF1">
        <w:rPr>
          <w:b/>
          <w:bCs/>
        </w:rPr>
        <w:t>Governance</w:t>
      </w:r>
      <w:r w:rsidRPr="00CA4EF1">
        <w:t>: Token holders influence decisions regarding the token's development.</w:t>
      </w:r>
    </w:p>
    <w:p w14:paraId="3F0BB0C3" w14:textId="77777777" w:rsidR="00CA4EF1" w:rsidRPr="00CA4EF1" w:rsidRDefault="00CA4EF1" w:rsidP="00CA4EF1">
      <w:pPr>
        <w:numPr>
          <w:ilvl w:val="0"/>
          <w:numId w:val="2"/>
        </w:numPr>
      </w:pPr>
      <w:r w:rsidRPr="00CA4EF1">
        <w:rPr>
          <w:b/>
          <w:bCs/>
        </w:rPr>
        <w:t>Gaming &amp; NFT Integrations</w:t>
      </w:r>
      <w:r w:rsidRPr="00CA4EF1">
        <w:t>: Future roadmap includes partnerships with gaming platforms and NFT ecosystems.</w:t>
      </w:r>
    </w:p>
    <w:p w14:paraId="3E890BE5" w14:textId="77777777" w:rsidR="00CA4EF1" w:rsidRPr="00CA4EF1" w:rsidRDefault="00CA4EF1" w:rsidP="00CA4EF1">
      <w:pPr>
        <w:numPr>
          <w:ilvl w:val="0"/>
          <w:numId w:val="2"/>
        </w:numPr>
      </w:pPr>
      <w:r w:rsidRPr="00CA4EF1">
        <w:rPr>
          <w:b/>
          <w:bCs/>
        </w:rPr>
        <w:t>CEX Listings</w:t>
      </w:r>
      <w:r w:rsidRPr="00CA4EF1">
        <w:t>: Plans to list on centralized exchanges for wider adoption.</w:t>
      </w:r>
    </w:p>
    <w:p w14:paraId="2A9A2EFA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>5. Security &amp; Smart Contract Audit</w:t>
      </w:r>
    </w:p>
    <w:p w14:paraId="7808FE0A" w14:textId="77777777" w:rsidR="00CA4EF1" w:rsidRPr="00CA4EF1" w:rsidRDefault="00CA4EF1" w:rsidP="00CA4EF1">
      <w:r w:rsidRPr="00CA4EF1">
        <w:t>To ensure the integrity of our project, we plan to conduct third-party audits with a reputable firm before major exchange listings.</w:t>
      </w:r>
    </w:p>
    <w:p w14:paraId="0C06C1F1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>6. Roadmap</w:t>
      </w:r>
    </w:p>
    <w:p w14:paraId="7A4AFB36" w14:textId="761D6EE6" w:rsidR="00CA4EF1" w:rsidRPr="00CA4EF1" w:rsidRDefault="00CA4EF1" w:rsidP="00CA4EF1">
      <w:r w:rsidRPr="00CA4EF1">
        <w:rPr>
          <w:b/>
          <w:bCs/>
        </w:rPr>
        <w:t>Q1 202</w:t>
      </w:r>
      <w:r>
        <w:rPr>
          <w:b/>
          <w:bCs/>
        </w:rPr>
        <w:t>5</w:t>
      </w:r>
      <w:r w:rsidRPr="00CA4EF1">
        <w:t xml:space="preserve"> – Project Launch, </w:t>
      </w:r>
      <w:proofErr w:type="spellStart"/>
      <w:r w:rsidRPr="00CA4EF1">
        <w:t>Raydium</w:t>
      </w:r>
      <w:proofErr w:type="spellEnd"/>
      <w:r w:rsidRPr="00CA4EF1">
        <w:t xml:space="preserve"> Liquidity Pool, Presale Start </w:t>
      </w:r>
      <w:r w:rsidRPr="00CA4EF1">
        <w:rPr>
          <w:b/>
          <w:bCs/>
        </w:rPr>
        <w:t>Q2 202</w:t>
      </w:r>
      <w:r>
        <w:rPr>
          <w:b/>
          <w:bCs/>
        </w:rPr>
        <w:t>5</w:t>
      </w:r>
      <w:r w:rsidRPr="00CA4EF1">
        <w:t xml:space="preserve"> – Community Growth, Partnerships, Initial Governance Implementation </w:t>
      </w:r>
      <w:r w:rsidRPr="00CA4EF1">
        <w:rPr>
          <w:b/>
          <w:bCs/>
        </w:rPr>
        <w:t>Q3 202</w:t>
      </w:r>
      <w:r>
        <w:rPr>
          <w:b/>
          <w:bCs/>
        </w:rPr>
        <w:t>5</w:t>
      </w:r>
      <w:r w:rsidRPr="00CA4EF1">
        <w:t xml:space="preserve"> – NFT &amp; Gaming Integrations, Marketing Push, First CEX Listing Application </w:t>
      </w:r>
      <w:r w:rsidRPr="00CA4EF1">
        <w:rPr>
          <w:b/>
          <w:bCs/>
        </w:rPr>
        <w:t>Q4 202</w:t>
      </w:r>
      <w:r>
        <w:rPr>
          <w:b/>
          <w:bCs/>
        </w:rPr>
        <w:t>5</w:t>
      </w:r>
      <w:r w:rsidRPr="00CA4EF1">
        <w:t xml:space="preserve"> – Governance Expansion, Staking Implementation, Further Listings</w:t>
      </w:r>
    </w:p>
    <w:p w14:paraId="29943D75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>7. Conclusion</w:t>
      </w:r>
    </w:p>
    <w:p w14:paraId="37066847" w14:textId="77777777" w:rsidR="00CA4EF1" w:rsidRPr="00CA4EF1" w:rsidRDefault="00CA4EF1" w:rsidP="00CA4EF1">
      <w:r w:rsidRPr="00CA4EF1">
        <w:t xml:space="preserve">Super Earth Coin (SEC) aims to be more than just another </w:t>
      </w:r>
      <w:proofErr w:type="spellStart"/>
      <w:r w:rsidRPr="00CA4EF1">
        <w:t>memecoin</w:t>
      </w:r>
      <w:proofErr w:type="spellEnd"/>
      <w:r w:rsidRPr="00CA4EF1">
        <w:t xml:space="preserve"> by incorporating governance, trading incentives, and future use cases that integrate into Web3 applications. Join us as we revolutionize Managed Democracy within the crypto world.</w:t>
      </w:r>
    </w:p>
    <w:p w14:paraId="0BDB3D2B" w14:textId="77777777" w:rsidR="00CA4EF1" w:rsidRPr="00CA4EF1" w:rsidRDefault="00CA4EF1" w:rsidP="00CA4EF1">
      <w:r w:rsidRPr="00CA4EF1">
        <w:lastRenderedPageBreak/>
        <w:pict w14:anchorId="4C5EAD3B">
          <v:rect id="_x0000_i1031" style="width:0;height:1.5pt" o:hralign="center" o:hrstd="t" o:hr="t" fillcolor="#a0a0a0" stroked="f"/>
        </w:pict>
      </w:r>
    </w:p>
    <w:p w14:paraId="74C65822" w14:textId="77777777" w:rsidR="00CA4EF1" w:rsidRPr="00CA4EF1" w:rsidRDefault="00CA4EF1" w:rsidP="00CA4EF1">
      <w:pPr>
        <w:rPr>
          <w:b/>
          <w:bCs/>
        </w:rPr>
      </w:pPr>
      <w:r w:rsidRPr="00CA4EF1">
        <w:rPr>
          <w:b/>
          <w:bCs/>
        </w:rPr>
        <w:t>Official Links</w:t>
      </w:r>
    </w:p>
    <w:p w14:paraId="7830156C" w14:textId="025E07F4" w:rsidR="00CA4EF1" w:rsidRPr="00CA4EF1" w:rsidRDefault="00CA4EF1" w:rsidP="00CA4EF1">
      <w:r w:rsidRPr="00CA4EF1">
        <w:rPr>
          <w:rFonts w:ascii="Segoe UI Emoji" w:hAnsi="Segoe UI Emoji" w:cs="Segoe UI Emoji"/>
        </w:rPr>
        <w:t>🌐</w:t>
      </w:r>
      <w:r w:rsidRPr="00CA4EF1">
        <w:t xml:space="preserve"> Website: </w:t>
      </w:r>
      <w:hyperlink r:id="rId5" w:history="1">
        <w:r w:rsidRPr="006A495C">
          <w:rPr>
            <w:rStyle w:val="Hyperlink"/>
          </w:rPr>
          <w:t>https://www.helldivers.space</w:t>
        </w:r>
      </w:hyperlink>
      <w:r>
        <w:t xml:space="preserve"> </w:t>
      </w:r>
      <w:r w:rsidRPr="00CA4EF1">
        <w:rPr>
          <w:rFonts w:ascii="Segoe UI Emoji" w:hAnsi="Segoe UI Emoji" w:cs="Segoe UI Emoji"/>
        </w:rPr>
        <w:t>📢</w:t>
      </w:r>
      <w:r w:rsidRPr="00CA4EF1">
        <w:t xml:space="preserve"> Telegram</w:t>
      </w:r>
      <w:r>
        <w:t xml:space="preserve">: </w:t>
      </w:r>
      <w:r w:rsidRPr="00CA4EF1">
        <w:t xml:space="preserve">https://t.me/SuperEarthCoin </w:t>
      </w:r>
      <w:r w:rsidRPr="00CA4EF1">
        <w:rPr>
          <w:rFonts w:ascii="Segoe UI Emoji" w:hAnsi="Segoe UI Emoji" w:cs="Segoe UI Emoji"/>
        </w:rPr>
        <w:t>🐦</w:t>
      </w:r>
      <w:r w:rsidRPr="00CA4EF1">
        <w:t xml:space="preserve"> Twitter: https://x.com/HelldiversSEC </w:t>
      </w:r>
      <w:r w:rsidRPr="00CA4EF1">
        <w:rPr>
          <w:rFonts w:ascii="Segoe UI Emoji" w:hAnsi="Segoe UI Emoji" w:cs="Segoe UI Emoji"/>
        </w:rPr>
        <w:t>📜</w:t>
      </w:r>
      <w:r w:rsidRPr="00CA4EF1">
        <w:t xml:space="preserve"> Whitepaper: [This Document]</w:t>
      </w:r>
    </w:p>
    <w:p w14:paraId="67B2C0D9" w14:textId="77777777" w:rsidR="00CA4EF1" w:rsidRPr="00CA4EF1" w:rsidRDefault="00CA4EF1" w:rsidP="00CA4EF1">
      <w:r w:rsidRPr="00CA4EF1">
        <w:t>For Super Earth! For Democracy!</w:t>
      </w:r>
    </w:p>
    <w:p w14:paraId="0FCE118C" w14:textId="5A7D27B4" w:rsidR="00AF5122" w:rsidRDefault="003A0E7C">
      <w:r>
        <w:t>s</w:t>
      </w:r>
    </w:p>
    <w:sectPr w:rsidR="00AF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750F9"/>
    <w:multiLevelType w:val="multilevel"/>
    <w:tmpl w:val="38A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133CE"/>
    <w:multiLevelType w:val="multilevel"/>
    <w:tmpl w:val="33C6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570454">
    <w:abstractNumId w:val="0"/>
  </w:num>
  <w:num w:numId="2" w16cid:durableId="34933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F1"/>
    <w:rsid w:val="00052A51"/>
    <w:rsid w:val="003A0E7C"/>
    <w:rsid w:val="00AF5122"/>
    <w:rsid w:val="00CA4EF1"/>
    <w:rsid w:val="00DF041C"/>
    <w:rsid w:val="00E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B36E"/>
  <w15:chartTrackingRefBased/>
  <w15:docId w15:val="{3909315F-B643-4F50-8DD5-38F0E86B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lldivers.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Kykkis Karlettis</dc:creator>
  <cp:keywords/>
  <dc:description/>
  <cp:lastModifiedBy>Kykkis Karlettis</cp:lastModifiedBy>
  <cp:revision>2</cp:revision>
  <dcterms:created xsi:type="dcterms:W3CDTF">2025-02-18T23:16:00Z</dcterms:created>
  <dcterms:modified xsi:type="dcterms:W3CDTF">2025-02-18T23:16:00Z</dcterms:modified>
</cp:coreProperties>
</file>