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8C8C8C"/>
          <w:sz w:val="20"/>
          <w:szCs w:val="20"/>
        </w:rPr>
        <w:t xml:space="preserve">내부 검토 문서</w:t>
      </w:r>
    </w:p>
    <w:p>
      <w:pPr>
        <w:pBdr>
          <w:bottom w:val="single" w:color="D9D9D9" w:sz="4" w:space="12"/>
        </w:pBdr>
        <w:spacing w:after="400"/>
      </w:pPr>
    </w:p>
    <w:p>
      <w:pPr>
        <w:spacing w:after="160" w:before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의료IT 설계 프로젝트</w:t>
      </w:r>
    </w:p>
    <w:p>
      <w:pPr>
        <w:spacing w:after="26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주제 검토 보고서</w:t>
      </w:r>
    </w:p>
    <w:p>
      <w:pPr>
        <w:spacing w:after="700"/>
        <w:jc w:val="center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공개데이터·의료 AI 기반 후보 4개 비교</w:t>
      </w:r>
    </w:p>
    <w:p>
      <w:pPr>
        <w:spacing w:after="5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140"/>
              <w:left w:type="dxa" w:w="160"/>
              <w:bottom w:type="dxa" w:w="14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문서명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40"/>
              <w:left w:type="dxa" w:w="160"/>
              <w:bottom w:type="dxa" w:w="14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의료IT 설계 프로젝트 주제 검토 보고서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140"/>
              <w:left w:type="dxa" w:w="160"/>
              <w:bottom w:type="dxa" w:w="14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검토 범위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40"/>
              <w:left w:type="dxa" w:w="160"/>
              <w:bottom w:type="dxa" w:w="14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공개데이터·의료 AI 기반 후보 4개 주제 비교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140"/>
              <w:left w:type="dxa" w:w="160"/>
              <w:bottom w:type="dxa" w:w="14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검토 목적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40"/>
              <w:left w:type="dxa" w:w="160"/>
              <w:bottom w:type="dxa" w:w="14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2~3개월 내 모델 개발 및 웹 프로토타입 구현 가능성 평가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140"/>
              <w:left w:type="dxa" w:w="160"/>
              <w:bottom w:type="dxa" w:w="14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작성일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40"/>
              <w:left w:type="dxa" w:w="160"/>
              <w:bottom w:type="dxa" w:w="14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2026. 09.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140"/>
              <w:left w:type="dxa" w:w="160"/>
              <w:bottom w:type="dxa" w:w="14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40"/>
              <w:left w:type="dxa" w:w="160"/>
              <w:bottom w:type="dxa" w:w="14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검토용 (주제 확정 전)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300" w:right="1300" w:bottom="1300" w:left="1300" w:header="708" w:footer="708" w:gutter="0"/>
          <w:pgNumType/>
          <w:docGrid w:linePitch="360"/>
        </w:sectPr>
      </w:pPr>
    </w:p>
    <w:p>
      <w:pPr>
        <w:pStyle w:val="Heading1"/>
        <w:spacing w:after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목차</w:t>
      </w:r>
    </w:p>
    <w:p>
      <w:pPr>
        <w:tabs>
          <w:tab w:val="right" w:pos="9026" w:leader="dot"/>
        </w:tabs>
        <w:spacing w:after="180"/>
        <w:ind w:left="0"/>
      </w:pPr>
      <w:r>
        <w:rPr>
          <w:rFonts w:ascii="Malgun Gothic" w:cs="Malgun Gothic" w:eastAsia="Malgun Gothic" w:hAnsi="Malgun Gothic"/>
          <w:color w:val="404040"/>
          <w:sz w:val="21"/>
          <w:szCs w:val="21"/>
        </w:rPr>
        <w:t xml:space="preserve">1. 검토 개요</w:t>
      </w:r>
      <w:r>
        <w:rPr>
          <w:rFonts w:ascii="Malgun Gothic" w:cs="Malgun Gothic" w:eastAsia="Malgun Gothic" w:hAnsi="Malgun Gothic"/>
          <w:color w:val="404040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180"/>
        <w:ind w:left="0"/>
      </w:pPr>
      <w:r>
        <w:rPr>
          <w:rFonts w:ascii="Malgun Gothic" w:cs="Malgun Gothic" w:eastAsia="Malgun Gothic" w:hAnsi="Malgun Gothic"/>
          <w:color w:val="404040"/>
          <w:sz w:val="21"/>
          <w:szCs w:val="21"/>
        </w:rPr>
        <w:t xml:space="preserve">2. 공공 의료데이터 기반 의약품 사용 이상 패턴 모니터링 시스템</w:t>
      </w:r>
      <w:r>
        <w:rPr>
          <w:rFonts w:ascii="Malgun Gothic" w:cs="Malgun Gothic" w:eastAsia="Malgun Gothic" w:hAnsi="Malgun Gothic"/>
          <w:color w:val="404040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180"/>
        <w:ind w:left="0"/>
      </w:pPr>
      <w:r>
        <w:rPr>
          <w:rFonts w:ascii="Malgun Gothic" w:cs="Malgun Gothic" w:eastAsia="Malgun Gothic" w:hAnsi="Malgun Gothic"/>
          <w:color w:val="404040"/>
          <w:sz w:val="21"/>
          <w:szCs w:val="21"/>
        </w:rPr>
        <w:t xml:space="preserve">3. EHR 변화 중심 의료진 인계 지원 시스템</w:t>
      </w:r>
      <w:r>
        <w:rPr>
          <w:rFonts w:ascii="Malgun Gothic" w:cs="Malgun Gothic" w:eastAsia="Malgun Gothic" w:hAnsi="Malgun Gothic"/>
          <w:color w:val="404040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180"/>
        <w:ind w:left="0"/>
      </w:pPr>
      <w:r>
        <w:rPr>
          <w:rFonts w:ascii="Malgun Gothic" w:cs="Malgun Gothic" w:eastAsia="Malgun Gothic" w:hAnsi="Malgun Gothic"/>
          <w:color w:val="404040"/>
          <w:sz w:val="21"/>
          <w:szCs w:val="21"/>
        </w:rPr>
        <w:t xml:space="preserve">4. 멀티모달 Knee MRI·판독문 기반 이상 소견 자동 태깅</w:t>
      </w:r>
      <w:r>
        <w:rPr>
          <w:rFonts w:ascii="Malgun Gothic" w:cs="Malgun Gothic" w:eastAsia="Malgun Gothic" w:hAnsi="Malgun Gothic"/>
          <w:color w:val="404040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180"/>
        <w:ind w:left="0"/>
      </w:pPr>
      <w:r>
        <w:rPr>
          <w:rFonts w:ascii="Malgun Gothic" w:cs="Malgun Gothic" w:eastAsia="Malgun Gothic" w:hAnsi="Malgun Gothic"/>
          <w:color w:val="404040"/>
          <w:sz w:val="21"/>
          <w:szCs w:val="21"/>
        </w:rPr>
        <w:t xml:space="preserve">5. 의료영상 AI 편향·신뢰성 자동 평가 프레임워크</w:t>
      </w:r>
      <w:r>
        <w:rPr>
          <w:rFonts w:ascii="Malgun Gothic" w:cs="Malgun Gothic" w:eastAsia="Malgun Gothic" w:hAnsi="Malgun Gothic"/>
          <w:color w:val="404040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180"/>
        <w:ind w:left="0"/>
      </w:pPr>
      <w:r>
        <w:rPr>
          <w:rFonts w:ascii="Malgun Gothic" w:cs="Malgun Gothic" w:eastAsia="Malgun Gothic" w:hAnsi="Malgun Gothic"/>
          <w:color w:val="404040"/>
          <w:sz w:val="21"/>
          <w:szCs w:val="21"/>
        </w:rPr>
        <w:t xml:space="preserve">6. 종합 비교 및 권고</w:t>
      </w:r>
      <w:r>
        <w:rPr>
          <w:rFonts w:ascii="Malgun Gothic" w:cs="Malgun Gothic" w:eastAsia="Malgun Gothic" w:hAnsi="Malgun Gothic"/>
          <w:color w:val="404040"/>
          <w:sz w:val="21"/>
          <w:szCs w:val="21"/>
        </w:rPr>
        <w:t xml:space="preserve">	7</w:t>
      </w:r>
    </w:p>
    <w:p>
      <w:pPr>
        <w:tabs>
          <w:tab w:val="right" w:pos="9026" w:leader="dot"/>
        </w:tabs>
        <w:spacing w:after="180"/>
        <w:ind w:left="0"/>
      </w:pPr>
      <w:r>
        <w:rPr>
          <w:rFonts w:ascii="Malgun Gothic" w:cs="Malgun Gothic" w:eastAsia="Malgun Gothic" w:hAnsi="Malgun Gothic"/>
          <w:color w:val="404040"/>
          <w:sz w:val="21"/>
          <w:szCs w:val="21"/>
        </w:rPr>
        <w:t xml:space="preserve">7. 주제 확정 전 확인사항</w:t>
      </w:r>
      <w:r>
        <w:rPr>
          <w:rFonts w:ascii="Malgun Gothic" w:cs="Malgun Gothic" w:eastAsia="Malgun Gothic" w:hAnsi="Malgun Gothic"/>
          <w:color w:val="404040"/>
          <w:sz w:val="21"/>
          <w:szCs w:val="21"/>
        </w:rPr>
        <w:t xml:space="preserve">	8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검토 개요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본 문서는 의료IT 설계 프로젝트 후보 중 데이터 확보 가능성, 문제의 명확성, 기존 서비스와의 차별성, AI 기술 적용 가능성, 정량 평가 가능성 및 2~3개월 내 구현 가능성을 기준으로 4개 주제를 비교·정리한 것이다.</w:t>
      </w:r>
    </w:p>
    <w:p>
      <w:pPr>
        <w:spacing w:after="160"/>
      </w:pP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1500"/>
        <w:gridCol w:w="1700"/>
        <w:gridCol w:w="1700"/>
        <w:gridCol w:w="1400"/>
      </w:tblGrid>
      <w:tr>
        <w:trPr>
          <w:tblHeader/>
        </w:trPr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데이터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AI·연구성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구현 안정성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종합</w:t>
            </w:r>
          </w:p>
        </w:tc>
      </w:tr>
      <w:tr>
        <w:tc>
          <w:tcPr>
            <w:tcW w:type="dxa" w:w="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04040"/>
                <w:sz w:val="19"/>
                <w:szCs w:val="19"/>
              </w:rPr>
              <w:t xml:space="preserve">의약품 사용 이상 패턴 모니터링</w:t>
            </w:r>
          </w:p>
        </w:tc>
        <w:tc>
          <w:tcPr>
            <w:tcW w:type="dxa" w:w="15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상</w:t>
            </w:r>
          </w:p>
        </w:tc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중</w:t>
            </w:r>
          </w:p>
        </w:tc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상</w:t>
            </w:r>
          </w:p>
        </w:tc>
        <w:tc>
          <w:tcPr>
            <w:tcW w:type="dxa" w:w="14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안정형</w:t>
            </w:r>
          </w:p>
        </w:tc>
      </w:tr>
      <w:tr>
        <w:tc>
          <w:tcPr>
            <w:tcW w:type="dxa" w:w="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04040"/>
                <w:sz w:val="19"/>
                <w:szCs w:val="19"/>
              </w:rPr>
              <w:t xml:space="preserve">EHR 변화 중심 의료진 인계 지원</w:t>
            </w:r>
          </w:p>
        </w:tc>
        <w:tc>
          <w:tcPr>
            <w:tcW w:type="dxa" w:w="15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중상</w:t>
            </w:r>
          </w:p>
        </w:tc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상</w:t>
            </w:r>
          </w:p>
        </w:tc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중상</w:t>
            </w:r>
          </w:p>
        </w:tc>
        <w:tc>
          <w:tcPr>
            <w:tcW w:type="dxa" w:w="14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연구형</w:t>
            </w:r>
          </w:p>
        </w:tc>
      </w:tr>
      <w:tr>
        <w:tc>
          <w:tcPr>
            <w:tcW w:type="dxa" w:w="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04040"/>
                <w:sz w:val="19"/>
                <w:szCs w:val="19"/>
              </w:rPr>
              <w:t xml:space="preserve">MRI+보고서 멀티모달 이상소견 태깅</w:t>
            </w:r>
          </w:p>
        </w:tc>
        <w:tc>
          <w:tcPr>
            <w:tcW w:type="dxa" w:w="15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상</w:t>
            </w:r>
          </w:p>
        </w:tc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매우 높음</w:t>
            </w:r>
          </w:p>
        </w:tc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중</w:t>
            </w:r>
          </w:p>
        </w:tc>
        <w:tc>
          <w:tcPr>
            <w:tcW w:type="dxa" w:w="14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도전형</w:t>
            </w:r>
          </w:p>
        </w:tc>
      </w:tr>
      <w:tr>
        <w:tc>
          <w:tcPr>
            <w:tcW w:type="dxa" w:w="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04040"/>
                <w:sz w:val="19"/>
                <w:szCs w:val="19"/>
              </w:rPr>
              <w:t xml:space="preserve">의료 AI 편향·신뢰성 평가 프레임워크</w:t>
            </w:r>
          </w:p>
        </w:tc>
        <w:tc>
          <w:tcPr>
            <w:tcW w:type="dxa" w:w="15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상</w:t>
            </w:r>
          </w:p>
        </w:tc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상</w:t>
            </w:r>
          </w:p>
        </w:tc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상</w:t>
            </w:r>
          </w:p>
        </w:tc>
        <w:tc>
          <w:tcPr>
            <w:tcW w:type="dxa" w:w="14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균형형</w:t>
            </w:r>
          </w:p>
        </w:tc>
      </w:tr>
    </w:tbl>
    <w:p>
      <w:pPr>
        <w:pStyle w:val="Heading1"/>
        <w:pBdr>
          <w:bottom w:val="single" w:color="1F3864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공공 의료데이터 기반 의약품 사용 이상 패턴 모니터링 시스템</w:t>
      </w:r>
    </w:p>
    <w:p>
      <w:pPr>
        <w:spacing w:after="220" w:before="0"/>
        <w:ind w:left="0"/>
      </w:pPr>
      <w:r>
        <w:rPr>
          <w:rFonts w:ascii="Malgun Gothic" w:cs="Malgun Gothic" w:eastAsia="Malgun Gothic" w:hAnsi="Malgun Gothic"/>
          <w:i/>
          <w:iCs/>
          <w:color w:val="595959"/>
          <w:sz w:val="19"/>
          <w:szCs w:val="19"/>
        </w:rPr>
        <w:t xml:space="preserve">지역·의료기관 종별·약효군별 의약품 사용량의 시간적 변화를 분석하여 통계적으로 이례적인 사용 패턴을 탐지하는 시스템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0"/>
      </w:tblGrid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배경 및 필요성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항생제 등 주요 의약품의 적정 사용은 환자 안전과 건강보험 의료 질 관리 측면에서 중요하다. 그러나 공개 통계는 주로 현황 조회 중심이므로, 지역·기관 특성을 반영해 평소와 다른 사용량 변화를 조기에 확인할 수 있는 분석 도구가 필요하다.</w:t>
            </w:r>
          </w:p>
        </w:tc>
      </w:tr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시장조사 및 차별점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심평원 DUR은 개별 처방 단계에서 병용금기·연령금기·중복성 등을 점검한다. 본 주제는 개별 처방의 적절성을 판정하지 않고, 집단 수준의 월별·지역별·기관종별 사용량에서 통계적 이상 패턴을 탐지한다는 점에서 목적과 분석 단위가 다르다.</w:t>
            </w:r>
          </w:p>
        </w:tc>
      </w:tr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문제 정의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과거 의약품 사용량을 기반으로 특정 지역·의료기관 종별·약효군의 기대 사용 범위를 추정하고, 이를 크게 벗어나는 시점과 집단을 자동 표시한다. '이상 패턴'은 부적절 처방을 의미하지 않으며 추가 검토가 필요한 통계적 신호로 정의한다.</w:t>
            </w:r>
          </w:p>
        </w:tc>
      </w:tr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데이터셋 확보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심평원 보건의료빅데이터개방시스템 및 공공데이터포털의 의약품사용정보조회 서비스를 활용한다. 진료년월, ATC/약효분류, 성분, 지역, 의료기관 종별 등 공개 가능한 집계 변수를 수집한다.</w:t>
            </w:r>
          </w:p>
        </w:tc>
      </w:tr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전처리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API 수집 → 코드 및 지역 단위 통일 → 월별 시계열 구성 → 결측·중복 처리 → 기관종별/약효군별 정규화 → 학습·검증 기간 분리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2E5395"/>
          <w:sz w:val="23"/>
          <w:szCs w:val="23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  구현 기술 및 필요 기술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Python, Pandas, NumPy를 이용한 API 수집·전처리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시계열 예측: ARIMA/Prophet 또는 LightGBM 계열 회귀 모델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이상탐지: 예측구간 기반 탐지, Isolation Forest 등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FastAPI/Flask + 웹 대시보드, 지도·시계열 시각화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2E5395"/>
          <w:sz w:val="23"/>
          <w:szCs w:val="23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  학습·평가 계획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예측 성능: MAE, RMSE, MAPE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이상탐지 성능: 합성 anomaly를 주입할 경우 Precision, Recall, F1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지역·기관종별·약효군별 탐지 결과 비교 및 사례 분석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2E5395"/>
          <w:sz w:val="23"/>
          <w:szCs w:val="23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  예상 산출물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지역/기관/약효군 필터가 가능한 의약품 사용 모니터링 대시보드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예상 사용량 대비 실제 사용량 및 이상 시점 표시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이상 패턴 요약 리포트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2E5395"/>
          <w:sz w:val="23"/>
          <w:szCs w:val="23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  주요 리스크 및 대응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algun Gothic" w:cs="Malgun Gothic" w:eastAsia="Malgun Gothic" w:hAnsi="Malgun Gothic"/>
          <w:b/>
          <w:bCs/>
          <w:color w:val="B02418"/>
          <w:sz w:val="20"/>
          <w:szCs w:val="20"/>
        </w:rPr>
        <w:t xml:space="preserve">리스크 1: </w:t>
      </w: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집계자료만으로 처방의 임상적 적절성을 판단할 수 없음 → 결과 명칭을 '이상처방'이 아닌 '이상 사용 패턴'으로 제한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algun Gothic" w:cs="Malgun Gothic" w:eastAsia="Malgun Gothic" w:hAnsi="Malgun Gothic"/>
          <w:b/>
          <w:bCs/>
          <w:color w:val="B02418"/>
          <w:sz w:val="20"/>
          <w:szCs w:val="20"/>
        </w:rPr>
        <w:t xml:space="preserve">리스크 2: </w:t>
      </w: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공개 API의 기간·변수 제약 가능 → 1개 약효군과 제한된 지역부터 MVP 구축</w:t>
      </w:r>
    </w:p>
    <w:p>
      <w:pPr>
        <w:pStyle w:val="Heading1"/>
        <w:pBdr>
          <w:bottom w:val="single" w:color="1F3864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EHR 변화 중심 의료진 인계 지원 시스템</w:t>
      </w:r>
    </w:p>
    <w:p>
      <w:pPr>
        <w:spacing w:after="220" w:before="0"/>
        <w:ind w:left="0"/>
      </w:pPr>
      <w:r>
        <w:rPr>
          <w:rFonts w:ascii="Malgun Gothic" w:cs="Malgun Gothic" w:eastAsia="Malgun Gothic" w:hAnsi="Malgun Gothic"/>
          <w:i/>
          <w:iCs/>
          <w:color w:val="595959"/>
          <w:sz w:val="19"/>
          <w:szCs w:val="19"/>
        </w:rPr>
        <w:t xml:space="preserve">환자의 전체 기록을 다시 요약하기보다 이전 인계 시점 이후 발생한 임상 변화만 탐지·우선순위화하는 인계 지원 시스템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0"/>
      </w:tblGrid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배경 및 필요성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교대·전원 과정에서는 짧은 시간 안에 환자의 중요한 변화를 파악해야 한다. 단순 LLM 요약은 정보 누락이나 잘못된 표현 가능성이 있으므로, 시간정보가 명확한 EHR에서 '무엇이 달라졌는지'를 먼저 구조적으로 추출하는 접근이 필요하다.</w:t>
            </w:r>
          </w:p>
        </w:tc>
      </w:tr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시장조사 및 차별점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생성형 AI 기반 임상노트·인계 요약 연구와 제품은 증가하고 있다. 본 주제는 전체 기록 요약이 아니라 이전 인계 이후의 변화 탐지와 중요도 순위화를 핵심 기능으로 두며, LLM은 필요 시 최종 문장화 단계에만 사용한다.</w:t>
            </w:r>
          </w:p>
        </w:tc>
      </w:tr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문제 정의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두 인계 시점 사이의 활력징후·검사값·투약·검사·처치 변화를 자동 추출하고, 환자 악화와 연관성이 높은 변화 또는 사전 정의된 중요 변화부터 우선 제시한다.</w:t>
            </w:r>
          </w:p>
        </w:tc>
      </w:tr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데이터셋 확보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PhysioNet MIMIC-IV를 활용한다. 정식 데이터는 credentialing, 교육 및 DUA 절차가 필요하므로 프로젝트 시작과 동시에 신청하며, 초기 개발은 MIMIC-IV Demo로 수행한다.</w:t>
            </w:r>
          </w:p>
        </w:tc>
      </w:tr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전처리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환자·입원 ID 연결 → timestamp 정렬 → 8시간 등 인계 구간 정의 → vital/lab/medication event 추출 → 변화량·신규/중단 이벤트 생성 → 결측 처리 및 feature 구성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2E5395"/>
          <w:sz w:val="23"/>
          <w:szCs w:val="23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  구현 기술 및 필요 기술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SQL/Pandas 기반 EHR 테이블 조인 및 시계열 전처리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변화 추출: 규칙 기반 Δ feature 및 event detection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중요도/위험도 모델: XGBoost, LightGBM, MLP 등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선택적 LLM 활용: 검증된 변화 목록을 자연어 인계문으로 변환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웹 기반 환자별 변화 타임라인 및 우선순위 대시보드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2E5395"/>
          <w:sz w:val="23"/>
          <w:szCs w:val="23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  학습·평가 계획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변화 추출: Precision, Recall, F1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위험도/우선순위 모델: AUROC, AUPRC, calibration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인계 정보 품질: 주요 변화 포함률, 누락률, 불필요 정보 비율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2E5395"/>
          <w:sz w:val="23"/>
          <w:szCs w:val="23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  예상 산출물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이전 인계 이후 주요 변화 Top-N 표시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Vital/Lab 변화 그래프 및 신규 약물·검사 이벤트 표시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선택적으로 구조화된 인계 요약문 생성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2E5395"/>
          <w:sz w:val="23"/>
          <w:szCs w:val="23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  주요 리스크 및 대응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algun Gothic" w:cs="Malgun Gothic" w:eastAsia="Malgun Gothic" w:hAnsi="Malgun Gothic"/>
          <w:b/>
          <w:bCs/>
          <w:color w:val="B02418"/>
          <w:sz w:val="20"/>
          <w:szCs w:val="20"/>
        </w:rPr>
        <w:t xml:space="preserve">리스크 1: </w:t>
      </w: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MIMIC-IV 접근 승인 지연 → Demo 데이터로 전처리·UI를 먼저 개발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algun Gothic" w:cs="Malgun Gothic" w:eastAsia="Malgun Gothic" w:hAnsi="Malgun Gothic"/>
          <w:b/>
          <w:bCs/>
          <w:color w:val="B02418"/>
          <w:sz w:val="20"/>
          <w:szCs w:val="20"/>
        </w:rPr>
        <w:t xml:space="preserve">리스크 2: </w:t>
      </w: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'임상적으로 중요한 변화' GT 정의가 어려움 → 객관적 변화 추출과 미래 악화 예측을 분리하여 평가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algun Gothic" w:cs="Malgun Gothic" w:eastAsia="Malgun Gothic" w:hAnsi="Malgun Gothic"/>
          <w:b/>
          <w:bCs/>
          <w:color w:val="B02418"/>
          <w:sz w:val="20"/>
          <w:szCs w:val="20"/>
        </w:rPr>
        <w:t xml:space="preserve">리스크 3: </w:t>
      </w: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범위가 커질 위험 → 초기에는 vital+lab+medication 3개 영역으로 제한</w:t>
      </w:r>
    </w:p>
    <w:p>
      <w:pPr>
        <w:pStyle w:val="Heading1"/>
        <w:pBdr>
          <w:bottom w:val="single" w:color="1F3864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멀티모달 Knee MRI·판독문 기반 이상 소견 자동 태깅</w:t>
      </w:r>
    </w:p>
    <w:p>
      <w:pPr>
        <w:spacing w:after="220" w:before="0"/>
        <w:ind w:left="0"/>
      </w:pPr>
      <w:r>
        <w:rPr>
          <w:rFonts w:ascii="Malgun Gothic" w:cs="Malgun Gothic" w:eastAsia="Malgun Gothic" w:hAnsi="Malgun Gothic"/>
          <w:i/>
          <w:iCs/>
          <w:color w:val="595959"/>
          <w:sz w:val="19"/>
          <w:szCs w:val="19"/>
        </w:rPr>
        <w:t xml:space="preserve">RSNA 2026 Knee Abnormality Detection Challenge의 MRI와 다국어 판독문을 활용하여 영상·텍스트 정보를 결합한 다중 이상소견 태깅 모델 개발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0"/>
      </w:tblGrid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배경 및 필요성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의료영상 AI는 영상 단독 분석이 주류였으나 실제 진료에서는 영상과 판독문이 함께 존재한다. RSNA 2026 Knee Challenge는 MRI와 다국어 판독문을 함께 활용하는 멀티모달 문제를 제시하여 영상·텍스트 융합의 임상 활용 가능성을 평가할 수 있는 최신 데이터 환경을 제공한다.</w:t>
            </w:r>
          </w:p>
        </w:tc>
      </w:tr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시장조사 및 차별점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의료 VLM과 보고서 생성 기술은 빠르게 발전 중이지만, 다국어 보고서와 MRI를 함께 활용하는 표준화된 학습·평가 환경은 아직 제한적이다. 본 프로젝트는 대규모 VLM 자체 개발보다 image-only, text-only, image+text 조건을 동일 데이터에서 비교하여 멀티모달 정보의 실질적 기여를 검증한다.</w:t>
            </w:r>
          </w:p>
        </w:tc>
      </w:tr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문제 정의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Knee MRI와 해당 판독문을 입력받아 ACL, meniscus, cartilage 등 사전 정의된 이상 소견을 multi-label 형태로 자동 태깅한다. 핵심 연구 질문은 영상과 판독문을 함께 사용할 때 단일 모달 모델 대비 탐지 성능이 향상되는지 여부이다.</w:t>
            </w:r>
          </w:p>
        </w:tc>
      </w:tr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데이터셋 확보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RSNA 2026 Knee Abnormality Detection Challenge의 공식 학습 데이터를 활용한다. 공식 안내 기준 16개 기관, 5,000건 이상의 knee MRI와 12개 언어의 판독문으로 구성된 데이터가 제공된다. 실제 사용 전 챌린지 참가·데이터 이용 조건을 확인한다.</w:t>
            </w:r>
          </w:p>
        </w:tc>
      </w:tr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전처리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MRI series/sequence 정리 → slice sampling 또는 2.5D/volume feature 추출 → intensity normalization → 판독문 정제·언어 처리 → multi-label target 구성 → 환자 단위 train/validation 분리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2E5395"/>
          <w:sz w:val="23"/>
          <w:szCs w:val="23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  구현 기술 및 필요 기술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Vision encoder: pretrained 2D/3D CNN 또는 medical image encoder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Text encoder: XLM-R 등 multilingual encoder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Multimodal fusion: feature concatenation, gated fusion 또는 attention 기반 융합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Multi-label classifier 및 class imbalance 대응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PyTorch, MONAI 등 의료영상 학습 프레임워크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2E5395"/>
          <w:sz w:val="23"/>
          <w:szCs w:val="23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  학습·평가 계획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핵심 비교: Image-only vs Text-only vs Image+Text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분류 성능: micro/macro F1, AUROC, AUPRC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레이블별 sensitivity/specificity 및 class imbalance 분석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언어별 또는 기관별 성능 차이 분석을 확장 평가로 고려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2E5395"/>
          <w:sz w:val="23"/>
          <w:szCs w:val="23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  예상 산출물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환자 MRI와 보고서를 입력하면 이상 소견별 확률을 표시하는 데모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세 모델 조건의 성능 비교 리포트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주요 이상소견 태그 및 관련 보고서 문장 표시 기능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2E5395"/>
          <w:sz w:val="23"/>
          <w:szCs w:val="23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  주요 리스크 및 대응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algun Gothic" w:cs="Malgun Gothic" w:eastAsia="Malgun Gothic" w:hAnsi="Malgun Gothic"/>
          <w:b/>
          <w:bCs/>
          <w:color w:val="B02418"/>
          <w:sz w:val="20"/>
          <w:szCs w:val="20"/>
        </w:rPr>
        <w:t xml:space="preserve">리스크 1: </w:t>
      </w: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3D MRI 연산량이 큼 → 전체 volume 학습보다 pretrained feature extraction/2.5D 방식으로 시작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algun Gothic" w:cs="Malgun Gothic" w:eastAsia="Malgun Gothic" w:hAnsi="Malgun Gothic"/>
          <w:b/>
          <w:bCs/>
          <w:color w:val="B02418"/>
          <w:sz w:val="20"/>
          <w:szCs w:val="20"/>
        </w:rPr>
        <w:t xml:space="preserve">리스크 2: </w:t>
      </w: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12개 언어 처리 복잡성 → multilingual encoder 사용 또는 제한된 언어 subset으로 1차 실험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algun Gothic" w:cs="Malgun Gothic" w:eastAsia="Malgun Gothic" w:hAnsi="Malgun Gothic"/>
          <w:b/>
          <w:bCs/>
          <w:color w:val="B02418"/>
          <w:sz w:val="20"/>
          <w:szCs w:val="20"/>
        </w:rPr>
        <w:t xml:space="preserve">리스크 3: </w:t>
      </w: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챌린지 데이터 이용 조건·평가 방식 변경 가능 → 공식 규정을 프로젝트 시작 시 고정 확인</w:t>
      </w:r>
    </w:p>
    <w:p>
      <w:pPr>
        <w:pStyle w:val="Heading1"/>
        <w:pBdr>
          <w:bottom w:val="single" w:color="1F3864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의료영상 AI 편향·신뢰성 자동 평가 프레임워크</w:t>
      </w:r>
    </w:p>
    <w:p>
      <w:pPr>
        <w:spacing w:after="220" w:before="0"/>
        <w:ind w:left="0"/>
      </w:pPr>
      <w:r>
        <w:rPr>
          <w:rFonts w:ascii="Malgun Gothic" w:cs="Malgun Gothic" w:eastAsia="Malgun Gothic" w:hAnsi="Malgun Gothic"/>
          <w:i/>
          <w:iCs/>
          <w:color w:val="595959"/>
          <w:sz w:val="19"/>
          <w:szCs w:val="19"/>
        </w:rPr>
        <w:t xml:space="preserve">의료영상 AI 모델의 전체 성능뿐 아니라 연령·성별·기관·데이터셋 등 하위집단별 성능과 일반화·보정 상태를 자동 분석하는 평가 시스템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0"/>
      </w:tblGrid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배경 및 필요성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의료 AI는 전체 AUROC나 Dice가 높더라도 특정 연령·성별·기관·촬영환경에서 성능이 크게 저하될 수 있다. 실제 임상 적용 전에는 평균 성능뿐 아니라 worst-group performance, calibration, 외부 데이터 일반화 여부를 함께 확인할 필요가 있다.</w:t>
            </w:r>
          </w:p>
        </w:tc>
      </w:tr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시장조사 및 차별점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상용 의료영상 AI의 검증 연구에서도 하위집단별 성능 보고가 충분하지 않다는 지적이 지속되고 있다. 본 프로젝트는 새로운 진단 모델 개발보다 기존 모델을 다양한 subgroup과 외부 데이터에서 반복 평가하고, 동일 형식의 신뢰성 리포트를 자동 생성하는 재사용 가능한 프레임워크를 목표로 한다.</w:t>
            </w:r>
          </w:p>
        </w:tc>
      </w:tr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문제 정의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의료영상 모델과 테스트 데이터의 메타데이터를 입력하면 전체 성능, subgroup 성능 격차, worst-group 성능, calibration 및 기관/데이터셋 간 일반화 저하를 자동 계산·시각화한다.</w:t>
            </w:r>
          </w:p>
        </w:tc>
      </w:tr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데이터셋 확보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1차 구현은 demographic metadata와 disease label 확보가 가능한 공개 Chest X-ray 데이터(MIMIC-CXR 등)를 중심으로 구성하고, 가능할 경우 CheXpert/NIH/VinDr 등 외부 데이터셋을 추가한다. 접근 조건이 다른 데이터셋은 라이선스·credential 요구사항을 사전 확인한다.</w:t>
            </w:r>
          </w:p>
        </w:tc>
      </w:tr>
      <w:tr>
        <w:tc>
          <w:tcPr>
            <w:tcW w:type="dxa" w:w="17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전처리</w:t>
            </w:r>
          </w:p>
        </w:tc>
        <w:tc>
          <w:tcPr>
            <w:tcW w:type="dxa" w:w="8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질환 label 통일 → 환자 단위 분리 → age/sex/site 등 subgroup 생성 → 이미지 크기·정규화 통일 → baseline model inference → 예측값과 메타데이터 결합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2E5395"/>
          <w:sz w:val="23"/>
          <w:szCs w:val="23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  구현 기술 및 필요 기술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Baseline medical image classifier 또는 공개 pretrained model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Python 기반 평가 엔진: scikit-learn, PyTorch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Fairness/reliability metric 계산: subgroup AUROC/F1, performance gap, worst-group, ECE/Brier score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외부 데이터셋 generalization 분석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모델·데이터셋 선택형 웹 대시보드 및 자동 리포트 생성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2E5395"/>
          <w:sz w:val="23"/>
          <w:szCs w:val="23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  학습·평가 계획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전체: AUROC, AUPRC, F1, sensitivity, specificity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Subgroup: 그룹별 동일 지표 및 max-min performance gap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Reliability: ECE, Brier score, calibration curve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Generalization: internal vs external dataset 성능 저하량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통계적 불확실성: bootstrap confidence interval을 가능하면 추가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2E5395"/>
          <w:sz w:val="23"/>
          <w:szCs w:val="23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  예상 산출물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모델별 Medical AI Reliability Report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연령·성별·기관별 성능 비교 대시보드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Worst-group 및 calibration 경고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내부/외부 데이터 성능 비교 리포트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2E5395"/>
          <w:sz w:val="23"/>
          <w:szCs w:val="23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  주요 리스크 및 대응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algun Gothic" w:cs="Malgun Gothic" w:eastAsia="Malgun Gothic" w:hAnsi="Malgun Gothic"/>
          <w:b/>
          <w:bCs/>
          <w:color w:val="B02418"/>
          <w:sz w:val="20"/>
          <w:szCs w:val="20"/>
        </w:rPr>
        <w:t xml:space="preserve">리스크 1: </w:t>
      </w: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단순 subgroup 표만 만들면 연구성이 약함 → 자동화된 공통 평가 파이프라인과 표준 리포트 생성이 핵심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algun Gothic" w:cs="Malgun Gothic" w:eastAsia="Malgun Gothic" w:hAnsi="Malgun Gothic"/>
          <w:b/>
          <w:bCs/>
          <w:color w:val="B02418"/>
          <w:sz w:val="20"/>
          <w:szCs w:val="20"/>
        </w:rPr>
        <w:t xml:space="preserve">리스크 2: </w:t>
      </w: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인종 등 민감 변수는 데이터 가용성과 정의가 불일치할 수 있음 → 1차 범위는 age/sex/site 중심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algun Gothic" w:cs="Malgun Gothic" w:eastAsia="Malgun Gothic" w:hAnsi="Malgun Gothic"/>
          <w:b/>
          <w:bCs/>
          <w:color w:val="B02418"/>
          <w:sz w:val="20"/>
          <w:szCs w:val="20"/>
        </w:rPr>
        <w:t xml:space="preserve">리스크 3: </w:t>
      </w: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데이터셋 간 label 정의 차이 → 공통 질환 subset을 정하고 label mapping을 명시</w:t>
      </w:r>
    </w:p>
    <w:p>
      <w:pPr>
        <w:pStyle w:val="Heading1"/>
        <w:pBdr>
          <w:bottom w:val="single" w:color="1F3864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종합 비교 및 권고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200"/>
        <w:gridCol w:w="1300"/>
        <w:gridCol w:w="1300"/>
        <w:gridCol w:w="14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1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필요성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데이터</w:t>
            </w:r>
          </w:p>
        </w:tc>
        <w:tc>
          <w:tcPr>
            <w:tcW w:type="dxa" w:w="1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평가 명확성</w:t>
            </w:r>
          </w:p>
        </w:tc>
        <w:tc>
          <w:tcPr>
            <w:tcW w:type="dxa" w:w="1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AI·연구성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3개월 가능성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권고</w:t>
            </w:r>
          </w:p>
        </w:tc>
      </w:tr>
      <w:tr>
        <w:tc>
          <w:tcPr>
            <w:tcW w:type="dxa" w:w="2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1. 의약품 이상 패턴</w:t>
            </w:r>
          </w:p>
        </w:tc>
        <w:tc>
          <w:tcPr>
            <w:tcW w:type="dxa" w:w="13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04040"/>
                <w:sz w:val="19"/>
                <w:szCs w:val="19"/>
              </w:rPr>
              <w:t xml:space="preserve">상</w:t>
            </w:r>
          </w:p>
        </w:tc>
        <w:tc>
          <w:tcPr>
            <w:tcW w:type="dxa" w:w="12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상</w:t>
            </w:r>
          </w:p>
        </w:tc>
        <w:tc>
          <w:tcPr>
            <w:tcW w:type="dxa" w:w="13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상</w:t>
            </w:r>
          </w:p>
        </w:tc>
        <w:tc>
          <w:tcPr>
            <w:tcW w:type="dxa" w:w="13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중</w:t>
            </w:r>
          </w:p>
        </w:tc>
        <w:tc>
          <w:tcPr>
            <w:tcW w:type="dxa" w:w="14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매우 높음</w:t>
            </w:r>
          </w:p>
        </w:tc>
        <w:tc>
          <w:tcPr>
            <w:tcW w:type="dxa" w:w="16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안정적 완성 우선</w:t>
            </w:r>
          </w:p>
        </w:tc>
      </w:tr>
      <w:tr>
        <w:tc>
          <w:tcPr>
            <w:tcW w:type="dxa" w:w="2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2. EHR 변화 인계</w:t>
            </w:r>
          </w:p>
        </w:tc>
        <w:tc>
          <w:tcPr>
            <w:tcW w:type="dxa" w:w="13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04040"/>
                <w:sz w:val="19"/>
                <w:szCs w:val="19"/>
              </w:rPr>
              <w:t xml:space="preserve">매우 높음</w:t>
            </w:r>
          </w:p>
        </w:tc>
        <w:tc>
          <w:tcPr>
            <w:tcW w:type="dxa" w:w="12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중상</w:t>
            </w:r>
          </w:p>
        </w:tc>
        <w:tc>
          <w:tcPr>
            <w:tcW w:type="dxa" w:w="13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중상</w:t>
            </w:r>
          </w:p>
        </w:tc>
        <w:tc>
          <w:tcPr>
            <w:tcW w:type="dxa" w:w="13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중상</w:t>
            </w:r>
          </w:p>
        </w:tc>
        <w:tc>
          <w:tcPr>
            <w:tcW w:type="dxa" w:w="16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연구·서비스 균형</w:t>
            </w:r>
          </w:p>
        </w:tc>
      </w:tr>
      <w:tr>
        <w:tc>
          <w:tcPr>
            <w:tcW w:type="dxa" w:w="2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3. MRI+보고서 멀티모달</w:t>
            </w:r>
          </w:p>
        </w:tc>
        <w:tc>
          <w:tcPr>
            <w:tcW w:type="dxa" w:w="13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04040"/>
                <w:sz w:val="19"/>
                <w:szCs w:val="19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상</w:t>
            </w:r>
          </w:p>
        </w:tc>
        <w:tc>
          <w:tcPr>
            <w:tcW w:type="dxa" w:w="13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상</w:t>
            </w:r>
          </w:p>
        </w:tc>
        <w:tc>
          <w:tcPr>
            <w:tcW w:type="dxa" w:w="13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매우 높음</w:t>
            </w:r>
          </w:p>
        </w:tc>
        <w:tc>
          <w:tcPr>
            <w:tcW w:type="dxa" w:w="14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중</w:t>
            </w:r>
          </w:p>
        </w:tc>
        <w:tc>
          <w:tcPr>
            <w:tcW w:type="dxa" w:w="16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AI 기술성 우선</w:t>
            </w:r>
          </w:p>
        </w:tc>
      </w:tr>
      <w:tr>
        <w:tc>
          <w:tcPr>
            <w:tcW w:type="dxa" w:w="20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4. AI 편향·신뢰성 평가</w:t>
            </w:r>
          </w:p>
        </w:tc>
        <w:tc>
          <w:tcPr>
            <w:tcW w:type="dxa" w:w="13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04040"/>
                <w:sz w:val="19"/>
                <w:szCs w:val="19"/>
              </w:rPr>
              <w:t xml:space="preserve">매우 높음</w:t>
            </w:r>
          </w:p>
        </w:tc>
        <w:tc>
          <w:tcPr>
            <w:tcW w:type="dxa" w:w="12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상</w:t>
            </w:r>
          </w:p>
        </w:tc>
        <w:tc>
          <w:tcPr>
            <w:tcW w:type="dxa" w:w="13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매우 높음</w:t>
            </w:r>
          </w:p>
        </w:tc>
        <w:tc>
          <w:tcPr>
            <w:tcW w:type="dxa" w:w="13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B7C0CE" w:sz="4"/>
              <w:left w:val="single" w:color="B7C0CE" w:sz="4"/>
              <w:bottom w:val="single" w:color="B7C0CE" w:sz="4"/>
              <w:right w:val="single" w:color="B7C0CE" w:sz="4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종합 1순위 후보</w:t>
            </w:r>
          </w:p>
        </w:tc>
      </w:tr>
    </w:tbl>
    <w:p>
      <w:pP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검토 의견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완성 리스크를 최소화하려면 1번, AI 모델 개발과 최신성을 강조하려면 3번, 임상 workflow 문제와 연구성을 함께 가져가려면 2번이 적합하다. 4번은 데이터·GT·평가 구조가 비교적 명확하면서 의료 AI의 실제 적용 신뢰성이라는 문제를 다룰 수 있어, 현재 4개 후보 중 설계 프로젝트와 경진대회 양쪽을 고려한 균형이 가장 좋다.</w:t>
      </w:r>
    </w:p>
    <w:p>
      <w:pPr>
        <w:pStyle w:val="Heading1"/>
        <w:pBdr>
          <w:bottom w:val="single" w:color="1F3864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주제 확정 전 확인사항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사용 데이터의 실제 다운로드/접근 승인 여부와 라이선스를 프로젝트 시작 전에 확인한다.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모델 성능 외에 최종 사용자가 확인할 수 있는 웹 프로토타입 또는 자동 리포트를 필수 산출물로 설정한다.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의료적 판단을 직접 대체하는 표현보다 탐지·분석·의사결정 지원 범위로 기능을 명확히 제한한다.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1~2주 내 데이터 파이프라인 MVP가 만들어지지 않는 후보는 즉시 범위를 축소하거나 차순위 주제로 전환한다.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C8C8C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C8C8C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Malgun Gothic" w:cs="Malgun Gothic" w:eastAsia="Malgun Gothic" w:hAnsi="Malgun Gothic"/>
        <w:color w:val="8C8C8C"/>
        <w:sz w:val="16"/>
        <w:szCs w:val="16"/>
      </w:rPr>
      <w:t xml:space="preserve">의료IT 설계 프로젝트 주제 검토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2E539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의료IT 설계 프로젝트 주제 검토 보고서</dc:title>
  <dc:creator>Medical IT Design Project Team</dc:creator>
  <cp:lastModifiedBy>Un-named</cp:lastModifiedBy>
  <cp:revision>1</cp:revision>
  <dcterms:created xsi:type="dcterms:W3CDTF">2026-09-06T14:45:15.588Z</dcterms:created>
  <dcterms:modified xsi:type="dcterms:W3CDTF">2026-09-06T14:45:15.589Z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