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b/>
          <w:bCs/>
          <w:color w:val="1E3A5F"/>
          <w:sz w:val="28"/>
          <w:szCs w:val="28"/>
        </w:rPr>
        <w:t xml:space="preserve">건양대학교</w:t>
      </w:r>
      <w:r>
        <w:rPr>
          <w:rFonts w:ascii="맑은 고딕" w:cs="맑은 고딕" w:eastAsia="맑은 고딕" w:hAnsi="맑은 고딕"/>
          <w:color w:val="6B7A8D"/>
          <w:sz w:val="16"/>
          <w:szCs w:val="16"/>
        </w:rPr>
        <w:t xml:space="preserve">  KONYANG UNIVERSITY</w:t>
      </w:r>
    </w:p>
    <w:p/>
    <w:p/>
    <w:p/>
    <w:p>
      <w:pPr>
        <w:pBdr>
          <w:bottom w:val="single" w:color="000000" w:sz="18" w:space="1"/>
        </w:pBdr>
        <w:ind w:left="900" w:right="900"/>
      </w:pPr>
    </w:p>
    <w:p>
      <w:pPr>
        <w:spacing w:after="60" w:before="3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>위험관리계획서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>(Risk Management Plan)</w:t>
      </w:r>
    </w:p>
    <w:p>
      <w:pPr>
        <w:pBdr>
          <w:top w:val="single" w:color="000000" w:sz="18" w:space="1"/>
        </w:pBdr>
        <w:ind w:left="900" w:right="900"/>
      </w:pPr>
    </w:p>
    <w:p/>
    <w:p>
      <w:pPr>
        <w:spacing w:after="120" w:before="120"/>
        <w:jc w:val="center"/>
      </w:pPr>
      <w:r>
        <w:drawing>
          <wp:inline distT="0" distB="0" distL="0" distR="0">
            <wp:extent cx="142875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Triple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프로젝트 명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완료일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</w:tbl>
    <w:p>
      <w:pPr>
        <w:sectPr>
          <w:headerReference w:type="default" r:id="rId7"/>
          <w:footerReference w:type="default" r:id="rId8"/>
          <w:headerReference w:type="first" r:id="rId13"/>
          <w:headerReference w:type="even" r:id="rId14"/>
          <w:footerReference w:type="first" r:id="rId15"/>
          <w:footerReference w:type="even" r:id="rId1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/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800"/>
        <w:gridCol w:w="2100"/>
      </w:tblGrid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FCare(퍼케어)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상태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작성자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단계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작성완료일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승인여부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승인</w:t>
            </w:r>
          </w:p>
        </w:tc>
      </w:tr>
    </w:tbl>
    <w:p/>
    <w:p/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문서정보</w:t>
      </w:r>
    </w:p>
    <w:tbl>
      <w:tblPr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rPr>
          <w:cantSplit/>
        </w:trPr>
        <w:tc>
          <w:tcPr>
            <w:tcW w:type="dxa" w:w="78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정보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(The Information of Document)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위험관리계획서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작성자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확정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마지막 수정일</w:t>
            </w:r>
          </w:p>
        </w:tc>
        <w:tc>
          <w:tcPr>
            <w:tcW w:type="dxa" w:w="5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2026.10.29</w:t>
            </w:r>
          </w:p>
        </w:tc>
      </w:tr>
    </w:tbl>
    <w:p/>
    <w:p>
      <w:pPr>
        <w:pageBreakBefore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1.1   문서 개요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1.2   목적	4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1.3   적용 범위	4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위험관리 체계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2.1   위험관리 절차	5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2.2   위험 평가 기준	5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위험 식별 및 분석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3.1   위험 목록	6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3.2   위험 분석 결과	7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위험 대응 계획	8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위험 감시 및 통제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5.1   감시 방법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5.2   위험 발생 시 처리	9</w:t>
      </w:r>
    </w:p>
    <w:p>
      <w:pPr>
        <w:tabs>
          <w:tab w:val="right" w:pos="9300" w:leader="dot"/>
        </w:tabs>
        <w:spacing w:after="140" w:before="0"/>
        <w:ind w:left="700" w:righ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5.3   위험 관리 대장	9</w:t>
      </w:r>
    </w:p>
    <w:p>
      <w:pPr>
        <w:tabs>
          <w:tab w:val="right" w:pos="9300" w:leader="dot"/>
        </w:tabs>
        <w:spacing w:after="140" w:before="120"/>
        <w:ind w:left="300" w:right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6. 참고문헌	10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개요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1.1 문서 개요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위험은 프로젝트 목표 달성에 부정적인 영향을 줄 수 있는 불확실한 사건이다. 위험은 미리 찾아 대비할수록 실제로 일어났을 때 피해가 줄어들므로, 분석 단계에서 위험을 식별하고 대응 방안을 정해 두어야 한다.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FCare(퍼케어) 개발 과정에서 예상되는 위험을 식별·분석하고, 위험별 대응 계획과 감시 방법을 정의한다.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1.2 목적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기술·일정·요구사항·인력 등에서 발생할 수 있는 위험을 미리 파악하고 우선순위를 정하여, 위험이 프로젝트 일정과 품질에 주는 영향을 최소화하는 데 목적이 있다.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1.3 적용 범위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계획은 FCare(퍼케어) 프로젝트의 분석 단계부터 시험 단계까지 전 기간(2026.09 ~ 2026.12)에 적용하며, Triple팀 전원이 위험 식별과 보고에 참여한다.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위험관리 체계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2.1 위험관리 절차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위험 식별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분석서·심사서와 기술 전제를 검토하여 위험을 찾고 ID를 부여한다.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위험 분석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위험별 발생 가능성과 영향도를 평가하여 위험도를 계산한다.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대응 계획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위험도가 높은 순서로 대응 전략과 대응 방안을 정한다.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감시 및 통제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정기 회의에서 위험 상태를 점검하고, 새 위험을 추가하거나 대응 방안을 고친다.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2.2 위험 평가 기준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발생 가능성과 영향도를 각각 3단계로 평가하고, 둘을 곱한 값을 위험도로 한다.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3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점수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영향도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 (상)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기간 중 일어날 가능성이 매우 높음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일정이 크게 늦어지거나 핵심 기능(회복 점수)을 제공하지 못함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 (중)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일어날 수 있음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일부 기능이나 일정에 영향이 있으나 대체 방법이 있음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 (하)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일어날 가능성이 낮음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영향이 작아 계획 안에서 처리할 수 있음</w:t>
            </w:r>
          </w:p>
        </w:tc>
      </w:tr>
    </w:tbl>
    <w:p/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위험도 (가능성 × 영향도)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기준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 ~ 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즉시 대응 방안을 실행하고 매주 점검한다.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 ~ 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대응 방안을 준비하고 정기 회의에서 점검한다.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 ~ 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낮음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감시만 하고, 상황이 바뀌면 다시 평가한다.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위험 식별 및 분석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3.1 위험 목록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 분석서와 요구사항 심사서, 프로젝트 환경을 바탕으로 식별한 위험은 다음과 같다.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69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 내용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→ Samsung Health → Health Connect 동기화가 늦어 아침에 어젯밤 수면 데이터가 들어오지 않음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사용자가 Health Connect 권한을 거부하거나, Android 13에서 Health Connect 앱을 설치하지 않음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기술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워치 기종·Samsung Health 버전에 따라 수면 단계·수면 중 심박이 제공되지 않음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인력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팀원의 Kotlin·Jetpack Compose·Health Connect API 경험 부족으로 구현이 늦어짐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회복 점수 계산식의 가중치·기준값 근거가 부족해 결과가 사용자 체감과 다름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이후 요구사항 변경이 잦아 설계·구현을 다시 해야 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일정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시험·과제 등 학기 일정과 겹쳐 산출물 작성과 구현이 계획보다 늦어짐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실제 워치 착용 데이터가 부족해 회복 점수 계산을 충분히 시험하지 못함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보안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건강 데이터가 기기 밖으로 유출되거나 회복 점수 계산 외 목적으로 사용됨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형상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.docx 산출물을 여러 명이 동시에 고쳐 내용이 덮어써지거나 최신본이 헷갈림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인력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팀원 간 의사소통 부족이나 업무 공백으로 작업이 누락됨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사용자가 회복 점수를 의학적 진단처럼 받아들임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3.2 위험 분석 결과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2.2의 평가 기준에 따라 분석한 결과는 다음과 같다. 위험도가 높은 위험은 RSK-01, RSK-07(9점)과 RSK-02, RSK-04, RSK-05(6점)이다.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900"/>
        <w:gridCol w:w="19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영향도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위험도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높음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낮음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위험 대응 계획</w:t>
      </w:r>
    </w:p>
    <w:p>
      <w:pPr>
        <w:keepNext/>
        <w:keepLines/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대응 전략은 회피(원인을 없앰), 완화(가능성이나 영향을 줄임), 전가(다른 주체에게 넘김), 수용(일어나면 대처함) 중에서 정한다. 위험도가 높은 위험부터 정리하였다.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71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전략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체크인과 동시에 Health Connect를 조회하고(CHK-06), 수면 기록이 없으면 다시 불러오기와 수면 직접 입력(PRM-05)을 제공한 뒤 점수를 계산한다(HOM-07). 동기화 지연 대체 방법은 기본설계서에 구체화한다.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Project로 일정을 관리하고, 시험 기간 전후로 작업량을 조정한다. 늦어진 작업은 주간 회의에서 재배분한다.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권한 요청 전에 사용 목적을 설명하고(PRM-04), 미설치 시 스토어로 안내하며(PRM-02), 거부 시 직접 입력으로 계속 사용할 수 있게 한다(PRM-03).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전에 Health Connect 예제로 기술 검증을 먼저 하고, 계산 엔진과 연동 코드를 나누어 담당한다. 막히는 부분은 주간 회의에서 공유한다.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가중치 근거를 참고문헌으로 정리하고, 가중치·기준값을 상수로 분리해(NFR-06) 시험 결과에 따라 조정한다.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수용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없는 항목은 계산에서 빼고 남은 항목끼리 가중치를 다시 나눈다. 시험 기기에서 제공 항목을 미리 확인한다.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회피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요구사항 심사를 거친 분석서를 기준선으로 삼고, 변경은 형상관리기획서의 변경 절차(영향 분석 → 승인)를 거친다.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RSK-08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가상 데이터(예시 워치 수면 데이터)로 계산 엔진을 먼저 시험하고, 팀원이 직접 워치를 착용해 실제 데이터를 모은다.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회피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문서마다 담당자를 정해 한 번에 한 명만 수정하고, 확정본만 GitHub에 올려 기록을 남긴다.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Teams에 작업 현황을 공유하고, 주 1회 정기 회의에서 담당 업무를 확인한다.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RSK-09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회피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승인된 권한 항목만 읽고(NFR-02), 데이터는 회복 점수 계산에만 사용한다. 저장 방식은 설계 단계에서 보안을 고려해 정한다.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RSK-12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완화</w:t>
            </w:r>
          </w:p>
        </w:tc>
        <w:tc>
          <w:tcPr>
            <w:tcW w:type="dxa" w:w="7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앱과 문서에 의료기기가 아니며 진단을 대신하지 않는다는 안내를 넣는다.</w:t>
            </w:r>
          </w:p>
        </w:tc>
      </w:tr>
    </w:tbl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위험 감시 및 통제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5.1 감시 방법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주 1회 Microsoft Teams 정기 회의에서 위험 목록의 상태(발생 전 / 대응 중 / 종료)를 점검한다.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위험도가 “높음”인 위험은 매주 대응 방안의 실행 여부를 확인한다.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단계(Phase)가 끝날 때 위험 목록 전체를 다시 평가하고, 새로 생긴 위험을 추가한다.</w:t>
      </w:r>
    </w:p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5.2 위험 발생 시 처리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1. 보고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위험이 실제로 일어나면 발견한 팀원이 Teams에 바로 공유한다.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2. 대응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4장의 대응 방안을 실행하고, 필요하면 팀 회의에서 일정과 업무를 다시 나눈다.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3. 기록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위험 관리 대장에 발생 일자, 영향, 조치 내용을 기록한다.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4. 재평가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조치 후 위험도를 다시 평가하고, 같은 위험이 반복되지 않도록 대응 방안을 고친다.</w:t>
            </w:r>
          </w:p>
        </w:tc>
      </w:tr>
    </w:tbl>
    <w:p>
      <w:pPr>
        <w:pStyle w:val="Heading2"/>
        <w:keepNext/>
        <w:spacing w:after="120" w:before="280"/>
        <w:ind w:left="200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5.3 위험 관리 대장</w:t>
      </w:r>
    </w:p>
    <w:p>
      <w:pPr>
        <w:spacing w:after="120" w:line="34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위험 관리 대장은 위험 ID, 위험 내용, 위험도, 상태, 조치 내용, 최종 점검일을 기록하는 목록이며, 변경 기록은 GitHub 저장소에 남긴다.</w:t>
      </w:r>
    </w:p>
    <w:p>
      <w:pPr>
        <w:pStyle w:val="Heading1"/>
        <w:keepNext/>
        <w:pageBreakBefore/>
        <w:spacing w:after="160" w:before="12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6. 참고문헌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분석서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요구사항 심사서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FCare팀 초기 개발 기획서 v1.0.0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 창의설계 2 Triple팀 형상관리기획서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0"/>
          <w:szCs w:val="20"/>
        </w:rPr>
        <w:t xml:space="preserve">PMI, A Guide to the Project Management Body of Knowledge (PMBOK Guide) — 프로젝트 위험관리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위험관리계획서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6"/>
        <w:szCs w:val="16"/>
      </w:rPr>
      <w:ptab w:alignment="right" w:relativeTo="margin" w:leader="none"/>
      <w:t xml:space="preserve">2026 창의설계 2 Triple팀 위험관리계획서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9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1900"/>
      <w:gridCol w:w="1500"/>
      <w:gridCol w:w="1300"/>
      <w:gridCol w:w="1900"/>
    </w:tblGrid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회사명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>Triple</w:t>
          </w:r>
        </w:p>
      </w:tc>
      <w:tc>
        <w:tcPr>
          <w:tcW w:type="dxa" w:w="1500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95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작성자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문서명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위험관리계획서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책임자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  <w:tr>
      <w:trPr>
        <w:cantSplit/>
      </w:trPr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>단계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>분석</w:t>
          </w:r>
        </w:p>
      </w:tc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13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b/>
              <w:bCs/>
              <w:sz w:val="18"/>
              <w:szCs w:val="18"/>
            </w:rPr>
            <w:t xml:space="preserve">관리자</w:t>
          </w:r>
        </w:p>
      </w:tc>
      <w:tc>
        <w:tcPr>
          <w:tcW w:type="dxa" w:w="190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keepNext w:val="false"/>
            <w:jc w:val="center"/>
          </w:pPr>
          <w:r>
            <w:rPr>
              <w:rFonts w:ascii="맑은 고딕" w:cs="맑은 고딕" w:eastAsia="맑은 고딕" w:hAnsi="맑은 고딕"/>
              <w:sz w:val="18"/>
              <w:szCs w:val="18"/>
            </w:rPr>
            <w:t xml:space="preserve"/>
          </w:r>
        </w:p>
      </w:tc>
    </w:tr>
  </w:tbl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90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37363ce01492f04fd47a917b48db1cb05f117b.png"/><Relationship Id="rId12" Type="http://schemas.openxmlformats.org/officeDocument/2006/relationships/fontTable" Target="fontTable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f9af265e255c549eee9969529d63c97bed380a5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2026-09-29T04:49:01.642Z</dcterms:created>
  <dcterms:modified xsi:type="dcterms:W3CDTF">2026-09-29T04:49:01.643Z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