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26688C"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26688C"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26688C"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26688C"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26688C"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26688C"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26688C"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26688C"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594A17" w:rsidRDefault="00594A17" w:rsidP="00594A17">
      <w:pPr>
        <w:autoSpaceDE w:val="0"/>
        <w:autoSpaceDN w:val="0"/>
        <w:adjustRightInd w:val="0"/>
        <w:spacing w:after="0" w:line="240" w:lineRule="auto"/>
        <w:rPr>
          <w:rFonts w:ascii="Segoe UI" w:hAnsi="Segoe UI" w:cs="Segoe UI"/>
          <w:sz w:val="20"/>
          <w:szCs w:val="20"/>
        </w:rPr>
      </w:pPr>
    </w:p>
    <w:p w:rsidR="00594A17" w:rsidRPr="004850AA" w:rsidRDefault="00594A17" w:rsidP="00594A17">
      <w:pPr>
        <w:spacing w:after="0" w:line="240" w:lineRule="auto"/>
        <w:rPr>
          <w:rFonts w:ascii="BRH Devanagari" w:hAnsi="BRH Devanagari" w:cs="Calibri"/>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94A17" w:rsidRPr="001A334A"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Default="00594A17" w:rsidP="00594A17">
      <w:pPr>
        <w:spacing w:after="0" w:line="240" w:lineRule="auto"/>
        <w:rPr>
          <w:rFonts w:ascii="Arial" w:hAnsi="Arial" w:cs="Arial"/>
          <w:color w:val="000000"/>
          <w:sz w:val="36"/>
          <w:szCs w:val="36"/>
        </w:rPr>
      </w:pPr>
      <w:bookmarkStart w:id="33" w:name="_GoBack"/>
      <w:bookmarkEnd w:id="33"/>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A45AF" w:rsidRDefault="005A45AF" w:rsidP="00594A17">
      <w:pPr>
        <w:ind w:firstLine="720"/>
        <w:jc w:val="center"/>
        <w:rPr>
          <w:rFonts w:ascii="Arial" w:hAnsi="Arial" w:cs="Arial"/>
          <w:b/>
          <w:color w:val="000000"/>
          <w:sz w:val="36"/>
          <w:szCs w:val="36"/>
        </w:rPr>
      </w:pPr>
      <w:r>
        <w:rPr>
          <w:rFonts w:ascii="Arial" w:hAnsi="Arial" w:cs="Arial"/>
          <w:b/>
          <w:color w:val="000000"/>
          <w:sz w:val="36"/>
          <w:szCs w:val="36"/>
        </w:rPr>
        <w:t>==========</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88C" w:rsidRDefault="0026688C" w:rsidP="00F53481">
      <w:pPr>
        <w:spacing w:after="0" w:line="240" w:lineRule="auto"/>
      </w:pPr>
      <w:r>
        <w:separator/>
      </w:r>
    </w:p>
  </w:endnote>
  <w:endnote w:type="continuationSeparator" w:id="0">
    <w:p w:rsidR="0026688C" w:rsidRDefault="0026688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66DDD">
      <w:rPr>
        <w:rFonts w:ascii="Arial" w:hAnsi="Arial" w:cs="Arial"/>
        <w:b/>
        <w:bCs/>
        <w:noProof/>
        <w:sz w:val="28"/>
        <w:szCs w:val="28"/>
      </w:rPr>
      <w:t>44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66DDD">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66DDD">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66DDD">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88C" w:rsidRDefault="0026688C" w:rsidP="00F53481">
      <w:pPr>
        <w:spacing w:after="0" w:line="240" w:lineRule="auto"/>
      </w:pPr>
      <w:r>
        <w:separator/>
      </w:r>
    </w:p>
  </w:footnote>
  <w:footnote w:type="continuationSeparator" w:id="0">
    <w:p w:rsidR="0026688C" w:rsidRDefault="0026688C"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85E47-C0BF-4211-8482-D242EF55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47</Pages>
  <Words>5541</Words>
  <Characters>31585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369</cp:revision>
  <cp:lastPrinted>2020-12-11T18:02:00Z</cp:lastPrinted>
  <dcterms:created xsi:type="dcterms:W3CDTF">2020-09-21T11:38:00Z</dcterms:created>
  <dcterms:modified xsi:type="dcterms:W3CDTF">2021-04-13T15:56:00Z</dcterms:modified>
</cp:coreProperties>
</file>