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w:t>
      </w:r>
      <w:proofErr w:type="gramStart"/>
      <w:r w:rsidRPr="00A36A37">
        <w:rPr>
          <w:rFonts w:ascii="BRH Devanagari Extra" w:hAnsi="BRH Devanagari Extra" w:cs="BRH Devanagari Extra"/>
          <w:color w:val="FF0000"/>
          <w:sz w:val="36"/>
          <w:szCs w:val="40"/>
        </w:rPr>
        <w:t xml:space="preserve">-  </w:t>
      </w:r>
      <w:r w:rsidR="006D3DBD" w:rsidRPr="00A36A37">
        <w:rPr>
          <w:rFonts w:ascii="BRH Devanagari Extra" w:eastAsiaTheme="minorHAnsi" w:hAnsi="BRH Devanagari Extra" w:cs="BRH Devanagari Extra"/>
          <w:color w:val="000000"/>
          <w:sz w:val="40"/>
          <w:szCs w:val="40"/>
          <w:lang w:eastAsia="en-US" w:bidi="ar-SA"/>
        </w:rPr>
        <w:t>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AÉ AÉýWûý AÉýWûý AÉ ÌWû ÌWû AÉ AÉýWûý  AÉýWûý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0D2532">
      <w:pP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lastRenderedPageBreak/>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09689B02" w14:textId="113B5D57" w:rsidR="007E689E"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E07CB4">
        <w:rPr>
          <w:rFonts w:ascii="Arial" w:hAnsi="Arial" w:cs="Arial"/>
          <w:sz w:val="32"/>
          <w:szCs w:val="40"/>
          <w:lang w:val="it-IT" w:bidi="ar-SA"/>
        </w:rPr>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39AC52C7" w14:textId="4057D04E" w:rsidR="00D166A0" w:rsidRPr="00E07CB4" w:rsidRDefault="002B6213" w:rsidP="000D2532">
      <w:pPr>
        <w:autoSpaceDE w:val="0"/>
        <w:autoSpaceDN w:val="0"/>
        <w:adjustRightInd w:val="0"/>
        <w:spacing w:after="0" w:line="252" w:lineRule="auto"/>
        <w:rPr>
          <w:rStyle w:val="NoSpacingChar"/>
          <w:rFonts w:eastAsiaTheme="minorHAnsi"/>
          <w:lang w:val="it-IT"/>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 xml:space="preserve">AmÉþ CýiÉý CýiÉý AmÉþ AmÉþ CýiÉý CÌiÉþ CÌiÉþ CýiÉý AmÉþ AmÉþ CýiÉý CÌiÉþ | </w:t>
      </w:r>
      <w:r w:rsidR="00D166A0" w:rsidRPr="00E07CB4">
        <w:rPr>
          <w:rStyle w:val="NoSpacingChar"/>
          <w:rFonts w:eastAsiaTheme="minorHAnsi"/>
          <w:lang w:val="it-IT"/>
        </w:rPr>
        <w:t xml:space="preserve">  </w:t>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1A1D078F" w14:textId="0D870E6D"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CýiÉý CÌiÉþ CÌiÉþ CýiÉý CýiÉý CÌiÉþ AýSèkrÉuÉþxÉÉrÉrÉÌiÉ AýSèkrÉuÉþxÉÉrÉrÉÌiÉ CÌiÉþ CýiÉý CýiÉý CÌiÉþ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lastRenderedPageBreak/>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222ECB97" w14:textId="3C06323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2B6AA02E" w14:textId="206857A9" w:rsidR="005B2C02" w:rsidRPr="003B405C"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035126F" w14:textId="2CC09824"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Pr="003B405C"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576319B5" w14:textId="5BB5FB98"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D64888">
      <w:pP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0516021E" w14:textId="729B328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6EEE7EC" w14:textId="0E560F5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lastRenderedPageBreak/>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141C49">
      <w:pP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lastRenderedPageBreak/>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lastRenderedPageBreak/>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37E90084"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36AF1382" w14:textId="77777777" w:rsidR="00BB16FE" w:rsidRPr="005272FA" w:rsidRDefault="00BB16FE" w:rsidP="00BB16FE">
      <w:pPr>
        <w:widowControl w:val="0"/>
        <w:autoSpaceDE w:val="0"/>
        <w:autoSpaceDN w:val="0"/>
        <w:adjustRightInd w:val="0"/>
        <w:spacing w:after="0" w:line="252" w:lineRule="auto"/>
        <w:jc w:val="both"/>
        <w:rPr>
          <w:rFonts w:ascii="Arial" w:hAnsi="Arial" w:cs="Arial"/>
          <w:b/>
          <w:bCs/>
          <w:sz w:val="32"/>
          <w:szCs w:val="32"/>
          <w:lang w:val="en-US"/>
        </w:rPr>
      </w:pP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lastRenderedPageBreak/>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Default="005B4ABD" w:rsidP="005B4ABD">
      <w:pPr>
        <w:autoSpaceDE w:val="0"/>
        <w:autoSpaceDN w:val="0"/>
        <w:adjustRightInd w:val="0"/>
        <w:spacing w:after="0" w:line="240" w:lineRule="auto"/>
        <w:rPr>
          <w:rFonts w:ascii="Arial" w:hAnsi="Arial" w:cs="Arial"/>
          <w:sz w:val="32"/>
          <w:szCs w:val="40"/>
          <w:lang w:bidi="ar-SA"/>
        </w:rPr>
      </w:pPr>
    </w:p>
    <w:p w14:paraId="5445450B" w14:textId="796A5120" w:rsidR="005B4ABD" w:rsidRDefault="0062121B"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2047A3">
        <w:rPr>
          <w:rFonts w:ascii="Arial" w:hAnsi="Arial" w:cs="Arial"/>
          <w:sz w:val="32"/>
          <w:szCs w:val="32"/>
          <w:lang w:val="en-US"/>
        </w:rPr>
        <w:t xml:space="preserve">- </w:t>
      </w:r>
      <w:r w:rsidR="005B4ABD" w:rsidRPr="005B4ABD">
        <w:rPr>
          <w:rFonts w:ascii="BRH Devanagari" w:eastAsiaTheme="minorHAnsi" w:hAnsi="BRH Devanagari" w:cs="BRH Devanagari"/>
          <w:color w:val="FF0000"/>
          <w:sz w:val="40"/>
          <w:szCs w:val="40"/>
          <w:highlight w:val="green"/>
          <w:lang w:eastAsia="en-US" w:bidi="hi-IN"/>
        </w:rPr>
        <w:t>ÍzÉuÉÉå AxqÉprÉqÉç</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2D52B8AE" w14:textId="77777777" w:rsidR="00DF06C6"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4A68A164" w14:textId="77777777" w:rsidR="00DF06C6"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5D961CB6" w14:textId="77777777" w:rsidR="00DF06C6" w:rsidRPr="00545727"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w:t>
      </w:r>
      <w:proofErr w:type="gramStart"/>
      <w:r w:rsidR="00557CE7" w:rsidRPr="00F21BC0">
        <w:rPr>
          <w:rFonts w:ascii="BRH Devanagari Extra" w:hAnsi="BRH Devanagari Extra" w:cs="BRH Devanagari Extra"/>
          <w:b/>
          <w:sz w:val="40"/>
          <w:szCs w:val="40"/>
          <w:lang w:bidi="ar-SA"/>
        </w:rPr>
        <w:t xml:space="preserve">-  </w:t>
      </w:r>
      <w:r w:rsidR="00557CE7" w:rsidRPr="00F21BC0">
        <w:rPr>
          <w:rFonts w:ascii="Arial" w:hAnsi="Arial" w:cs="Arial"/>
          <w:bCs/>
          <w:sz w:val="32"/>
          <w:szCs w:val="32"/>
          <w:lang w:val="en-US"/>
        </w:rPr>
        <w:t>TS</w:t>
      </w:r>
      <w:proofErr w:type="gramEnd"/>
      <w:r w:rsidR="00557CE7" w:rsidRPr="00F21BC0">
        <w:rPr>
          <w:rFonts w:ascii="Arial" w:hAnsi="Arial" w:cs="Arial"/>
          <w:bCs/>
          <w:sz w:val="32"/>
          <w:szCs w:val="32"/>
          <w:lang w:val="en-US"/>
        </w:rPr>
        <w:t xml:space="preserve">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bÉlÉmÉÔuÉï mÉSÉÌlÉ</w:t>
      </w:r>
      <w:proofErr w:type="gramStart"/>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AÉ</w:t>
      </w:r>
      <w:proofErr w:type="gramEnd"/>
      <w:r w:rsidR="00D72F72" w:rsidRPr="002F20A2">
        <w:rPr>
          <w:rFonts w:ascii="BRH Devanagari Extra" w:eastAsiaTheme="minorHAnsi" w:hAnsi="BRH Devanagari Extra" w:cs="BRH Devanagari Extra"/>
          <w:color w:val="000000"/>
          <w:sz w:val="40"/>
          <w:szCs w:val="40"/>
          <w:lang w:eastAsia="en-US" w:bidi="ar-SA"/>
        </w:rPr>
        <w:t xml:space="preserve">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w:t>
      </w:r>
      <w:proofErr w:type="gramStart"/>
      <w:r w:rsidRPr="003F4BBD">
        <w:rPr>
          <w:rFonts w:ascii="BRH Devanagari Extra" w:hAnsi="BRH Devanagari Extra" w:cs="BRH Devanagari Extra"/>
          <w:color w:val="FF0000"/>
          <w:sz w:val="36"/>
          <w:szCs w:val="40"/>
        </w:rPr>
        <w:t xml:space="preserve">-  </w:t>
      </w:r>
      <w:r w:rsidR="00930720" w:rsidRPr="003F4BBD">
        <w:rPr>
          <w:rFonts w:ascii="BRH Devanagari" w:eastAsiaTheme="minorHAnsi" w:hAnsi="BRH Devanagari" w:cs="BRH Devanagari"/>
          <w:color w:val="000000"/>
          <w:sz w:val="40"/>
          <w:szCs w:val="40"/>
          <w:lang w:eastAsia="en-US" w:bidi="ar-SA"/>
        </w:rPr>
        <w:t>AÎalÉqÉç</w:t>
      </w:r>
      <w:proofErr w:type="gramEnd"/>
      <w:r w:rsidR="00930720" w:rsidRPr="003F4BBD">
        <w:rPr>
          <w:rFonts w:ascii="BRH Devanagari" w:eastAsiaTheme="minorHAnsi" w:hAnsi="BRH Devanagari" w:cs="BRH Devanagari"/>
          <w:color w:val="000000"/>
          <w:sz w:val="40"/>
          <w:szCs w:val="40"/>
          <w:lang w:eastAsia="en-US" w:bidi="ar-SA"/>
        </w:rPr>
        <w:t xml:space="preserve">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lastRenderedPageBreak/>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lastRenderedPageBreak/>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02E6" w14:textId="77777777" w:rsidR="008A74EB" w:rsidRDefault="008A74EB" w:rsidP="00F53481">
      <w:pPr>
        <w:spacing w:after="0" w:line="240" w:lineRule="auto"/>
      </w:pPr>
      <w:r>
        <w:separator/>
      </w:r>
    </w:p>
  </w:endnote>
  <w:endnote w:type="continuationSeparator" w:id="0">
    <w:p w14:paraId="3F50D436" w14:textId="77777777" w:rsidR="008A74EB" w:rsidRDefault="008A74E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0BC7" w14:textId="77777777" w:rsidR="008A74EB" w:rsidRDefault="008A74EB" w:rsidP="00F53481">
      <w:pPr>
        <w:spacing w:after="0" w:line="240" w:lineRule="auto"/>
      </w:pPr>
      <w:r>
        <w:separator/>
      </w:r>
    </w:p>
  </w:footnote>
  <w:footnote w:type="continuationSeparator" w:id="0">
    <w:p w14:paraId="6BB41DB7" w14:textId="77777777" w:rsidR="008A74EB" w:rsidRDefault="008A74E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3832"/>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61</Pages>
  <Words>7122</Words>
  <Characters>40599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323</cp:revision>
  <cp:lastPrinted>2021-07-16T11:26:00Z</cp:lastPrinted>
  <dcterms:created xsi:type="dcterms:W3CDTF">2021-02-19T06:45:00Z</dcterms:created>
  <dcterms:modified xsi:type="dcterms:W3CDTF">2023-05-04T15:36:00Z</dcterms:modified>
</cp:coreProperties>
</file>