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133</Pages>
  <Words>36282</Words>
  <Characters>206814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98</cp:revision>
  <dcterms:created xsi:type="dcterms:W3CDTF">2022-10-02T14:43:00Z</dcterms:created>
  <dcterms:modified xsi:type="dcterms:W3CDTF">2022-10-22T10:23:00Z</dcterms:modified>
</cp:coreProperties>
</file>