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2DF10D9" w14:textId="77777777" w:rsidR="00132544" w:rsidRDefault="00132544" w:rsidP="0013254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296224E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4AF037F" w14:textId="77777777" w:rsidR="00132544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925EDF6" w14:textId="77777777" w:rsidR="00132544" w:rsidRPr="002F55B0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</w:p>
    <w:p w14:paraId="7F26D380" w14:textId="77777777" w:rsidR="00132544" w:rsidRPr="002F55B0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F8CCD3D" w14:textId="77777777" w:rsidR="00132544" w:rsidRPr="002F55B0" w:rsidRDefault="00132544" w:rsidP="00132544">
      <w:pPr>
        <w:ind w:left="360"/>
        <w:rPr>
          <w:rFonts w:cs="Arial"/>
          <w:sz w:val="28"/>
          <w:szCs w:val="28"/>
          <w:lang w:bidi="ta-IN"/>
        </w:rPr>
      </w:pPr>
    </w:p>
    <w:p w14:paraId="27AA5AD4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founds in this version .</w:t>
      </w:r>
    </w:p>
    <w:p w14:paraId="4D6B3D4C" w14:textId="77777777" w:rsidR="00132544" w:rsidRDefault="00132544" w:rsidP="00132544">
      <w:pPr>
        <w:pStyle w:val="ListParagraph"/>
        <w:rPr>
          <w:rFonts w:cs="Arial"/>
          <w:sz w:val="28"/>
          <w:szCs w:val="28"/>
          <w:lang w:bidi="ta-IN"/>
        </w:rPr>
      </w:pPr>
    </w:p>
    <w:p w14:paraId="261B74FD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3C25D" w14:textId="77777777" w:rsidR="00132544" w:rsidRDefault="00132544" w:rsidP="00132544">
      <w:pPr>
        <w:pStyle w:val="NoSpacing"/>
        <w:rPr>
          <w:lang w:bidi="ta-IN"/>
        </w:rPr>
      </w:pPr>
    </w:p>
    <w:p w14:paraId="3C2422F5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5DDB2F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AE6D2C" w14:textId="77777777" w:rsidR="00132544" w:rsidRPr="00273080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9EF55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4B36177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52E1CFE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51B3F67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15C011A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A2FC24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AFC5AD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63F3F90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086899B9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00037DC4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473603">
        <w:rPr>
          <w:rFonts w:cs="Arial"/>
          <w:b/>
          <w:bCs/>
          <w:sz w:val="28"/>
          <w:szCs w:val="28"/>
        </w:rPr>
        <w:t>( )</w:t>
      </w:r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 xml:space="preserve">.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2918DA5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0143E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5FD3" w14:textId="23768E7E" w:rsidR="00A05356" w:rsidRPr="00473603" w:rsidRDefault="00A05356" w:rsidP="0030143E">
      <w:pPr>
        <w:autoSpaceDE w:val="0"/>
        <w:autoSpaceDN w:val="0"/>
        <w:adjustRightInd w:val="0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bookmarkStart w:id="2" w:name="_Hlk173599633"/>
      <w:r w:rsidR="0030143E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…¡û</w:t>
      </w:r>
      <w:bookmarkEnd w:id="2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3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3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4EC735CE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ç.ÌWûÌwÉþ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Pr="00E0442B">
        <w:rPr>
          <w:rFonts w:ascii="BRH Devanagari Extra" w:hAnsi="BRH Devanagari Extra" w:cs="BRH Devanagari Extra"/>
          <w:sz w:val="40"/>
          <w:szCs w:val="40"/>
        </w:rPr>
        <w:t>ÉrÉþ xÉÑ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ÎqlÉ</w:t>
      </w:r>
      <w:r w:rsidRPr="00E0442B">
        <w:rPr>
          <w:rFonts w:ascii="BRH Devanagari Extra" w:hAnsi="BRH Devanagari Extra" w:cs="BRH Devanagari Extra"/>
          <w:sz w:val="40"/>
          <w:szCs w:val="40"/>
        </w:rPr>
        <w:t>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[ ]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AÉ 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First and Last Padam of First Prasnam :-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BD120" w14:textId="77777777" w:rsidR="006862EC" w:rsidRDefault="006862EC" w:rsidP="00A05356">
      <w:r>
        <w:separator/>
      </w:r>
    </w:p>
  </w:endnote>
  <w:endnote w:type="continuationSeparator" w:id="0">
    <w:p w14:paraId="239B91DE" w14:textId="77777777" w:rsidR="006862EC" w:rsidRDefault="006862EC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4979" w14:textId="5982A38A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 w:rsidR="00B507F3">
      <w:rPr>
        <w:rFonts w:cs="Arial"/>
        <w:b/>
        <w:bCs/>
        <w:sz w:val="32"/>
        <w:szCs w:val="32"/>
      </w:rPr>
      <w:t>0</w:t>
    </w:r>
    <w:r w:rsidR="00AD0347" w:rsidRPr="00AD0347">
      <w:rPr>
        <w:rFonts w:cs="Arial"/>
        <w:b/>
        <w:bCs/>
        <w:sz w:val="32"/>
        <w:szCs w:val="32"/>
      </w:rPr>
      <w:t>, 202</w:t>
    </w:r>
    <w:r w:rsidR="00B507F3">
      <w:rPr>
        <w:rFonts w:cs="Arial"/>
        <w:b/>
        <w:bCs/>
        <w:sz w:val="32"/>
        <w:szCs w:val="32"/>
      </w:rPr>
      <w:t>4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2331A" w14:textId="77777777" w:rsidR="006862EC" w:rsidRDefault="006862EC" w:rsidP="00A05356">
      <w:r>
        <w:separator/>
      </w:r>
    </w:p>
  </w:footnote>
  <w:footnote w:type="continuationSeparator" w:id="0">
    <w:p w14:paraId="5E11FA39" w14:textId="77777777" w:rsidR="006862EC" w:rsidRDefault="006862EC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143E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28A9"/>
    <w:rsid w:val="0037486E"/>
    <w:rsid w:val="003877F6"/>
    <w:rsid w:val="0039112F"/>
    <w:rsid w:val="003A2528"/>
    <w:rsid w:val="003B0BB6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2462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8607B"/>
    <w:rsid w:val="006862EC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0240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3729"/>
    <w:rsid w:val="008F592E"/>
    <w:rsid w:val="008F7F80"/>
    <w:rsid w:val="00905B14"/>
    <w:rsid w:val="00921720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069D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4ECE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48</Pages>
  <Words>7052</Words>
  <Characters>40197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47155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46</cp:revision>
  <cp:lastPrinted>2024-06-07T09:24:00Z</cp:lastPrinted>
  <dcterms:created xsi:type="dcterms:W3CDTF">2021-02-08T01:40:00Z</dcterms:created>
  <dcterms:modified xsi:type="dcterms:W3CDTF">2024-09-08T04:45:00Z</dcterms:modified>
</cp:coreProperties>
</file>