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F7023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</w:t>
      </w:r>
      <w:proofErr w:type="gramEnd"/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gramStart"/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proofErr w:type="gramStart"/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proofErr w:type="gramStart"/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210C6" w14:textId="77777777" w:rsidR="00DC74F2" w:rsidRDefault="00DC74F2" w:rsidP="00135976">
      <w:pPr>
        <w:spacing w:after="0" w:line="240" w:lineRule="auto"/>
      </w:pPr>
      <w:r>
        <w:separator/>
      </w:r>
    </w:p>
  </w:endnote>
  <w:endnote w:type="continuationSeparator" w:id="0">
    <w:p w14:paraId="6E1CAF71" w14:textId="77777777" w:rsidR="00DC74F2" w:rsidRDefault="00DC74F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34C42" w14:textId="77777777" w:rsidR="00DC74F2" w:rsidRDefault="00DC74F2" w:rsidP="00135976">
      <w:pPr>
        <w:spacing w:after="0" w:line="240" w:lineRule="auto"/>
      </w:pPr>
      <w:r>
        <w:separator/>
      </w:r>
    </w:p>
  </w:footnote>
  <w:footnote w:type="continuationSeparator" w:id="0">
    <w:p w14:paraId="6ABF99B4" w14:textId="77777777" w:rsidR="00DC74F2" w:rsidRDefault="00DC74F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5927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56CA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E0A5A"/>
    <w:rsid w:val="002E0E86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30BD"/>
    <w:rsid w:val="003978E2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5C2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52D8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176</Pages>
  <Words>24304</Words>
  <Characters>138537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162516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2019-12-19T17:11:00Z</cp:lastPrinted>
  <dcterms:created xsi:type="dcterms:W3CDTF">2021-02-07T02:21:00Z</dcterms:created>
  <dcterms:modified xsi:type="dcterms:W3CDTF">2024-08-31T01:25:00Z</dcterms:modified>
</cp:coreProperties>
</file>