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3B984" w14:textId="77777777" w:rsidR="00800026" w:rsidRDefault="00800026" w:rsidP="004F77FF">
      <w:r>
        <w:separator/>
      </w:r>
    </w:p>
  </w:endnote>
  <w:endnote w:type="continuationSeparator" w:id="0">
    <w:p w14:paraId="4B456985" w14:textId="77777777" w:rsidR="00800026" w:rsidRDefault="0080002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A38A" w14:textId="77777777" w:rsidR="00800026" w:rsidRDefault="00800026" w:rsidP="004F77FF">
      <w:r>
        <w:separator/>
      </w:r>
    </w:p>
  </w:footnote>
  <w:footnote w:type="continuationSeparator" w:id="0">
    <w:p w14:paraId="2C60C9D8" w14:textId="77777777" w:rsidR="00800026" w:rsidRDefault="0080002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08DA"/>
    <w:rsid w:val="009E1822"/>
    <w:rsid w:val="009E24A6"/>
    <w:rsid w:val="009F34E5"/>
    <w:rsid w:val="009F6126"/>
    <w:rsid w:val="00A00A3B"/>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238</Pages>
  <Words>23225</Words>
  <Characters>132385</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155300</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89</cp:revision>
  <cp:lastPrinted>2023-02-18T11:38:00Z</cp:lastPrinted>
  <dcterms:created xsi:type="dcterms:W3CDTF">2021-02-07T12:30:00Z</dcterms:created>
  <dcterms:modified xsi:type="dcterms:W3CDTF">2023-09-17T08:19:00Z</dcterms:modified>
</cp:coreProperties>
</file>