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333A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dhadhAmi’.The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="00296EDA" w:rsidRPr="00993F2E">
          <w:rPr>
            <w:rStyle w:val="Hyperlink"/>
            <w:sz w:val="32"/>
            <w:szCs w:val="32"/>
          </w:rPr>
          <w:t>1.1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_Toc116669877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="00296EDA" w:rsidRPr="00993F2E">
          <w:rPr>
            <w:rStyle w:val="Hyperlink"/>
            <w:sz w:val="32"/>
            <w:szCs w:val="32"/>
          </w:rPr>
          <w:t>1.2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_Toc116669878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="00296EDA" w:rsidRPr="00993F2E">
          <w:rPr>
            <w:rStyle w:val="Hyperlink"/>
            <w:sz w:val="32"/>
            <w:szCs w:val="32"/>
          </w:rPr>
          <w:t>1.3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_Toc116669879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="00296EDA" w:rsidRPr="00993F2E">
          <w:rPr>
            <w:rStyle w:val="Hyperlink"/>
            <w:sz w:val="32"/>
            <w:szCs w:val="32"/>
          </w:rPr>
          <w:t>1.4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_Toc116669880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="00296EDA" w:rsidRPr="00993F2E">
          <w:rPr>
            <w:rStyle w:val="Hyperlink"/>
            <w:sz w:val="32"/>
            <w:szCs w:val="32"/>
          </w:rPr>
          <w:t>1.5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_Toc116669881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000000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="00296EDA"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="00296EDA" w:rsidRPr="00993F2E">
          <w:rPr>
            <w:rStyle w:val="Hyperlink"/>
            <w:sz w:val="32"/>
            <w:szCs w:val="32"/>
          </w:rPr>
          <w:t>1.8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_Toc116669884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="00296EDA" w:rsidRPr="00993F2E">
          <w:rPr>
            <w:rStyle w:val="Hyperlink"/>
            <w:sz w:val="32"/>
            <w:szCs w:val="32"/>
          </w:rPr>
          <w:t>1.9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_Toc116669885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000000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="00296EDA" w:rsidRPr="00993F2E">
          <w:rPr>
            <w:rStyle w:val="Hyperlink"/>
            <w:sz w:val="32"/>
            <w:szCs w:val="32"/>
          </w:rPr>
          <w:t>1.10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_Toc116669886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="00296EDA" w:rsidRPr="00993F2E">
          <w:rPr>
            <w:rStyle w:val="Hyperlink"/>
            <w:sz w:val="32"/>
            <w:szCs w:val="32"/>
          </w:rPr>
          <w:t>1.11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000000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="00296EDA" w:rsidRPr="00993F2E">
          <w:rPr>
            <w:rStyle w:val="Hyperlink"/>
            <w:sz w:val="32"/>
            <w:szCs w:val="32"/>
          </w:rPr>
          <w:t>1.12</w:t>
        </w:r>
        <w:r w:rsidR="00296EDA" w:rsidRPr="00993F2E">
          <w:rPr>
            <w:rStyle w:val="Hyperlink"/>
            <w:sz w:val="32"/>
            <w:szCs w:val="32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="00296EDA" w:rsidRPr="00993F2E">
          <w:rPr>
            <w:rStyle w:val="Hyperlink"/>
            <w:webHidden/>
            <w:sz w:val="32"/>
            <w:szCs w:val="32"/>
          </w:rPr>
          <w:tab/>
        </w:r>
        <w:r w:rsidR="00296EDA" w:rsidRPr="00993F2E">
          <w:rPr>
            <w:rStyle w:val="Hyperlink"/>
            <w:webHidden/>
            <w:sz w:val="32"/>
            <w:szCs w:val="32"/>
          </w:rPr>
          <w:fldChar w:fldCharType="begin"/>
        </w:r>
        <w:r w:rsidR="00296EDA"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="00296EDA" w:rsidRPr="00993F2E">
          <w:rPr>
            <w:rStyle w:val="Hyperlink"/>
            <w:webHidden/>
            <w:sz w:val="32"/>
            <w:szCs w:val="32"/>
          </w:rPr>
        </w:r>
        <w:r w:rsidR="00296EDA"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="00296EDA"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000000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="00296EDA" w:rsidRPr="00993F2E">
          <w:rPr>
            <w:rStyle w:val="Hyperlink"/>
            <w:sz w:val="32"/>
            <w:szCs w:val="32"/>
          </w:rPr>
          <w:t>1.13</w:t>
        </w:r>
        <w:r w:rsidR="00296EDA"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="00296EDA" w:rsidRPr="00993F2E">
          <w:rPr>
            <w:webHidden/>
            <w:sz w:val="32"/>
            <w:szCs w:val="32"/>
          </w:rPr>
          <w:tab/>
        </w:r>
        <w:r w:rsidR="00296EDA" w:rsidRPr="00993F2E">
          <w:rPr>
            <w:webHidden/>
            <w:sz w:val="32"/>
            <w:szCs w:val="32"/>
          </w:rPr>
          <w:fldChar w:fldCharType="begin"/>
        </w:r>
        <w:r w:rsidR="00296EDA" w:rsidRPr="00993F2E">
          <w:rPr>
            <w:webHidden/>
            <w:sz w:val="32"/>
            <w:szCs w:val="32"/>
          </w:rPr>
          <w:instrText xml:space="preserve"> PAGEREF _Toc116669889 \h </w:instrText>
        </w:r>
        <w:r w:rsidR="00296EDA" w:rsidRPr="00993F2E">
          <w:rPr>
            <w:webHidden/>
            <w:sz w:val="32"/>
            <w:szCs w:val="32"/>
          </w:rPr>
        </w:r>
        <w:r w:rsidR="00296EDA"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="00296EDA"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333A9E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131DCFFC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C54B7D" w:rsidRPr="005F1D9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2BF0AB19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62D34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333A9E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6523680F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ÌSÌSeÉç eÉaÉþS </w:t>
      </w:r>
    </w:p>
    <w:p w14:paraId="1A5C01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uÉ×hÉMçü 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410DB9C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| </w:t>
      </w:r>
    </w:p>
    <w:p w14:paraId="41E96C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uÉ×þhÉ£Ñü 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</w:t>
      </w:r>
      <w:r w:rsidRPr="00397F25">
        <w:rPr>
          <w:rFonts w:ascii="BRH Devanagari Extra" w:hAnsi="BRH Devanagari Extra" w:cs="BRH Devanagari Extra"/>
          <w:sz w:val="40"/>
          <w:szCs w:val="40"/>
          <w:highlight w:val="red"/>
          <w:lang w:val="it-IT"/>
        </w:rPr>
        <w:t>lÉç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333A9E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5C0907E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070E199D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</w:t>
      </w:r>
      <w:r w:rsidR="000E6045" w:rsidRPr="00933F4E">
        <w:rPr>
          <w:rFonts w:ascii="BRH Devanagari Extra" w:hAnsi="BRH Devanagari Extra" w:cs="BRH Devanagari Extra"/>
          <w:sz w:val="40"/>
          <w:szCs w:val="40"/>
        </w:rPr>
        <w:t>þ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947363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92E4B18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D21EC4" w14:textId="1DF30D10" w:rsidR="00A64D22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048D9B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333A9E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333A9E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3FBD4055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112013" w:rsidRPr="00B46177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lÉqÉÉ</w:t>
      </w:r>
      <w:r w:rsidR="00112013" w:rsidRPr="00B46177">
        <w:rPr>
          <w:rFonts w:ascii="BRH Malayalam Extra" w:hAnsi="BRH Malayalam Extra" w:cs="BRH Devanagari Extra"/>
          <w:sz w:val="32"/>
          <w:szCs w:val="40"/>
          <w:highlight w:val="green"/>
          <w:lang w:val="it-IT"/>
        </w:rPr>
        <w:t>–</w:t>
      </w:r>
      <w:r w:rsidR="001120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333A9E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333A9E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333A9E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333A9E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333A9E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333A9E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333A9E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333A9E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333A9E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</w:t>
      </w:r>
      <w:proofErr w:type="gramStart"/>
      <w:r w:rsidR="00A2623A" w:rsidRPr="001824A6">
        <w:rPr>
          <w:rFonts w:ascii="Arial" w:hAnsi="Arial" w:cs="Arial"/>
          <w:sz w:val="28"/>
          <w:szCs w:val="28"/>
          <w:lang w:bidi="ml-IN"/>
        </w:rPr>
        <w:t>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proofErr w:type="gramEnd"/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333A9E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2455" w14:textId="77777777" w:rsidR="00333A9E" w:rsidRDefault="00333A9E" w:rsidP="00135976">
      <w:pPr>
        <w:spacing w:after="0" w:line="240" w:lineRule="auto"/>
      </w:pPr>
      <w:r>
        <w:separator/>
      </w:r>
    </w:p>
  </w:endnote>
  <w:endnote w:type="continuationSeparator" w:id="0">
    <w:p w14:paraId="0A377237" w14:textId="77777777" w:rsidR="00333A9E" w:rsidRDefault="00333A9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5D3D" w14:textId="77777777" w:rsidR="00333A9E" w:rsidRDefault="00333A9E" w:rsidP="00135976">
      <w:pPr>
        <w:spacing w:after="0" w:line="240" w:lineRule="auto"/>
      </w:pPr>
      <w:r>
        <w:separator/>
      </w:r>
    </w:p>
  </w:footnote>
  <w:footnote w:type="continuationSeparator" w:id="0">
    <w:p w14:paraId="2CBCDA67" w14:textId="77777777" w:rsidR="00333A9E" w:rsidRDefault="00333A9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6045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013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A9E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2D34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4D2E"/>
    <w:rsid w:val="0095613A"/>
    <w:rsid w:val="009562CE"/>
    <w:rsid w:val="00960CF3"/>
    <w:rsid w:val="00960F48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3102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17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B7D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64BC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255</Pages>
  <Words>29511</Words>
  <Characters>168218</Characters>
  <Application>Microsoft Office Word</Application>
  <DocSecurity>0</DocSecurity>
  <Lines>1401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197335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100</cp:revision>
  <cp:lastPrinted>2023-02-18T11:54:00Z</cp:lastPrinted>
  <dcterms:created xsi:type="dcterms:W3CDTF">2021-02-07T12:30:00Z</dcterms:created>
  <dcterms:modified xsi:type="dcterms:W3CDTF">2024-03-07T15:18:00Z</dcterms:modified>
</cp:coreProperties>
</file>