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6C5ECC3F" w14:textId="77777777" w:rsidR="00453FBD" w:rsidRPr="003255C4" w:rsidRDefault="00453FBD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69743C52" w14:textId="2FC75927" w:rsidR="00E51D69" w:rsidRDefault="00822951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</w:t>
      </w:r>
      <w:r>
        <w:rPr>
          <w:rFonts w:ascii="Arial" w:eastAsia="Calibri" w:hAnsi="Arial" w:cs="Arial"/>
          <w:sz w:val="28"/>
          <w:szCs w:val="28"/>
          <w:lang w:val="en-US" w:eastAsia="en-US"/>
        </w:rPr>
        <w:lastRenderedPageBreak/>
        <w:t xml:space="preserve">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731BC8">
        <w:rPr>
          <w:rFonts w:ascii="Arial" w:eastAsia="Calibri" w:hAnsi="Arial" w:cs="Arial"/>
          <w:sz w:val="28"/>
          <w:szCs w:val="28"/>
          <w:lang w:val="en-US" w:eastAsia="en-US"/>
        </w:rPr>
        <w:br/>
      </w:r>
    </w:p>
    <w:p w14:paraId="0DB3F255" w14:textId="77777777" w:rsidR="00E51D69" w:rsidRDefault="00E51D6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1C42CC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E51D69">
          <w:rPr>
            <w:b/>
            <w:bCs/>
            <w:webHidden/>
            <w:sz w:val="32"/>
            <w:szCs w:val="32"/>
          </w:rPr>
          <w:t>6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0912E755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3A85BD4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091781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5BB4D1E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65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13BC99A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87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54BC48DB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1268B8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10A68248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136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7156E67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152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324FDC1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168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E89D73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146E07C0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223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5ECBF62C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244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7E81303E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250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1385B665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ÉlÉÿ</w:t>
      </w:r>
      <w:r w:rsidR="006E29BE"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29BE" w:rsidRPr="006E29BE">
        <w:rPr>
          <w:rFonts w:ascii="Arial" w:hAnsi="Arial" w:cs="Arial"/>
          <w:b/>
          <w:bCs/>
          <w:sz w:val="32"/>
          <w:szCs w:val="32"/>
          <w:highlight w:val="yellow"/>
        </w:rPr>
        <w:t>Correct baraha please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1F250D95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Í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C915EDC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D9E68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8DDEB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204EF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116669879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116669885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136CBA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890BCD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671F963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41D3606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r w:rsidR="00B13A9B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116669887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8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52D486F9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AC5168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3E6810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1E3619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1E3619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position w:val="-6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2807FC8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B63B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63B3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E3619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57C5FAA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612E0141" w14:textId="77777777" w:rsidR="003A4C17" w:rsidRPr="00661E30" w:rsidRDefault="003A4C1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bookmarkStart w:id="21" w:name="_Toc116669889"/>
      <w:r w:rsidRPr="00661E30">
        <w:lastRenderedPageBreak/>
        <w:t>bÉlÉqÉç - iÉqÉÑ¹ÒÌWû rÉÈ ÍµÉwÉÑÈ</w:t>
      </w:r>
      <w:bookmarkEnd w:id="20"/>
      <w:bookmarkEnd w:id="21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2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2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2BC2E8A4" w14:textId="77777777" w:rsidR="00F2691C" w:rsidRPr="00661E30" w:rsidRDefault="00F2691C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3" w:name="_Hlk115970674"/>
      <w:bookmarkStart w:id="24" w:name="_Hlk116743754"/>
      <w:bookmarkStart w:id="25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3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3520C03D" w:rsidR="005261D1" w:rsidRPr="00A52FDF" w:rsidRDefault="00A52FDF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got derivations like padam, kramam, Jatai and Ghanam.</w:t>
      </w:r>
      <w:bookmarkEnd w:id="24"/>
    </w:p>
    <w:bookmarkEnd w:id="25"/>
    <w:p w14:paraId="50E507B3" w14:textId="77777777" w:rsidR="005261D1" w:rsidRPr="008E4CE9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0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C7A6" w14:textId="77777777" w:rsidR="002F65A3" w:rsidRDefault="002F65A3" w:rsidP="00135976">
      <w:pPr>
        <w:spacing w:after="0" w:line="240" w:lineRule="auto"/>
      </w:pPr>
      <w:r>
        <w:separator/>
      </w:r>
    </w:p>
  </w:endnote>
  <w:endnote w:type="continuationSeparator" w:id="0">
    <w:p w14:paraId="1BB9C345" w14:textId="77777777" w:rsidR="002F65A3" w:rsidRDefault="002F65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1A405D0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92AB" w14:textId="77777777" w:rsidR="002F65A3" w:rsidRDefault="002F65A3" w:rsidP="00135976">
      <w:pPr>
        <w:spacing w:after="0" w:line="240" w:lineRule="auto"/>
      </w:pPr>
      <w:r>
        <w:separator/>
      </w:r>
    </w:p>
  </w:footnote>
  <w:footnote w:type="continuationSeparator" w:id="0">
    <w:p w14:paraId="2781D95A" w14:textId="77777777" w:rsidR="002F65A3" w:rsidRDefault="002F65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255</Pages>
  <Words>29465</Words>
  <Characters>167953</Characters>
  <Application>Microsoft Office Word</Application>
  <DocSecurity>0</DocSecurity>
  <Lines>1399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197024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78</cp:revision>
  <cp:lastPrinted>2020-06-21T13:33:00Z</cp:lastPrinted>
  <dcterms:created xsi:type="dcterms:W3CDTF">2021-02-07T12:30:00Z</dcterms:created>
  <dcterms:modified xsi:type="dcterms:W3CDTF">2022-10-15T15:25:00Z</dcterms:modified>
</cp:coreProperties>
</file>