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pacing w:after="200"/>
        <w:jc w:val="center"/>
      </w:pPr>
      <w:r>
        <w:rPr>
          <w:rFonts w:ascii="Arial" w:cs="Arial" w:eastAsia="Arial" w:hAnsi="Arial"/>
          <w:b/>
          <w:bCs/>
          <w:color w:val="2E5FA3"/>
          <w:sz w:val="64"/>
          <w:szCs w:val="64"/>
        </w:rPr>
        <w:t xml:space="preserve">Olist E-commerce</w:t>
      </w:r>
    </w:p>
    <w:p>
      <w:pPr>
        <w:spacing w:after="160"/>
        <w:jc w:val="center"/>
      </w:pPr>
      <w:r>
        <w:rPr>
          <w:rFonts w:ascii="Arial" w:cs="Arial" w:eastAsia="Arial" w:hAnsi="Arial"/>
          <w:color w:val="2C2C2C"/>
          <w:sz w:val="40"/>
          <w:szCs w:val="40"/>
        </w:rPr>
        <w:t xml:space="preserve">Data Warehouse &amp; Business Intelligence</w:t>
      </w:r>
    </w:p>
    <w:p>
      <w:pPr>
        <w:pBdr>
          <w:bottom w:val="single" w:color="2E5FA3" w:sz="8" w:space="8"/>
        </w:pBdr>
        <w:spacing w:after="600"/>
        <w:jc w:val="center"/>
      </w:pPr>
      <w:r>
        <w:rPr>
          <w:sz w:val="20"/>
          <w:szCs w:val="20"/>
        </w:rPr>
        <w:t xml:space="preserve"> </w:t>
      </w:r>
    </w:p>
    <w:p>
      <w:pPr>
        <w:spacing w:after="100"/>
      </w:pPr>
      <w:r>
        <w:t xml:space="preserve"/>
      </w:r>
    </w:p>
    <w:p>
      <w:pPr>
        <w:spacing w:after="100"/>
      </w:pPr>
      <w:r>
        <w:t xml:space="preserve"/>
      </w:r>
    </w:p>
    <w:p>
      <w:pPr>
        <w:spacing w:after="120"/>
        <w:jc w:val="center"/>
      </w:pPr>
      <w:r>
        <w:rPr>
          <w:rFonts w:ascii="Arial" w:cs="Arial" w:eastAsia="Arial" w:hAnsi="Arial"/>
          <w:i/>
          <w:iCs/>
          <w:color w:val="555555"/>
          <w:sz w:val="28"/>
          <w:szCs w:val="28"/>
        </w:rPr>
        <w:t xml:space="preserve">Documentation technique du projet Data Engineering</w:t>
      </w:r>
    </w:p>
    <w:p>
      <w:pPr>
        <w:spacing w:after="100"/>
      </w:pPr>
      <w:r>
        <w:t xml:space="preserve"/>
      </w:r>
    </w:p>
    <w:p>
      <w:pPr>
        <w:spacing w:after="100"/>
      </w:pPr>
      <w:r>
        <w:t xml:space="preserve"/>
      </w:r>
    </w:p>
    <w:p>
      <w:pPr>
        <w:spacing w:after="100"/>
      </w:pPr>
      <w:r>
        <w:t xml:space="preserve"/>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555555"/>
                <w:sz w:val="20"/>
                <w:szCs w:val="20"/>
              </w:rPr>
              <w:t xml:space="preserve">Auteur</w:t>
            </w:r>
          </w:p>
          <w:p>
            <w:r>
              <w:rPr>
                <w:rFonts w:ascii="Arial" w:cs="Arial" w:eastAsia="Arial" w:hAnsi="Arial"/>
                <w:sz w:val="20"/>
                <w:szCs w:val="20"/>
              </w:rPr>
              <w:t>Youssef Khaloufi</w:t>
            </w:r>
          </w:p>
        </w:tc>
        <w:tc>
          <w:tcPr>
            <w:tcW w:type="dxa" w:w="4753"/>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555555"/>
                <w:sz w:val="20"/>
                <w:szCs w:val="20"/>
              </w:rPr>
              <w:t xml:space="preserve">Date</w:t>
            </w:r>
          </w:p>
          <w:p>
            <w:r>
              <w:rPr>
                <w:rFonts w:ascii="Arial" w:cs="Arial" w:eastAsia="Arial" w:hAnsi="Arial"/>
                <w:sz w:val="20"/>
                <w:szCs w:val="20"/>
              </w:rPr>
              <w:t xml:space="preserve">Mai 2026</w:t>
            </w:r>
          </w:p>
        </w:tc>
      </w:tr>
      <w:tr>
        <w:tc>
          <w:tcPr>
            <w:tcW w:type="dxa" w:w="4753"/>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555555"/>
                <w:sz w:val="20"/>
                <w:szCs w:val="20"/>
              </w:rPr>
              <w:t xml:space="preserve">Domaine</w:t>
            </w:r>
          </w:p>
          <w:p>
            <w:r>
              <w:rPr>
                <w:rFonts w:ascii="Arial" w:cs="Arial" w:eastAsia="Arial" w:hAnsi="Arial"/>
                <w:sz w:val="20"/>
                <w:szCs w:val="20"/>
              </w:rPr>
              <w:t xml:space="preserve">Data Engineering</w:t>
            </w:r>
          </w:p>
        </w:tc>
        <w:tc>
          <w:tcPr>
            <w:tcW w:type="dxa" w:w="4753"/>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555555"/>
                <w:sz w:val="20"/>
                <w:szCs w:val="20"/>
              </w:rPr>
              <w:t xml:space="preserve">Technologies</w:t>
            </w:r>
          </w:p>
          <w:p>
            <w:r>
              <w:rPr>
                <w:rFonts w:ascii="Arial" w:cs="Arial" w:eastAsia="Arial" w:hAnsi="Arial"/>
                <w:sz w:val="20"/>
                <w:szCs w:val="20"/>
              </w:rPr>
              <w:t xml:space="preserve">Python · PostgreSQL · Docker</w:t>
            </w:r>
          </w:p>
        </w:tc>
      </w:tr>
    </w:tbl>
    <w:p>
      <w:r>
        <w:br w:type="page"/>
      </w:r>
    </w:p>
    <w:p>
      <w:pPr>
        <w:sectPr>
          <w:pgSz w:w="11906" w:h="16838" w:orient="portrait"/>
          <w:pgMar w:top="1200" w:right="1200" w:bottom="1200" w:left="1200" w:header="708" w:footer="708" w:gutter="0"/>
          <w:pgNumType/>
          <w:docGrid w:linePitch="360"/>
        </w:sectPr>
      </w:pPr>
    </w:p>
    <w:p>
      <w:pPr>
        <w:spacing w:after="240"/>
        <w:jc w:val="center"/>
      </w:pPr>
      <w:r>
        <w:rPr>
          <w:rFonts w:ascii="Arial" w:cs="Arial" w:eastAsia="Arial" w:hAnsi="Arial"/>
          <w:b/>
          <w:bCs/>
          <w:color w:val="2E5FA3"/>
          <w:sz w:val="32"/>
          <w:szCs w:val="32"/>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Introduction</w:t>
      </w:r>
    </w:p>
    <w:p>
      <w:pPr>
        <w:spacing w:after="120"/>
      </w:pPr>
      <w:r>
        <w:rPr>
          <w:rFonts w:ascii="Arial" w:cs="Arial" w:eastAsia="Arial" w:hAnsi="Arial"/>
          <w:sz w:val="20"/>
          <w:szCs w:val="20"/>
        </w:rPr>
        <w:t xml:space="preserve">Ce document presente la documentation technique complete du projet Data Engineering realise sur le dataset public Olist Brazilian E-Commerce. Il couvre les quatre phases du projet : analyse de la problematique, modelisation dimensionnelle, construction du pipeline ELT et preparation de la couche dashboard.</w:t>
      </w:r>
    </w:p>
    <w:p>
      <w:pPr>
        <w:spacing w:after="120"/>
      </w:pPr>
      <w:r>
        <w:t>L'objectif est de construire une base analytique fiable permettant de repondre a des questions metier concretes : suivi des ventes, analyse des paiements, evaluation de la satisfaction client, mesure de la performance logistique et suivi du tunnel d'acquisition marketing des vendeurs. Le projet couvre ainsi la chaine complete : fichiers CSV bruts, nettoyage, modelisation dimensionnelle, chargement du Data Warehouse, datamarts analytiques et controles qualite.</w:t>
      </w:r>
    </w:p>
    <w:p>
      <w:pPr>
        <w:spacing w:after="100"/>
      </w:pPr>
      <w:r>
        <w:t xml:space="preserve"/>
      </w:r>
    </w:p>
    <w:p>
      <w:pPr>
        <w:pStyle w:val="Heading2"/>
        <w:spacing w:after="120" w:before="280"/>
      </w:pPr>
      <w:r>
        <w:rPr>
          <w:rFonts w:ascii="Arial" w:cs="Arial" w:eastAsia="Arial" w:hAnsi="Arial"/>
          <w:b/>
          <w:bCs/>
          <w:color w:val="2C2C2C"/>
          <w:sz w:val="26"/>
          <w:szCs w:val="26"/>
        </w:rPr>
        <w:t xml:space="preserve">Architecture globale</w:t>
      </w:r>
    </w:p>
    <w:p>
      <w:pPr>
        <w:spacing w:after="120"/>
      </w:pPr>
      <w:r>
        <w:rPr>
          <w:rFonts w:ascii="Arial" w:cs="Arial" w:eastAsia="Arial" w:hAnsi="Arial"/>
          <w:sz w:val="20"/>
          <w:szCs w:val="20"/>
        </w:rPr>
        <w:t xml:space="preserve">Le pipeline est organise en quatre couches PostgreSQL successives, chacune avec un perimetre de responsabilite strict :</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306"/>
      </w:tblGrid>
      <w:tr>
        <w:tc>
          <w:tcPr>
            <w:tcW w:type="dxa" w:w="18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Couche</w:t>
            </w:r>
          </w:p>
        </w:tc>
        <w:tc>
          <w:tcPr>
            <w:tcW w:type="dxa" w:w="24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Schema PostgreSQL</w:t>
            </w:r>
          </w:p>
        </w:tc>
        <w:tc>
          <w:tcPr>
            <w:tcW w:type="dxa" w:w="53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Role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raw</w:t>
            </w:r>
          </w:p>
        </w:tc>
        <w:tc>
          <w:tcPr>
            <w:tcW w:type="dxa" w:w="53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Copie brute des fichiers CSV sans aucune transformation. Point de reprise du pipeline.</w:t>
            </w:r>
          </w:p>
        </w:tc>
      </w:tr>
      <w:tr>
        <w:tc>
          <w:tcPr>
            <w:tcW w:type="dxa" w:w="1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2</w:t>
            </w:r>
          </w:p>
        </w:tc>
        <w:tc>
          <w:tcPr>
            <w:tcW w:type="dxa" w:w="24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staging</w:t>
            </w:r>
          </w:p>
        </w:tc>
        <w:tc>
          <w:tcPr>
            <w:tcW w:type="dxa" w:w="53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Nettoyage, typage, standardisation des valeurs texte, deduplication de la geolocalisation, cast booleens.</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3</w:t>
            </w:r>
          </w:p>
        </w:tc>
        <w:tc>
          <w:tcPr>
            <w:tcW w:type="dxa" w:w="24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dwh</w:t>
            </w:r>
          </w:p>
        </w:tc>
        <w:tc>
          <w:tcPr>
            <w:tcW w:type="dxa" w:w="53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Modele dimensionnel en flocon. Chargement des dimensions puis des faits. Calcul des metriques derivees.</w:t>
            </w:r>
          </w:p>
        </w:tc>
      </w:tr>
      <w:tr>
        <w:tc>
          <w:tcPr>
            <w:tcW w:type="dxa" w:w="1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4</w:t>
            </w:r>
          </w:p>
        </w:tc>
        <w:tc>
          <w:tcPr>
            <w:tcW w:type="dxa" w:w="24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marts</w:t>
            </w:r>
          </w:p>
        </w:tc>
        <w:tc>
          <w:tcPr>
            <w:tcW w:type="dxa" w:w="53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Vues analytiques agreges par domaine metier, directement consommables par le dashboard Streamlit.</w:t>
            </w:r>
          </w:p>
        </w:tc>
      </w:tr>
    </w:tbl>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Phase 1 — Problematique et analyse des sources</w:t>
      </w:r>
    </w:p>
    <w:p>
      <w:pPr>
        <w:pStyle w:val="Heading2"/>
        <w:spacing w:after="120" w:before="280"/>
      </w:pPr>
      <w:r>
        <w:rPr>
          <w:rFonts w:ascii="Arial" w:cs="Arial" w:eastAsia="Arial" w:hAnsi="Arial"/>
          <w:b/>
          <w:bCs/>
          <w:color w:val="2C2C2C"/>
          <w:sz w:val="26"/>
          <w:szCs w:val="26"/>
        </w:rPr>
        <w:t xml:space="preserve">Contexte</w:t>
      </w:r>
    </w:p>
    <w:p>
      <w:pPr>
        <w:spacing w:after="120"/>
      </w:pPr>
      <w:r>
        <w:rPr>
          <w:rFonts w:ascii="Arial" w:cs="Arial" w:eastAsia="Arial" w:hAnsi="Arial"/>
          <w:sz w:val="20"/>
          <w:szCs w:val="20"/>
        </w:rPr>
        <w:t xml:space="preserve">Olist est une marketplace bresilienne qui connecte des vendeurs independants a plusieurs canaux de vente en ligne. Le dataset couvre l'ensemble des processus operationnels de la plateforme sur la periode 2016-2018 : commandes, paiements, avis clients, logistique, catalogue produits, vendeurs, geolocalisation et acquisition marketing.</w:t>
      </w:r>
    </w:p>
    <w:p>
      <w:pPr>
        <w:spacing w:after="120"/>
      </w:pPr>
      <w:r>
        <w:t>Le point de depart du projet est une problematique metier claire : les donnees Olist existent sous forme de fichiers CSV separes, mais elles ne permettent pas directement d'obtenir une vision consolidee de l'activite. Il faut donc les transformer en un systeme analytique coherent capable de relier commandes, clients, produits, vendeurs, paiements, avis, localisation et acquisition marketing.</w:t>
      </w:r>
    </w:p>
    <w:p/>
    <w:p>
      <w:pPr>
        <w:pStyle w:val="Heading2"/>
      </w:pPr>
      <w:r>
        <w:t>Problematique metier</w:t>
      </w:r>
    </w:p>
    <w:p>
      <w:r>
        <w:t>Comment transformer 11 fichiers CSV operationnels et marketing en un Data Warehouse fiable permettant de piloter la performance globale d'Olist, depuis l'acquisition des vendeurs jusqu'aux ventes, paiements, livraisons et avis clients ?</w:t>
      </w:r>
    </w:p>
    <w:p>
      <w:pPr>
        <w:pStyle w:val="Heading3"/>
      </w:pPr>
      <w:r>
        <w:t>Questions auxquelles le projet doit repondre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69"/>
        <w:gridCol w:w="3169"/>
        <w:gridCol w:w="3169"/>
      </w:tblGrid>
      <w:tr>
        <w:tc>
          <w:tcPr>
            <w:tcW w:type="dxa" w:w="3169"/>
            <w:vAlign w:val="top"/>
            <w:shd w:fill="1F4E79"/>
          </w:tcPr>
          <w:p>
            <w:r>
              <w:rPr>
                <w:b/>
                <w:color w:val="FFFFFF"/>
                <w:sz w:val="16"/>
              </w:rPr>
            </w:r>
            <w:r>
              <w:rPr>
                <w:b/>
                <w:color w:val="FFFFFF"/>
                <w:sz w:val="16"/>
              </w:rPr>
              <w:t>Domaine</w:t>
            </w:r>
          </w:p>
        </w:tc>
        <w:tc>
          <w:tcPr>
            <w:tcW w:type="dxa" w:w="3169"/>
            <w:vAlign w:val="top"/>
            <w:shd w:fill="1F4E79"/>
          </w:tcPr>
          <w:p>
            <w:r>
              <w:rPr>
                <w:b/>
                <w:color w:val="FFFFFF"/>
                <w:sz w:val="16"/>
              </w:rPr>
            </w:r>
            <w:r>
              <w:rPr>
                <w:b/>
                <w:color w:val="FFFFFF"/>
                <w:sz w:val="16"/>
              </w:rPr>
              <w:t>Question metier</w:t>
            </w:r>
          </w:p>
        </w:tc>
        <w:tc>
          <w:tcPr>
            <w:tcW w:type="dxa" w:w="3169"/>
            <w:vAlign w:val="top"/>
            <w:shd w:fill="1F4E79"/>
          </w:tcPr>
          <w:p>
            <w:r>
              <w:rPr>
                <w:b/>
                <w:color w:val="FFFFFF"/>
                <w:sz w:val="16"/>
              </w:rPr>
            </w:r>
            <w:r>
              <w:rPr>
                <w:b/>
                <w:color w:val="FFFFFF"/>
                <w:sz w:val="16"/>
              </w:rPr>
              <w:t>Tables / vues mobilisees</w:t>
            </w:r>
          </w:p>
        </w:tc>
      </w:tr>
      <w:tr>
        <w:tc>
          <w:tcPr>
            <w:tcW w:type="dxa" w:w="3169"/>
            <w:vAlign w:val="top"/>
            <w:shd w:fill="FFFFFF"/>
          </w:tcPr>
          <w:p>
            <w:r>
              <w:rPr>
                <w:sz w:val="16"/>
              </w:rPr>
            </w:r>
            <w:r>
              <w:rPr>
                <w:b w:val="0"/>
                <w:sz w:val="16"/>
              </w:rPr>
              <w:t>Ventes</w:t>
            </w:r>
          </w:p>
        </w:tc>
        <w:tc>
          <w:tcPr>
            <w:tcW w:type="dxa" w:w="3169"/>
            <w:vAlign w:val="top"/>
            <w:shd w:fill="FFFFFF"/>
          </w:tcPr>
          <w:p>
            <w:r>
              <w:rPr>
                <w:sz w:val="16"/>
              </w:rPr>
            </w:r>
            <w:r>
              <w:rPr>
                <w:b w:val="0"/>
                <w:sz w:val="16"/>
              </w:rPr>
              <w:t>Quel est le chiffre d'affaires par mois, statut de commande et categorie produit ?</w:t>
            </w:r>
          </w:p>
        </w:tc>
        <w:tc>
          <w:tcPr>
            <w:tcW w:type="dxa" w:w="3169"/>
            <w:vAlign w:val="top"/>
            <w:shd w:fill="FFFFFF"/>
          </w:tcPr>
          <w:p>
            <w:r>
              <w:rPr>
                <w:sz w:val="16"/>
              </w:rPr>
            </w:r>
            <w:r>
              <w:rPr>
                <w:b w:val="0"/>
                <w:sz w:val="16"/>
              </w:rPr>
              <w:t>fact_order_items, fact_orders, dim_date, dim_product_category, marts.sales_overview</w:t>
            </w:r>
          </w:p>
        </w:tc>
      </w:tr>
      <w:tr>
        <w:tc>
          <w:tcPr>
            <w:tcW w:type="dxa" w:w="3169"/>
            <w:vAlign w:val="top"/>
            <w:shd w:fill="F2F6FA"/>
          </w:tcPr>
          <w:p>
            <w:r>
              <w:rPr>
                <w:sz w:val="16"/>
              </w:rPr>
            </w:r>
            <w:r>
              <w:rPr>
                <w:b w:val="0"/>
                <w:sz w:val="16"/>
              </w:rPr>
              <w:t>Paiements</w:t>
            </w:r>
          </w:p>
        </w:tc>
        <w:tc>
          <w:tcPr>
            <w:tcW w:type="dxa" w:w="3169"/>
            <w:vAlign w:val="top"/>
            <w:shd w:fill="F2F6FA"/>
          </w:tcPr>
          <w:p>
            <w:r>
              <w:rPr>
                <w:sz w:val="16"/>
              </w:rPr>
            </w:r>
            <w:r>
              <w:rPr>
                <w:b w:val="0"/>
                <w:sz w:val="16"/>
              </w:rPr>
              <w:t>Quels moyens de paiement representent le plus de valeur et comment les paiements sont-ils repartis ?</w:t>
            </w:r>
          </w:p>
        </w:tc>
        <w:tc>
          <w:tcPr>
            <w:tcW w:type="dxa" w:w="3169"/>
            <w:vAlign w:val="top"/>
            <w:shd w:fill="F2F6FA"/>
          </w:tcPr>
          <w:p>
            <w:r>
              <w:rPr>
                <w:sz w:val="16"/>
              </w:rPr>
            </w:r>
            <w:r>
              <w:rPr>
                <w:b w:val="0"/>
                <w:sz w:val="16"/>
              </w:rPr>
              <w:t>fact_payments, dim_payment_type, marts.payment_analysis</w:t>
            </w:r>
          </w:p>
        </w:tc>
      </w:tr>
      <w:tr>
        <w:tc>
          <w:tcPr>
            <w:tcW w:type="dxa" w:w="3169"/>
            <w:vAlign w:val="top"/>
            <w:shd w:fill="FFFFFF"/>
          </w:tcPr>
          <w:p>
            <w:r>
              <w:rPr>
                <w:sz w:val="16"/>
              </w:rPr>
            </w:r>
            <w:r>
              <w:rPr>
                <w:b w:val="0"/>
                <w:sz w:val="16"/>
              </w:rPr>
              <w:t>Logistique</w:t>
            </w:r>
          </w:p>
        </w:tc>
        <w:tc>
          <w:tcPr>
            <w:tcW w:type="dxa" w:w="3169"/>
            <w:vAlign w:val="top"/>
            <w:shd w:fill="FFFFFF"/>
          </w:tcPr>
          <w:p>
            <w:r>
              <w:rPr>
                <w:sz w:val="16"/>
              </w:rPr>
            </w:r>
            <w:r>
              <w:rPr>
                <w:b w:val="0"/>
                <w:sz w:val="16"/>
              </w:rPr>
              <w:t>Quels sont les delais moyens de livraison et quelles commandes sont livrees en retard ?</w:t>
            </w:r>
          </w:p>
        </w:tc>
        <w:tc>
          <w:tcPr>
            <w:tcW w:type="dxa" w:w="3169"/>
            <w:vAlign w:val="top"/>
            <w:shd w:fill="FFFFFF"/>
          </w:tcPr>
          <w:p>
            <w:r>
              <w:rPr>
                <w:sz w:val="16"/>
              </w:rPr>
            </w:r>
            <w:r>
              <w:rPr>
                <w:b w:val="0"/>
                <w:sz w:val="16"/>
              </w:rPr>
              <w:t>fact_orders, dim_order_status, marts.delivery_performance</w:t>
            </w:r>
          </w:p>
        </w:tc>
      </w:tr>
      <w:tr>
        <w:tc>
          <w:tcPr>
            <w:tcW w:type="dxa" w:w="3169"/>
            <w:vAlign w:val="top"/>
            <w:shd w:fill="F2F6FA"/>
          </w:tcPr>
          <w:p>
            <w:r>
              <w:rPr>
                <w:sz w:val="16"/>
              </w:rPr>
            </w:r>
            <w:r>
              <w:rPr>
                <w:b w:val="0"/>
                <w:sz w:val="16"/>
              </w:rPr>
              <w:t>Satisfaction client</w:t>
            </w:r>
          </w:p>
        </w:tc>
        <w:tc>
          <w:tcPr>
            <w:tcW w:type="dxa" w:w="3169"/>
            <w:vAlign w:val="top"/>
            <w:shd w:fill="F2F6FA"/>
          </w:tcPr>
          <w:p>
            <w:r>
              <w:rPr>
                <w:sz w:val="16"/>
              </w:rPr>
            </w:r>
            <w:r>
              <w:rPr>
                <w:b w:val="0"/>
                <w:sz w:val="16"/>
              </w:rPr>
              <w:t>Comment les notes clients sont-elles reparties et quels segments concentrent les avis negatifs ?</w:t>
            </w:r>
          </w:p>
        </w:tc>
        <w:tc>
          <w:tcPr>
            <w:tcW w:type="dxa" w:w="3169"/>
            <w:vAlign w:val="top"/>
            <w:shd w:fill="F2F6FA"/>
          </w:tcPr>
          <w:p>
            <w:r>
              <w:rPr>
                <w:sz w:val="16"/>
              </w:rPr>
            </w:r>
            <w:r>
              <w:rPr>
                <w:b w:val="0"/>
                <w:sz w:val="16"/>
              </w:rPr>
              <w:t>fact_reviews, fact_orders, dim_product_category, marts.customer_satisfaction</w:t>
            </w:r>
          </w:p>
        </w:tc>
      </w:tr>
      <w:tr>
        <w:tc>
          <w:tcPr>
            <w:tcW w:type="dxa" w:w="3169"/>
            <w:vAlign w:val="top"/>
            <w:shd w:fill="FFFFFF"/>
          </w:tcPr>
          <w:p>
            <w:r>
              <w:rPr>
                <w:sz w:val="16"/>
              </w:rPr>
            </w:r>
            <w:r>
              <w:rPr>
                <w:b w:val="0"/>
                <w:sz w:val="16"/>
              </w:rPr>
              <w:t>Marketing</w:t>
            </w:r>
          </w:p>
        </w:tc>
        <w:tc>
          <w:tcPr>
            <w:tcW w:type="dxa" w:w="3169"/>
            <w:vAlign w:val="top"/>
            <w:shd w:fill="FFFFFF"/>
          </w:tcPr>
          <w:p>
            <w:r>
              <w:rPr>
                <w:sz w:val="16"/>
              </w:rPr>
            </w:r>
            <w:r>
              <w:rPr>
                <w:b w:val="0"/>
                <w:sz w:val="16"/>
              </w:rPr>
              <w:t>Quels canaux generent le plus de leads, de deals conclus et de vendeurs actifs ?</w:t>
            </w:r>
          </w:p>
        </w:tc>
        <w:tc>
          <w:tcPr>
            <w:tcW w:type="dxa" w:w="3169"/>
            <w:vAlign w:val="top"/>
            <w:shd w:fill="FFFFFF"/>
          </w:tcPr>
          <w:p>
            <w:r>
              <w:rPr>
                <w:sz w:val="16"/>
              </w:rPr>
            </w:r>
            <w:r>
              <w:rPr>
                <w:b w:val="0"/>
                <w:sz w:val="16"/>
              </w:rPr>
              <w:t>fact_marketing_leads, fact_closed_deals, dim_marketing_origin, marts.marketing_funnel</w:t>
            </w:r>
          </w:p>
        </w:tc>
      </w:tr>
      <w:tr>
        <w:tc>
          <w:tcPr>
            <w:tcW w:type="dxa" w:w="3169"/>
            <w:vAlign w:val="top"/>
            <w:shd w:fill="F2F6FA"/>
          </w:tcPr>
          <w:p>
            <w:r>
              <w:rPr>
                <w:sz w:val="16"/>
              </w:rPr>
            </w:r>
            <w:r>
              <w:rPr>
                <w:b w:val="0"/>
                <w:sz w:val="16"/>
              </w:rPr>
              <w:t>Geographie</w:t>
            </w:r>
          </w:p>
        </w:tc>
        <w:tc>
          <w:tcPr>
            <w:tcW w:type="dxa" w:w="3169"/>
            <w:vAlign w:val="top"/>
            <w:shd w:fill="F2F6FA"/>
          </w:tcPr>
          <w:p>
            <w:r>
              <w:rPr>
                <w:sz w:val="16"/>
              </w:rPr>
            </w:r>
            <w:r>
              <w:rPr>
                <w:b w:val="0"/>
                <w:sz w:val="16"/>
              </w:rPr>
              <w:t>Comment analyser clients et vendeurs par ville, Etat et prefixe postal ?</w:t>
            </w:r>
          </w:p>
        </w:tc>
        <w:tc>
          <w:tcPr>
            <w:tcW w:type="dxa" w:w="3169"/>
            <w:vAlign w:val="top"/>
            <w:shd w:fill="F2F6FA"/>
          </w:tcPr>
          <w:p>
            <w:r>
              <w:rPr>
                <w:sz w:val="16"/>
              </w:rPr>
            </w:r>
            <w:r>
              <w:rPr>
                <w:b w:val="0"/>
                <w:sz w:val="16"/>
              </w:rPr>
              <w:t>dim_customer, dim_seller, dim_zip_prefix, dim_city, dim_state</w:t>
            </w:r>
          </w:p>
        </w:tc>
      </w:tr>
      <w:tr>
        <w:tc>
          <w:tcPr>
            <w:tcW w:type="dxa" w:w="3169"/>
            <w:vAlign w:val="top"/>
            <w:shd w:fill="FFFFFF"/>
          </w:tcPr>
          <w:p>
            <w:r>
              <w:rPr>
                <w:sz w:val="16"/>
              </w:rPr>
            </w:r>
            <w:r>
              <w:rPr>
                <w:b w:val="0"/>
                <w:sz w:val="16"/>
              </w:rPr>
              <w:t>Data Engineering</w:t>
            </w:r>
          </w:p>
        </w:tc>
        <w:tc>
          <w:tcPr>
            <w:tcW w:type="dxa" w:w="3169"/>
            <w:vAlign w:val="top"/>
            <w:shd w:fill="FFFFFF"/>
          </w:tcPr>
          <w:p>
            <w:r>
              <w:rPr>
                <w:sz w:val="16"/>
              </w:rPr>
            </w:r>
            <w:r>
              <w:rPr>
                <w:b w:val="0"/>
                <w:sz w:val="16"/>
              </w:rPr>
              <w:t>Comment garantir une donnee tracable, rejouable et controlee de la source jusqu aux datamarts ?</w:t>
            </w:r>
          </w:p>
        </w:tc>
        <w:tc>
          <w:tcPr>
            <w:tcW w:type="dxa" w:w="3169"/>
            <w:vAlign w:val="top"/>
            <w:shd w:fill="FFFFFF"/>
          </w:tcPr>
          <w:p>
            <w:r>
              <w:rPr>
                <w:sz w:val="16"/>
              </w:rPr>
            </w:r>
            <w:r>
              <w:rPr>
                <w:b w:val="0"/>
                <w:sz w:val="16"/>
              </w:rPr>
              <w:t>raw, staging, dwh, marts, quality_checks</w:t>
            </w:r>
          </w:p>
        </w:tc>
      </w:tr>
    </w:tbl>
    <w:p>
      <w:pPr>
        <w:pStyle w:val="Heading3"/>
      </w:pPr>
      <w:r>
        <w:t>Objectifs fonctionnels du Data Warehouse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53"/>
        <w:gridCol w:w="4753"/>
      </w:tblGrid>
      <w:tr>
        <w:tc>
          <w:tcPr>
            <w:tcW w:type="dxa" w:w="4753"/>
            <w:vAlign w:val="top"/>
            <w:shd w:fill="1F4E79"/>
          </w:tcPr>
          <w:p>
            <w:r>
              <w:rPr>
                <w:b/>
                <w:color w:val="FFFFFF"/>
                <w:sz w:val="16"/>
              </w:rPr>
            </w:r>
            <w:r>
              <w:rPr>
                <w:b/>
                <w:color w:val="FFFFFF"/>
                <w:sz w:val="16"/>
              </w:rPr>
              <w:t>Objectif</w:t>
            </w:r>
          </w:p>
        </w:tc>
        <w:tc>
          <w:tcPr>
            <w:tcW w:type="dxa" w:w="4753"/>
            <w:vAlign w:val="top"/>
            <w:shd w:fill="1F4E79"/>
          </w:tcPr>
          <w:p>
            <w:r>
              <w:rPr>
                <w:b/>
                <w:color w:val="FFFFFF"/>
                <w:sz w:val="16"/>
              </w:rPr>
            </w:r>
            <w:r>
              <w:rPr>
                <w:b/>
                <w:color w:val="FFFFFF"/>
                <w:sz w:val="16"/>
              </w:rPr>
              <w:t>Realisation dans le projet</w:t>
            </w:r>
          </w:p>
        </w:tc>
      </w:tr>
      <w:tr>
        <w:tc>
          <w:tcPr>
            <w:tcW w:type="dxa" w:w="4753"/>
            <w:vAlign w:val="top"/>
            <w:shd w:fill="FFFFFF"/>
          </w:tcPr>
          <w:p>
            <w:r>
              <w:rPr>
                <w:sz w:val="16"/>
              </w:rPr>
            </w:r>
            <w:r>
              <w:rPr>
                <w:b w:val="0"/>
                <w:sz w:val="16"/>
              </w:rPr>
              <w:t>Centraliser</w:t>
            </w:r>
          </w:p>
        </w:tc>
        <w:tc>
          <w:tcPr>
            <w:tcW w:type="dxa" w:w="4753"/>
            <w:vAlign w:val="top"/>
            <w:shd w:fill="FFFFFF"/>
          </w:tcPr>
          <w:p>
            <w:r>
              <w:rPr>
                <w:sz w:val="16"/>
              </w:rPr>
            </w:r>
            <w:r>
              <w:rPr>
                <w:b w:val="0"/>
                <w:sz w:val="16"/>
              </w:rPr>
              <w:t>Regrouper les 11 fichiers Olist dans PostgreSQL avec une couche raw complete.</w:t>
            </w:r>
          </w:p>
        </w:tc>
      </w:tr>
      <w:tr>
        <w:tc>
          <w:tcPr>
            <w:tcW w:type="dxa" w:w="4753"/>
            <w:vAlign w:val="top"/>
            <w:shd w:fill="F2F6FA"/>
          </w:tcPr>
          <w:p>
            <w:r>
              <w:rPr>
                <w:sz w:val="16"/>
              </w:rPr>
            </w:r>
            <w:r>
              <w:rPr>
                <w:b w:val="0"/>
                <w:sz w:val="16"/>
              </w:rPr>
              <w:t>Nettoyer</w:t>
            </w:r>
          </w:p>
        </w:tc>
        <w:tc>
          <w:tcPr>
            <w:tcW w:type="dxa" w:w="4753"/>
            <w:vAlign w:val="top"/>
            <w:shd w:fill="F2F6FA"/>
          </w:tcPr>
          <w:p>
            <w:r>
              <w:rPr>
                <w:sz w:val="16"/>
              </w:rPr>
            </w:r>
            <w:r>
              <w:rPr>
                <w:b w:val="0"/>
                <w:sz w:val="16"/>
              </w:rPr>
              <w:t>Standardiser les dates, textes, booleens, codes postaux et dedupliquer la geolocalisation.</w:t>
            </w:r>
          </w:p>
        </w:tc>
      </w:tr>
      <w:tr>
        <w:tc>
          <w:tcPr>
            <w:tcW w:type="dxa" w:w="4753"/>
            <w:vAlign w:val="top"/>
            <w:shd w:fill="FFFFFF"/>
          </w:tcPr>
          <w:p>
            <w:r>
              <w:rPr>
                <w:sz w:val="16"/>
              </w:rPr>
            </w:r>
            <w:r>
              <w:rPr>
                <w:b w:val="0"/>
                <w:sz w:val="16"/>
              </w:rPr>
              <w:t>Modeliser</w:t>
            </w:r>
          </w:p>
        </w:tc>
        <w:tc>
          <w:tcPr>
            <w:tcW w:type="dxa" w:w="4753"/>
            <w:vAlign w:val="top"/>
            <w:shd w:fill="FFFFFF"/>
          </w:tcPr>
          <w:p>
            <w:r>
              <w:rPr>
                <w:sz w:val="16"/>
              </w:rPr>
            </w:r>
            <w:r>
              <w:rPr>
                <w:b w:val="0"/>
                <w:sz w:val="16"/>
              </w:rPr>
              <w:t>Construire un schema en flocon avec dimensions partagees et plusieurs tables de faits.</w:t>
            </w:r>
          </w:p>
        </w:tc>
      </w:tr>
      <w:tr>
        <w:tc>
          <w:tcPr>
            <w:tcW w:type="dxa" w:w="4753"/>
            <w:vAlign w:val="top"/>
            <w:shd w:fill="F2F6FA"/>
          </w:tcPr>
          <w:p>
            <w:r>
              <w:rPr>
                <w:sz w:val="16"/>
              </w:rPr>
            </w:r>
            <w:r>
              <w:rPr>
                <w:b w:val="0"/>
                <w:sz w:val="16"/>
              </w:rPr>
              <w:t>Mesurer</w:t>
            </w:r>
          </w:p>
        </w:tc>
        <w:tc>
          <w:tcPr>
            <w:tcW w:type="dxa" w:w="4753"/>
            <w:vAlign w:val="top"/>
            <w:shd w:fill="F2F6FA"/>
          </w:tcPr>
          <w:p>
            <w:r>
              <w:rPr>
                <w:sz w:val="16"/>
              </w:rPr>
            </w:r>
            <w:r>
              <w:rPr>
                <w:b w:val="0"/>
                <w:sz w:val="16"/>
              </w:rPr>
              <w:t>Calculer les indicateurs utiles : revenu, fret, delais, retard, score avis, conversion marketing.</w:t>
            </w:r>
          </w:p>
        </w:tc>
      </w:tr>
      <w:tr>
        <w:tc>
          <w:tcPr>
            <w:tcW w:type="dxa" w:w="4753"/>
            <w:vAlign w:val="top"/>
            <w:shd w:fill="FFFFFF"/>
          </w:tcPr>
          <w:p>
            <w:r>
              <w:rPr>
                <w:sz w:val="16"/>
              </w:rPr>
            </w:r>
            <w:r>
              <w:rPr>
                <w:b w:val="0"/>
                <w:sz w:val="16"/>
              </w:rPr>
              <w:t>Exposer</w:t>
            </w:r>
          </w:p>
        </w:tc>
        <w:tc>
          <w:tcPr>
            <w:tcW w:type="dxa" w:w="4753"/>
            <w:vAlign w:val="top"/>
            <w:shd w:fill="FFFFFF"/>
          </w:tcPr>
          <w:p>
            <w:r>
              <w:rPr>
                <w:sz w:val="16"/>
              </w:rPr>
            </w:r>
            <w:r>
              <w:rPr>
                <w:b w:val="0"/>
                <w:sz w:val="16"/>
              </w:rPr>
              <w:t>Creer des vues marts directement exploitables par un futur dashboard Streamlit.</w:t>
            </w:r>
          </w:p>
        </w:tc>
      </w:tr>
    </w:tbl>
    <w:p>
      <w:pPr>
        <w:spacing w:after="100"/>
      </w:pPr>
      <w:r>
        <w:t xml:space="preserve"/>
      </w:r>
    </w:p>
    <w:p>
      <w:pPr>
        <w:pStyle w:val="Heading2"/>
        <w:spacing w:after="120" w:before="280"/>
      </w:pPr>
      <w:r>
        <w:rPr>
          <w:rFonts w:ascii="Arial" w:cs="Arial" w:eastAsia="Arial" w:hAnsi="Arial"/>
          <w:b/>
          <w:bCs/>
          <w:color w:val="2C2C2C"/>
          <w:sz w:val="26"/>
          <w:szCs w:val="26"/>
        </w:rPr>
        <w:t xml:space="preserve">Inventaire des sources</w:t>
      </w:r>
    </w:p>
    <w:p>
      <w:pPr>
        <w:spacing w:after="120"/>
      </w:pPr>
      <w:r>
        <w:rPr>
          <w:rFonts w:ascii="Arial" w:cs="Arial" w:eastAsia="Arial" w:hAnsi="Arial"/>
          <w:sz w:val="20"/>
          <w:szCs w:val="20"/>
        </w:rPr>
        <w:t xml:space="preserve">Les 11 fichiers couvrent trois domaines distincts : les operations e-commerce (commandes, paiements, avis), le catalogue (produits, categories, vendeurs, geolocalisation) et le CRM commercial (leads marketing, deals conclus).</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406"/>
      </w:tblGrid>
      <w:tr>
        <w:tc>
          <w:tcPr>
            <w:tcW w:type="dxa" w:w="32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Fichier CSV</w:t>
            </w:r>
          </w:p>
        </w:tc>
        <w:tc>
          <w:tcPr>
            <w:tcW w:type="dxa" w:w="9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Lignes</w:t>
            </w:r>
          </w:p>
        </w:tc>
        <w:tc>
          <w:tcPr>
            <w:tcW w:type="dxa" w:w="54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olist_orders_dataset.csv</w:t>
            </w:r>
          </w:p>
        </w:tc>
        <w:tc>
          <w:tcPr>
            <w:tcW w:type="dxa" w:w="9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99 441</w:t>
            </w:r>
          </w:p>
        </w:tc>
        <w:tc>
          <w:tcPr>
            <w:tcW w:type="dxa" w:w="5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Commandes avec timestamps complets du cycle de vie (achat, approbation, expedition, livraison, estimation).</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olist_order_items_dataset.csv</w:t>
            </w:r>
          </w:p>
        </w:tc>
        <w:tc>
          <w:tcPr>
            <w:tcW w:type="dxa" w:w="9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112 650</w:t>
            </w:r>
          </w:p>
        </w:tc>
        <w:tc>
          <w:tcPr>
            <w:tcW w:type="dxa" w:w="54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Articles commandes. Cle composite (order_id, order_item_id). Contient prix unitaire et frais de port par item.</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olist_order_payments_dataset.csv</w:t>
            </w:r>
          </w:p>
        </w:tc>
        <w:tc>
          <w:tcPr>
            <w:tcW w:type="dxa" w:w="9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103 886</w:t>
            </w:r>
          </w:p>
        </w:tc>
        <w:tc>
          <w:tcPr>
            <w:tcW w:type="dxa" w:w="5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Paiements. Une commande peut avoir plusieurs lignes de paiement (multi-modes, paiement fractionne).</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olist_order_reviews_dataset.csv</w:t>
            </w:r>
          </w:p>
        </w:tc>
        <w:tc>
          <w:tcPr>
            <w:tcW w:type="dxa" w:w="9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104 719</w:t>
            </w:r>
          </w:p>
        </w:tc>
        <w:tc>
          <w:tcPr>
            <w:tcW w:type="dxa" w:w="54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Avis clients avec score 1-5, titre, message, date de creation et de reponse.</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olist_customers_dataset.csv</w:t>
            </w:r>
          </w:p>
        </w:tc>
        <w:tc>
          <w:tcPr>
            <w:tcW w:type="dxa" w:w="9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99 441</w:t>
            </w:r>
          </w:p>
        </w:tc>
        <w:tc>
          <w:tcPr>
            <w:tcW w:type="dxa" w:w="5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Clients avec double identifiant : customer_id lie a la commande, customer_unique_id stable cross-commandes.</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olist_products_dataset.csv</w:t>
            </w:r>
          </w:p>
        </w:tc>
        <w:tc>
          <w:tcPr>
            <w:tcW w:type="dxa" w:w="9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32 951</w:t>
            </w:r>
          </w:p>
        </w:tc>
        <w:tc>
          <w:tcPr>
            <w:tcW w:type="dxa" w:w="54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Catalogue produits avec categorie (en portugais), dimensions physiques et nombre de photos.</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olist_sellers_dataset.csv</w:t>
            </w:r>
          </w:p>
        </w:tc>
        <w:tc>
          <w:tcPr>
            <w:tcW w:type="dxa" w:w="9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3 095</w:t>
            </w:r>
          </w:p>
        </w:tc>
        <w:tc>
          <w:tcPr>
            <w:tcW w:type="dxa" w:w="5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Vendeurs de la marketplace avec localisation (code postal, ville, etat).</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olist_geolocation_dataset.csv</w:t>
            </w:r>
          </w:p>
        </w:tc>
        <w:tc>
          <w:tcPr>
            <w:tcW w:type="dxa" w:w="9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~1 000 000</w:t>
            </w:r>
          </w:p>
        </w:tc>
        <w:tc>
          <w:tcPr>
            <w:tcW w:type="dxa" w:w="54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Table de reference geographique par prefixe postal. Un meme prefixe peut avoir plusieurs lignes avec des coordonnees legerement differentes.</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product_category_name_translation.csv</w:t>
            </w:r>
          </w:p>
        </w:tc>
        <w:tc>
          <w:tcPr>
            <w:tcW w:type="dxa" w:w="9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70</w:t>
            </w:r>
          </w:p>
        </w:tc>
        <w:tc>
          <w:tcPr>
            <w:tcW w:type="dxa" w:w="5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Table de correspondance entre les noms de categories en portugais et leur traduction en anglais.</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olist_marketing_qualified_leads_dataset.csv</w:t>
            </w:r>
          </w:p>
        </w:tc>
        <w:tc>
          <w:tcPr>
            <w:tcW w:type="dxa" w:w="9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8 000</w:t>
            </w:r>
          </w:p>
        </w:tc>
        <w:tc>
          <w:tcPr>
            <w:tcW w:type="dxa" w:w="54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Leads marketing qualifies (MQL) avec canal d'origine et date de premier contact.</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olist_closed_deals_dataset.csv</w:t>
            </w:r>
          </w:p>
        </w:tc>
        <w:tc>
          <w:tcPr>
            <w:tcW w:type="dxa" w:w="9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842</w:t>
            </w:r>
          </w:p>
        </w:tc>
        <w:tc>
          <w:tcPr>
            <w:tcW w:type="dxa" w:w="5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Deals conclus : leads convertis en vendeurs actifs. Contient des informations metier sur le profil du vendeur.</w:t>
            </w:r>
          </w:p>
        </w:tc>
      </w:tr>
    </w:tbl>
    <w:p>
      <w:pPr>
        <w:spacing w:after="100"/>
      </w:pPr>
      <w:r>
        <w:t xml:space="preserve"/>
      </w:r>
    </w:p>
    <w:p>
      <w:pPr>
        <w:pStyle w:val="Heading2"/>
        <w:spacing w:after="120" w:before="280"/>
      </w:pPr>
      <w:r>
        <w:rPr>
          <w:rFonts w:ascii="Arial" w:cs="Arial" w:eastAsia="Arial" w:hAnsi="Arial"/>
          <w:b/>
          <w:bCs/>
          <w:color w:val="2C2C2C"/>
          <w:sz w:val="26"/>
          <w:szCs w:val="26"/>
        </w:rPr>
        <w:t xml:space="preserve">Enjeux techniques identifies</w:t>
      </w:r>
    </w:p>
    <w:p>
      <w:pPr>
        <w:spacing w:after="120"/>
      </w:pPr>
      <w:r>
        <w:rPr>
          <w:rFonts w:ascii="Arial" w:cs="Arial" w:eastAsia="Arial" w:hAnsi="Arial"/>
          <w:sz w:val="20"/>
          <w:szCs w:val="20"/>
        </w:rPr>
        <w:t xml:space="preserve">L'analyse des sources revele plusieurs contraintes techniques a traiter dans la couche staging :</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Probleme</w:t>
            </w:r>
          </w:p>
        </w:tc>
        <w:tc>
          <w:tcPr>
            <w:tcW w:type="dxa" w:w="67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Solution appliquee dans staging</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Geolocalisation multiple</w:t>
            </w:r>
          </w:p>
        </w:tc>
        <w:tc>
          <w:tcPr>
            <w:tcW w:type="dxa" w:w="67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Un meme code postal peut avoir des centaines de lignes avec des coordonnees differentes. Solution : agregation par moyenne des lat/lng, puis selection de la ville la plus frequente par ROW_NUMBER() OVER PARTITION BY zip_prefix.</w:t>
            </w:r>
          </w:p>
        </w:tc>
      </w:tr>
      <w:tr>
        <w:tc>
          <w:tcPr>
            <w:tcW w:type="dxa" w:w="2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Codes postaux mal formates</w:t>
            </w:r>
          </w:p>
        </w:tc>
        <w:tc>
          <w:tcPr>
            <w:tcW w:type="dxa" w:w="67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LPAD(TRIM(zip_prefix), 5, '0') pour standardiser a 5 caracteres avec zero-padding.</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Valeurs booleennes texte</w:t>
            </w:r>
          </w:p>
        </w:tc>
        <w:tc>
          <w:tcPr>
            <w:tcW w:type="dxa" w:w="67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Les colonnes has_company et has_gtin arrivent en TEXT avec des valeurs 'true', '1', 'sim', 'yes'. Cast conditionnel avec CASE WHEN LOWER(TRIM(...)) IN (...) THEN TRUE.</w:t>
            </w:r>
          </w:p>
        </w:tc>
      </w:tr>
      <w:tr>
        <w:tc>
          <w:tcPr>
            <w:tcW w:type="dxa" w:w="2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Noms de villes inconsistants</w:t>
            </w:r>
          </w:p>
        </w:tc>
        <w:tc>
          <w:tcPr>
            <w:tcW w:type="dxa" w:w="67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LOWER(TRIM()) applique systematiquement pour unifier la casse avant les jointures dans la dimension dim_city.</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Doublons sur les avis</w:t>
            </w:r>
          </w:p>
        </w:tc>
        <w:tc>
          <w:tcPr>
            <w:tcW w:type="dxa" w:w="67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La table olist_order_reviews peut contenir plusieurs review_id pour un meme order_id. La cle primaire est sur review_id dans la table de faits.</w:t>
            </w:r>
          </w:p>
        </w:tc>
      </w:tr>
      <w:tr>
        <w:tc>
          <w:tcPr>
            <w:tcW w:type="dxa" w:w="2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NULL sur les timestamps</w:t>
            </w:r>
          </w:p>
        </w:tc>
        <w:tc>
          <w:tcPr>
            <w:tcW w:type="dxa" w:w="67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Les timestamps order_approved_at, order_delivered_* peuvent etre NULL (commandes en attente ou annulees). Geres via COALESCE et indicateurs booleens is_delivered dans fact_orders.</w:t>
            </w:r>
          </w:p>
        </w:tc>
      </w:tr>
    </w:tbl>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Phase 2 — Modelisation dimensionnelle</w:t>
      </w:r>
    </w:p>
    <w:p>
      <w:pPr>
        <w:pStyle w:val="Heading2"/>
        <w:spacing w:after="120" w:before="280"/>
      </w:pPr>
      <w:r>
        <w:rPr>
          <w:rFonts w:ascii="Arial" w:cs="Arial" w:eastAsia="Arial" w:hAnsi="Arial"/>
          <w:b/>
          <w:bCs/>
          <w:color w:val="2C2C2C"/>
          <w:sz w:val="26"/>
          <w:szCs w:val="26"/>
        </w:rPr>
        <w:t xml:space="preserve">Choix du schema en flocon</w:t>
      </w:r>
    </w:p>
    <w:p>
      <w:pPr>
        <w:spacing w:after="120"/>
      </w:pPr>
      <w:r>
        <w:rPr>
          <w:rFonts w:ascii="Arial" w:cs="Arial" w:eastAsia="Arial" w:hAnsi="Arial"/>
          <w:sz w:val="20"/>
          <w:szCs w:val="20"/>
        </w:rPr>
        <w:t xml:space="preserve">La diversite des processus metier identifies en phase 1 impose plusieurs tables de faits independantes. Un schema en etoile simple aurait entraine une duplication des attributs geographiques (ville, etat, code postal) entre les dimensions client et vendeur.</w:t>
      </w:r>
    </w:p>
    <w:p>
      <w:pPr>
        <w:spacing w:after="120"/>
      </w:pPr>
      <w:r>
        <w:rPr>
          <w:rFonts w:ascii="Arial" w:cs="Arial" w:eastAsia="Arial" w:hAnsi="Arial"/>
          <w:sz w:val="20"/>
          <w:szCs w:val="20"/>
        </w:rPr>
        <w:t xml:space="preserve">Le schema en flocon (snowflake schema) a ete retenu pour les raisons suivantes :</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c>
          <w:tcPr>
            <w:tcW w:type="dxa" w:w="22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Critere</w:t>
            </w:r>
          </w:p>
        </w:tc>
        <w:tc>
          <w:tcPr>
            <w:tcW w:type="dxa" w:w="73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Justification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Dimensions partagees</w:t>
            </w:r>
          </w:p>
        </w:tc>
        <w:tc>
          <w:tcPr>
            <w:tcW w:type="dxa" w:w="73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dim_zip_prefix, dim_city, dim_state sont referencees a la fois par dim_customer et dim_seller. Le flocon evite la redundance.</w:t>
            </w:r>
          </w:p>
        </w:tc>
      </w:tr>
      <w:tr>
        <w:tc>
          <w:tcPr>
            <w:tcW w:type="dxa" w:w="22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Normalisation geographique</w:t>
            </w:r>
          </w:p>
        </w:tc>
        <w:tc>
          <w:tcPr>
            <w:tcW w:type="dxa" w:w="73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La hierarchie state -&gt; city -&gt; zip_prefix est naturelle et permet des analyses a differents niveaux de granularite.</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Coherence des references</w:t>
            </w:r>
          </w:p>
        </w:tc>
        <w:tc>
          <w:tcPr>
            <w:tcW w:type="dxa" w:w="73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Une modification du nom d'une ville est propagee automatiquement a tous les clients et vendeurs de cette ville.</w:t>
            </w:r>
          </w:p>
        </w:tc>
      </w:tr>
      <w:tr>
        <w:tc>
          <w:tcPr>
            <w:tcW w:type="dxa" w:w="22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Performance acceptable</w:t>
            </w:r>
          </w:p>
        </w:tc>
        <w:tc>
          <w:tcPr>
            <w:tcW w:type="dxa" w:w="73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A l'echelle du dataset Olist (~100k commandes), les jointures supplementaires du flocon n'ont pas d'impact significatif. Les index sur les foreign keys couvrent les cas d'usage du dashboard.</w:t>
            </w:r>
          </w:p>
        </w:tc>
      </w:tr>
    </w:tbl>
    <w:p>
      <w:pPr>
        <w:spacing w:after="100"/>
      </w:pPr>
      <w:r>
        <w:t xml:space="preserve"/>
      </w:r>
    </w:p>
    <w:p>
      <w:pPr>
        <w:pStyle w:val="Heading2"/>
        <w:spacing w:after="120" w:before="280"/>
      </w:pPr>
      <w:r>
        <w:rPr>
          <w:rFonts w:ascii="Arial" w:cs="Arial" w:eastAsia="Arial" w:hAnsi="Arial"/>
          <w:b/>
          <w:bCs/>
          <w:color w:val="2C2C2C"/>
          <w:sz w:val="26"/>
          <w:szCs w:val="26"/>
        </w:rPr>
        <w:t xml:space="preserve">Tables de faits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06"/>
      </w:tblGrid>
      <w:tr>
        <w:tc>
          <w:tcPr>
            <w:tcW w:type="dxa" w:w="24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Table</w:t>
            </w:r>
          </w:p>
        </w:tc>
        <w:tc>
          <w:tcPr>
            <w:tcW w:type="dxa" w:w="20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Grain</w:t>
            </w:r>
          </w:p>
        </w:tc>
        <w:tc>
          <w:tcPr>
            <w:tcW w:type="dxa" w:w="51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Mesures et indicateurs</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fact_orders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1 commande</w:t>
            </w:r>
          </w:p>
        </w:tc>
        <w:tc>
          <w:tcPr>
            <w:tcW w:type="dxa" w:w="51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approval_delay_hours, days_to_carrier, days_to_customer, estimated_delivery_days, delivery_delay_days, is_delivered_on_time (BOOLEAN), is_delivered (BOOLEAN), order_count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fact_order_items</w:t>
            </w:r>
          </w:p>
        </w:tc>
        <w:tc>
          <w:tcPr>
            <w:tcW w:type="dxa" w:w="20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1 article commande</w:t>
            </w:r>
          </w:p>
        </w:tc>
        <w:tc>
          <w:tcPr>
            <w:tcW w:type="dxa" w:w="51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item_price, freight_value, total_item_value (= price + freight), item_count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fact_payments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1 paiement</w:t>
            </w:r>
          </w:p>
        </w:tc>
        <w:tc>
          <w:tcPr>
            <w:tcW w:type="dxa" w:w="51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payment_installments, payment_value, payment_count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fact_reviews</w:t>
            </w:r>
          </w:p>
        </w:tc>
        <w:tc>
          <w:tcPr>
            <w:tcW w:type="dxa" w:w="20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1 avis client</w:t>
            </w:r>
          </w:p>
        </w:tc>
        <w:tc>
          <w:tcPr>
            <w:tcW w:type="dxa" w:w="51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review_score, review_response_time_hours, has_review_title, has_review_message, is_positive_review (score &gt;= 4), is_neutral_review (score = 3), is_negative_review (score &lt;= 2)</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fact_marketing_leads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1 lead MQL</w:t>
            </w:r>
          </w:p>
        </w:tc>
        <w:tc>
          <w:tcPr>
            <w:tcW w:type="dxa" w:w="51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lead_count (= 1, additive)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fact_closed_deals</w:t>
            </w:r>
          </w:p>
        </w:tc>
        <w:tc>
          <w:tcPr>
            <w:tcW w:type="dxa" w:w="20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1 deal conclu</w:t>
            </w:r>
          </w:p>
        </w:tc>
        <w:tc>
          <w:tcPr>
            <w:tcW w:type="dxa" w:w="51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declared_product_catalog_size, declared_monthly_revenue, is_active_seller, deal_count</w:t>
            </w:r>
          </w:p>
        </w:tc>
      </w:tr>
    </w:tbl>
    <w:p>
      <w:pPr>
        <w:spacing w:after="100"/>
      </w:pPr>
      <w:r>
        <w:t xml:space="preserve"/>
      </w:r>
    </w:p>
    <w:p>
      <w:pPr>
        <w:pStyle w:val="Heading2"/>
        <w:spacing w:after="120" w:before="280"/>
      </w:pPr>
      <w:r>
        <w:rPr>
          <w:rFonts w:ascii="Arial" w:cs="Arial" w:eastAsia="Arial" w:hAnsi="Arial"/>
          <w:b/>
          <w:bCs/>
          <w:color w:val="2C2C2C"/>
          <w:sz w:val="26"/>
          <w:szCs w:val="26"/>
        </w:rPr>
        <w:t xml:space="preserve">Dimensions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c>
          <w:tcPr>
            <w:tcW w:type="dxa" w:w="22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Dimension</w:t>
            </w:r>
          </w:p>
        </w:tc>
        <w:tc>
          <w:tcPr>
            <w:tcW w:type="dxa" w:w="73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Attributs cles</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dim_date</w:t>
            </w:r>
          </w:p>
        </w:tc>
        <w:tc>
          <w:tcPr>
            <w:tcW w:type="dxa" w:w="73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date_key (YYYYMMDD), full_date, day_of_month, day_of_week, day_name, week_of_year, month_number, month_name, quarter_number, year_number, is_weekend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dim_customer</w:t>
            </w:r>
          </w:p>
        </w:tc>
        <w:tc>
          <w:tcPr>
            <w:tcW w:type="dxa" w:w="73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customer_id, customer_unique_id, zip_prefix_key (FK), city_key (FK), state_key (FK)</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dim_seller</w:t>
            </w:r>
          </w:p>
        </w:tc>
        <w:tc>
          <w:tcPr>
            <w:tcW w:type="dxa" w:w="73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seller_id, zip_prefix_key (FK), city_key (FK), state_key (FK)</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dim_product</w:t>
            </w:r>
          </w:p>
        </w:tc>
        <w:tc>
          <w:tcPr>
            <w:tcW w:type="dxa" w:w="73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product_id, product_category_key (FK), product_name_length, product_description_length, product_photos_qty, product_weight_g, dimensions (l/h/w cm)</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dim_product_category</w:t>
            </w:r>
          </w:p>
        </w:tc>
        <w:tc>
          <w:tcPr>
            <w:tcW w:type="dxa" w:w="73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product_category_name (PT), product_category_name_english (EN)</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dim_zip_prefix</w:t>
            </w:r>
          </w:p>
        </w:tc>
        <w:tc>
          <w:tcPr>
            <w:tcW w:type="dxa" w:w="73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zip_prefix, city_key (FK), state_key (FK), latitude, longitude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dim_city</w:t>
            </w:r>
          </w:p>
        </w:tc>
        <w:tc>
          <w:tcPr>
            <w:tcW w:type="dxa" w:w="73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city_name, state_key (FK) — UNIQUE(city_name, state_key)</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dim_state</w:t>
            </w:r>
          </w:p>
        </w:tc>
        <w:tc>
          <w:tcPr>
            <w:tcW w:type="dxa" w:w="73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state_code (2 lettres), state_name (nom complet en portugais)</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dim_order_status</w:t>
            </w:r>
          </w:p>
        </w:tc>
        <w:tc>
          <w:tcPr>
            <w:tcW w:type="dxa" w:w="73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order_status — valeurs : delivered, shipped, canceled, processing...</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dim_payment_type</w:t>
            </w:r>
          </w:p>
        </w:tc>
        <w:tc>
          <w:tcPr>
            <w:tcW w:type="dxa" w:w="73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payment_type — valeurs : credit_card, boleto, voucher, debit_card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dim_marketing_origin</w:t>
            </w:r>
          </w:p>
        </w:tc>
        <w:tc>
          <w:tcPr>
            <w:tcW w:type="dxa" w:w="73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origin_name — valeurs : organic_search, social, direct_traffic, email...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dim_sales_rep</w:t>
            </w:r>
          </w:p>
        </w:tc>
        <w:tc>
          <w:tcPr>
            <w:tcW w:type="dxa" w:w="73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sales_rep_id, sales_role — UNIQUE(sales_rep_id, sales_role). Deux roles : SDR et SR.</w:t>
            </w:r>
          </w:p>
        </w:tc>
      </w:tr>
    </w:tbl>
    <w:p>
      <w:pPr>
        <w:spacing w:after="100"/>
      </w:pPr>
      <w:r>
        <w:t xml:space="preserve"/>
      </w:r>
    </w:p>
    <w:p>
      <w:pPr>
        <w:pStyle w:val="Heading2"/>
        <w:spacing w:after="120" w:before="280"/>
      </w:pPr>
      <w:r>
        <w:rPr>
          <w:rFonts w:ascii="Arial" w:cs="Arial" w:eastAsia="Arial" w:hAnsi="Arial"/>
          <w:b/>
          <w:bCs/>
          <w:color w:val="2C2C2C"/>
          <w:sz w:val="26"/>
          <w:szCs w:val="26"/>
        </w:rPr>
        <w:t xml:space="preserve">Schema de modelisation dimensionnelle</w:t>
      </w:r>
    </w:p>
    <w:p>
      <w:pPr>
        <w:spacing w:after="100"/>
      </w:pPr>
      <w:r>
        <w:t xml:space="preserve"/>
      </w:r>
    </w:p>
    <w:p>
      <w:pPr>
        <w:jc w:val="center"/>
      </w:pPr>
      <w:r>
        <w:drawing>
          <wp:inline distT="0" distB="0" distL="0" distR="0">
            <wp:extent cx="6477000" cy="4857750"/>
            <wp:effectExtent t="0" r="0" b="0" l="0"/>
            <wp:docPr id="1" name="schema_dimensionnel" descr="Schema en flocon du Data Warehouse Olist" title="Schema dimensionnel O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4857750"/>
                    </a:xfrm>
                    <a:prstGeom prst="rect">
                      <a:avLst/>
                    </a:prstGeom>
                  </pic:spPr>
                </pic:pic>
              </a:graphicData>
            </a:graphic>
          </wp:inline>
        </w:drawing>
      </w:r>
    </w:p>
    <w:p>
      <w:pPr>
        <w:spacing w:after="120"/>
        <w:jc w:val="center"/>
      </w:pPr>
      <w:r>
        <w:rPr>
          <w:rFonts w:ascii="Arial" w:cs="Arial" w:eastAsia="Arial" w:hAnsi="Arial"/>
          <w:i/>
          <w:iCs/>
          <w:color w:val="666666"/>
          <w:sz w:val="17"/>
          <w:szCs w:val="17"/>
        </w:rPr>
        <w:t xml:space="preserve">Schema de modelisation dimensionnelle — Olist Data Warehouse (snowflake schema)</w:t>
      </w:r>
    </w:p>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Phase 3 — Pipeline ELT</w:t>
      </w:r>
    </w:p>
    <w:p>
      <w:pPr>
        <w:pStyle w:val="Heading2"/>
        <w:spacing w:after="120" w:before="280"/>
      </w:pPr>
      <w:r>
        <w:rPr>
          <w:rFonts w:ascii="Arial" w:cs="Arial" w:eastAsia="Arial" w:hAnsi="Arial"/>
          <w:b/>
          <w:bCs/>
          <w:color w:val="2C2C2C"/>
          <w:sz w:val="26"/>
          <w:szCs w:val="26"/>
        </w:rPr>
        <w:t xml:space="preserve">Strategie de chargement</w:t>
      </w:r>
    </w:p>
    <w:p>
      <w:pPr>
        <w:spacing w:after="120"/>
      </w:pPr>
      <w:r>
        <w:rPr>
          <w:rFonts w:ascii="Arial" w:cs="Arial" w:eastAsia="Arial" w:hAnsi="Arial"/>
          <w:sz w:val="20"/>
          <w:szCs w:val="20"/>
        </w:rPr>
        <w:t xml:space="preserve">Le pipeline suit une strategie ELT (Extract → Load → Transform) : les donnees brutes sont chargees en premier dans le schema raw sans aucune transformation, puis transformees en SQL directement dans PostgreSQL. Cette approche presente plusieurs avantages : la couche raw permet de rejouer n'importe quelle etape sans re-telechargement, et les transformations SQL sont plus performantes que des transformations Python sur des volumes de cette taille.</w:t>
      </w:r>
    </w:p>
    <w:p>
      <w:pPr>
        <w:spacing w:after="100"/>
      </w:pPr>
      <w:r>
        <w:t xml:space="preserve"/>
      </w:r>
    </w:p>
    <w:p>
      <w:pPr>
        <w:pStyle w:val="Heading2"/>
        <w:spacing w:after="120" w:before="280"/>
      </w:pPr>
      <w:r>
        <w:rPr>
          <w:rFonts w:ascii="Arial" w:cs="Arial" w:eastAsia="Arial" w:hAnsi="Arial"/>
          <w:b/>
          <w:bCs/>
          <w:color w:val="2C2C2C"/>
          <w:sz w:val="26"/>
          <w:szCs w:val="26"/>
        </w:rPr>
        <w:t xml:space="preserve">Couche RAW — Ingestion</w:t>
      </w:r>
    </w:p>
    <w:p>
      <w:pPr>
        <w:pStyle w:val="Heading3"/>
        <w:spacing w:after="80" w:before="200"/>
      </w:pPr>
      <w:r>
        <w:rPr>
          <w:rFonts w:ascii="Arial" w:cs="Arial" w:eastAsia="Arial" w:hAnsi="Arial"/>
          <w:b/>
          <w:bCs/>
          <w:color w:val="3A3A3A"/>
          <w:sz w:val="22"/>
          <w:szCs w:val="22"/>
        </w:rPr>
        <w:t xml:space="preserve">Mecanisme de chargement</w:t>
      </w:r>
    </w:p>
    <w:p>
      <w:pPr>
        <w:spacing w:after="120"/>
      </w:pPr>
      <w:r>
        <w:rPr>
          <w:rFonts w:ascii="Arial" w:cs="Arial" w:eastAsia="Arial" w:hAnsi="Arial"/>
          <w:sz w:val="20"/>
          <w:szCs w:val="20"/>
        </w:rPr>
        <w:t xml:space="preserve">Le chargement des CSV vers la couche raw utilise la commande PostgreSQL COPY FROM STDIN via psycopg2.cursor.copy_expert(). Cette approche est significativement plus rapide qu'un INSERT ligne par ligne : pour 1 million de lignes de geolocalisation, le COPY prend quelques secondes contre plusieurs minutes en mode INSERT.</w:t>
      </w:r>
    </w:p>
    <w:p>
      <w:pPr>
        <w:spacing w:after="100"/>
      </w:pPr>
      <w:r>
        <w:t xml:space="preserve"/>
      </w:r>
    </w:p>
    <w:p>
      <w:pPr>
        <w:shd w:fill="F2F2F2" w:val="clear"/>
        <w:spacing w:after="60" w:before="60"/>
        <w:ind w:left="360"/>
      </w:pPr>
      <w:r>
        <w:rPr>
          <w:rFonts w:ascii="Courier New" w:cs="Courier New" w:eastAsia="Courier New" w:hAnsi="Courier New"/>
          <w:sz w:val="16"/>
          <w:szCs w:val="16"/>
        </w:rPr>
        <w:t xml:space="preserve">COPY raw.olist_geolocation (geolocation_zip_code_prefix, geolocation_lat, geolocation_lng,</w:t>
      </w:r>
    </w:p>
    <w:p>
      <w:pPr>
        <w:shd w:fill="F2F2F2" w:val="clear"/>
        <w:spacing w:after="60" w:before="60"/>
        <w:ind w:left="360"/>
      </w:pPr>
      <w:r>
        <w:rPr>
          <w:rFonts w:ascii="Courier New" w:cs="Courier New" w:eastAsia="Courier New" w:hAnsi="Courier New"/>
          <w:sz w:val="16"/>
          <w:szCs w:val="16"/>
        </w:rPr>
        <w:t xml:space="preserve">                            geolocation_city, geolocation_state)</w:t>
      </w:r>
    </w:p>
    <w:p>
      <w:pPr>
        <w:shd w:fill="F2F2F2" w:val="clear"/>
        <w:spacing w:after="60" w:before="60"/>
        <w:ind w:left="360"/>
      </w:pPr>
      <w:r>
        <w:rPr>
          <w:rFonts w:ascii="Courier New" w:cs="Courier New" w:eastAsia="Courier New" w:hAnsi="Courier New"/>
          <w:sz w:val="16"/>
          <w:szCs w:val="16"/>
        </w:rPr>
        <w:t xml:space="preserve">FROM STDIN</w:t>
      </w:r>
    </w:p>
    <w:p>
      <w:pPr>
        <w:shd w:fill="F2F2F2" w:val="clear"/>
        <w:spacing w:after="60" w:before="60"/>
        <w:ind w:left="360"/>
      </w:pPr>
      <w:r>
        <w:rPr>
          <w:rFonts w:ascii="Courier New" w:cs="Courier New" w:eastAsia="Courier New" w:hAnsi="Courier New"/>
          <w:sz w:val="16"/>
          <w:szCs w:val="16"/>
        </w:rPr>
        <w:t xml:space="preserve">WITH (FORMAT CSV, HEADER TRUE, NULL '', ENCODING 'UTF8')</w:t>
      </w:r>
    </w:p>
    <w:p>
      <w:pPr>
        <w:spacing w:after="100"/>
      </w:pPr>
      <w:r>
        <w:t xml:space="preserve"/>
      </w:r>
    </w:p>
    <w:p>
      <w:pPr>
        <w:spacing w:after="120"/>
      </w:pPr>
      <w:r>
        <w:rPr>
          <w:rFonts w:ascii="Arial" w:cs="Arial" w:eastAsia="Arial" w:hAnsi="Arial"/>
          <w:sz w:val="20"/>
          <w:szCs w:val="20"/>
        </w:rPr>
        <w:t xml:space="preserve">Avant chaque chargement, toutes les tables raw sont tronquees avec RESTART IDENTITY CASCADE pour garantir l'idempotence du pipeline. Un rechargement complet est toujours possible sans effets de bord.</w:t>
      </w:r>
    </w:p>
    <w:p>
      <w:pPr>
        <w:spacing w:after="100"/>
      </w:pPr>
      <w:r>
        <w:t xml:space="preserve"/>
      </w:r>
    </w:p>
    <w:p>
      <w:pPr>
        <w:pStyle w:val="Heading2"/>
        <w:spacing w:after="120" w:before="280"/>
      </w:pPr>
      <w:r>
        <w:rPr>
          <w:rFonts w:ascii="Arial" w:cs="Arial" w:eastAsia="Arial" w:hAnsi="Arial"/>
          <w:b/>
          <w:bCs/>
          <w:color w:val="2C2C2C"/>
          <w:sz w:val="26"/>
          <w:szCs w:val="26"/>
        </w:rPr>
        <w:t xml:space="preserve">Couche STAGING — Transformations</w:t>
      </w:r>
    </w:p>
    <w:p>
      <w:pPr>
        <w:pStyle w:val="Heading3"/>
        <w:spacing w:after="80" w:before="200"/>
      </w:pPr>
      <w:r>
        <w:rPr>
          <w:rFonts w:ascii="Arial" w:cs="Arial" w:eastAsia="Arial" w:hAnsi="Arial"/>
          <w:b/>
          <w:bCs/>
          <w:color w:val="3A3A3A"/>
          <w:sz w:val="22"/>
          <w:szCs w:val="22"/>
        </w:rPr>
        <w:t xml:space="preserve">Standardisation geographique</w:t>
      </w:r>
    </w:p>
    <w:p>
      <w:pPr>
        <w:spacing w:after="120"/>
      </w:pPr>
      <w:r>
        <w:rPr>
          <w:rFonts w:ascii="Arial" w:cs="Arial" w:eastAsia="Arial" w:hAnsi="Arial"/>
          <w:sz w:val="20"/>
          <w:szCs w:val="20"/>
        </w:rPr>
        <w:t xml:space="preserve">La geolocalisation est le traitement le plus complexe de la couche staging. La table brute contient ~1 million de lignes pour seulement ~19 000 prefixes postaux uniques, avec des coordonnees et des noms de villes variables pour un meme prefixe. La transformation applique deux etapes :</w:t>
      </w:r>
    </w:p>
    <w:p>
      <w:pPr>
        <w:spacing w:after="100"/>
      </w:pPr>
      <w:r>
        <w:t xml:space="preserve"/>
      </w:r>
    </w:p>
    <w:p>
      <w:pPr>
        <w:shd w:fill="F2F2F2" w:val="clear"/>
        <w:spacing w:after="60" w:before="60"/>
        <w:ind w:left="360"/>
      </w:pPr>
      <w:r>
        <w:rPr>
          <w:rFonts w:ascii="Courier New" w:cs="Courier New" w:eastAsia="Courier New" w:hAnsi="Courier New"/>
          <w:sz w:val="16"/>
          <w:szCs w:val="16"/>
        </w:rPr>
        <w:t xml:space="preserve">-- Etape 1 : moyenne des coordonnees par prefixe</w:t>
      </w:r>
    </w:p>
    <w:p>
      <w:pPr>
        <w:shd w:fill="F2F2F2" w:val="clear"/>
        <w:spacing w:after="60" w:before="60"/>
        <w:ind w:left="360"/>
      </w:pPr>
      <w:r>
        <w:rPr>
          <w:rFonts w:ascii="Courier New" w:cs="Courier New" w:eastAsia="Courier New" w:hAnsi="Courier New"/>
          <w:sz w:val="16"/>
          <w:szCs w:val="16"/>
        </w:rPr>
        <w:t xml:space="preserve">geo_avg AS (</w:t>
      </w:r>
    </w:p>
    <w:p>
      <w:pPr>
        <w:shd w:fill="F2F2F2" w:val="clear"/>
        <w:spacing w:after="60" w:before="60"/>
        <w:ind w:left="360"/>
      </w:pPr>
      <w:r>
        <w:rPr>
          <w:rFonts w:ascii="Courier New" w:cs="Courier New" w:eastAsia="Courier New" w:hAnsi="Courier New"/>
          <w:sz w:val="16"/>
          <w:szCs w:val="16"/>
        </w:rPr>
        <w:t xml:space="preserve">  SELECT zip_prefix, AVG(latitude) AS latitude, AVG(longitude) AS longitude</w:t>
      </w:r>
    </w:p>
    <w:p>
      <w:pPr>
        <w:shd w:fill="F2F2F2" w:val="clear"/>
        <w:spacing w:after="60" w:before="60"/>
        <w:ind w:left="360"/>
      </w:pPr>
      <w:r>
        <w:rPr>
          <w:rFonts w:ascii="Courier New" w:cs="Courier New" w:eastAsia="Courier New" w:hAnsi="Courier New"/>
          <w:sz w:val="16"/>
          <w:szCs w:val="16"/>
        </w:rPr>
        <w:t xml:space="preserve">  FROM cleaned GROUP BY zip_prefix</w:t>
      </w:r>
    </w:p>
    <w:p>
      <w:pPr>
        <w:shd w:fill="F2F2F2" w:val="clear"/>
        <w:spacing w:after="60" w:before="60"/>
        <w:ind w:left="360"/>
      </w:pPr>
      <w:r>
        <w:rPr>
          <w:rFonts w:ascii="Courier New" w:cs="Courier New" w:eastAsia="Courier New" w:hAnsi="Courier New"/>
          <w:sz w:val="16"/>
          <w:szCs w:val="16"/>
        </w:rPr>
        <w:t xml:space="preserve">),</w:t>
      </w:r>
    </w:p>
    <w:p>
      <w:pPr>
        <w:shd w:fill="F2F2F2" w:val="clear"/>
        <w:spacing w:after="60" w:before="60"/>
        <w:ind w:left="360"/>
      </w:pPr>
      <w:r>
        <w:rPr>
          <w:rFonts w:ascii="Courier New" w:cs="Courier New" w:eastAsia="Courier New" w:hAnsi="Courier New"/>
          <w:sz w:val="16"/>
          <w:szCs w:val="16"/>
        </w:rPr>
        <w:t xml:space="preserve">-- Etape 2 : ville la plus frequente pour ce prefixe</w:t>
      </w:r>
    </w:p>
    <w:p>
      <w:pPr>
        <w:shd w:fill="F2F2F2" w:val="clear"/>
        <w:spacing w:after="60" w:before="60"/>
        <w:ind w:left="360"/>
      </w:pPr>
      <w:r>
        <w:rPr>
          <w:rFonts w:ascii="Courier New" w:cs="Courier New" w:eastAsia="Courier New" w:hAnsi="Courier New"/>
          <w:sz w:val="16"/>
          <w:szCs w:val="16"/>
        </w:rPr>
        <w:t xml:space="preserve">city_rank AS (</w:t>
      </w:r>
    </w:p>
    <w:p>
      <w:pPr>
        <w:shd w:fill="F2F2F2" w:val="clear"/>
        <w:spacing w:after="60" w:before="60"/>
        <w:ind w:left="360"/>
      </w:pPr>
      <w:r>
        <w:rPr>
          <w:rFonts w:ascii="Courier New" w:cs="Courier New" w:eastAsia="Courier New" w:hAnsi="Courier New"/>
          <w:sz w:val="16"/>
          <w:szCs w:val="16"/>
        </w:rPr>
        <w:t xml:space="preserve">  SELECT zip_prefix, city_name, state_code,</w:t>
      </w:r>
    </w:p>
    <w:p>
      <w:pPr>
        <w:shd w:fill="F2F2F2" w:val="clear"/>
        <w:spacing w:after="60" w:before="60"/>
        <w:ind w:left="360"/>
      </w:pPr>
      <w:r>
        <w:rPr>
          <w:rFonts w:ascii="Courier New" w:cs="Courier New" w:eastAsia="Courier New" w:hAnsi="Courier New"/>
          <w:sz w:val="16"/>
          <w:szCs w:val="16"/>
        </w:rPr>
        <w:t xml:space="preserve">    ROW_NUMBER() OVER (PARTITION BY zip_prefix</w:t>
      </w:r>
    </w:p>
    <w:p>
      <w:pPr>
        <w:shd w:fill="F2F2F2" w:val="clear"/>
        <w:spacing w:after="60" w:before="60"/>
        <w:ind w:left="360"/>
      </w:pPr>
      <w:r>
        <w:rPr>
          <w:rFonts w:ascii="Courier New" w:cs="Courier New" w:eastAsia="Courier New" w:hAnsi="Courier New"/>
          <w:sz w:val="16"/>
          <w:szCs w:val="16"/>
        </w:rPr>
        <w:t xml:space="preserve">      ORDER BY COUNT(*) DESC, city_name, state_code) AS rn</w:t>
      </w:r>
    </w:p>
    <w:p>
      <w:pPr>
        <w:shd w:fill="F2F2F2" w:val="clear"/>
        <w:spacing w:after="60" w:before="60"/>
        <w:ind w:left="360"/>
      </w:pPr>
      <w:r>
        <w:rPr>
          <w:rFonts w:ascii="Courier New" w:cs="Courier New" w:eastAsia="Courier New" w:hAnsi="Courier New"/>
          <w:sz w:val="16"/>
          <w:szCs w:val="16"/>
        </w:rPr>
        <w:t xml:space="preserve">  FROM cleaned GROUP BY zip_prefix, city_name, state_code</w:t>
      </w:r>
    </w:p>
    <w:p>
      <w:pPr>
        <w:shd w:fill="F2F2F2" w:val="clear"/>
        <w:spacing w:after="60" w:before="60"/>
        <w:ind w:left="360"/>
      </w:pPr>
      <w:r>
        <w:rPr>
          <w:rFonts w:ascii="Courier New" w:cs="Courier New" w:eastAsia="Courier New" w:hAnsi="Courier New"/>
          <w:sz w:val="16"/>
          <w:szCs w:val="16"/>
        </w:rPr>
        <w:t xml:space="preserve">)</w:t>
      </w:r>
    </w:p>
    <w:p>
      <w:pPr>
        <w:spacing w:after="100"/>
      </w:pPr>
      <w:r>
        <w:t xml:space="preserve"/>
      </w:r>
    </w:p>
    <w:p>
      <w:pPr>
        <w:pStyle w:val="Heading3"/>
        <w:spacing w:after="80" w:before="200"/>
      </w:pPr>
      <w:r>
        <w:rPr>
          <w:rFonts w:ascii="Arial" w:cs="Arial" w:eastAsia="Arial" w:hAnsi="Arial"/>
          <w:b/>
          <w:bCs/>
          <w:color w:val="3A3A3A"/>
          <w:sz w:val="22"/>
          <w:szCs w:val="22"/>
        </w:rPr>
        <w:t xml:space="preserve">Cast des booleens</w:t>
      </w:r>
    </w:p>
    <w:p>
      <w:pPr>
        <w:spacing w:after="120"/>
      </w:pPr>
      <w:r>
        <w:rPr>
          <w:rFonts w:ascii="Arial" w:cs="Arial" w:eastAsia="Arial" w:hAnsi="Arial"/>
          <w:sz w:val="20"/>
          <w:szCs w:val="20"/>
        </w:rPr>
        <w:t xml:space="preserve">Les colonnes has_company et has_gtin arrivent en TEXT dans le fichier brut avec des valeurs heterogenes. La transformation staging les convertit en BOOLEAN via un CASE conditionnel tolerant :</w:t>
      </w:r>
    </w:p>
    <w:p>
      <w:pPr>
        <w:spacing w:after="100"/>
      </w:pPr>
      <w:r>
        <w:t xml:space="preserve"/>
      </w:r>
    </w:p>
    <w:p>
      <w:pPr>
        <w:shd w:fill="F2F2F2" w:val="clear"/>
        <w:spacing w:after="60" w:before="60"/>
        <w:ind w:left="360"/>
      </w:pPr>
      <w:r>
        <w:rPr>
          <w:rFonts w:ascii="Courier New" w:cs="Courier New" w:eastAsia="Courier New" w:hAnsi="Courier New"/>
          <w:sz w:val="16"/>
          <w:szCs w:val="16"/>
        </w:rPr>
        <w:t xml:space="preserve">CASE WHEN LOWER(TRIM(has_company)) IN ('true','1','yes','y','sim') THEN TRUE</w:t>
      </w:r>
    </w:p>
    <w:p>
      <w:pPr>
        <w:shd w:fill="F2F2F2" w:val="clear"/>
        <w:spacing w:after="60" w:before="60"/>
        <w:ind w:left="360"/>
      </w:pPr>
      <w:r>
        <w:rPr>
          <w:rFonts w:ascii="Courier New" w:cs="Courier New" w:eastAsia="Courier New" w:hAnsi="Courier New"/>
          <w:sz w:val="16"/>
          <w:szCs w:val="16"/>
        </w:rPr>
        <w:t xml:space="preserve">     WHEN LOWER(TRIM(has_company)) IN ('false','0','no','n','nao') THEN FALSE</w:t>
      </w:r>
    </w:p>
    <w:p>
      <w:pPr>
        <w:shd w:fill="F2F2F2" w:val="clear"/>
        <w:spacing w:after="60" w:before="60"/>
        <w:ind w:left="360"/>
      </w:pPr>
      <w:r>
        <w:rPr>
          <w:rFonts w:ascii="Courier New" w:cs="Courier New" w:eastAsia="Courier New" w:hAnsi="Courier New"/>
          <w:sz w:val="16"/>
          <w:szCs w:val="16"/>
        </w:rPr>
        <w:t xml:space="preserve">     ELSE NULL</w:t>
      </w:r>
    </w:p>
    <w:p>
      <w:pPr>
        <w:shd w:fill="F2F2F2" w:val="clear"/>
        <w:spacing w:after="60" w:before="60"/>
        <w:ind w:left="360"/>
      </w:pPr>
      <w:r>
        <w:rPr>
          <w:rFonts w:ascii="Courier New" w:cs="Courier New" w:eastAsia="Courier New" w:hAnsi="Courier New"/>
          <w:sz w:val="16"/>
          <w:szCs w:val="16"/>
        </w:rPr>
        <w:t xml:space="preserve">END AS has_company</w:t>
      </w:r>
    </w:p>
    <w:p>
      <w:pPr>
        <w:spacing w:after="100"/>
      </w:pPr>
      <w:r>
        <w:t xml:space="preserve"/>
      </w:r>
    </w:p>
    <w:p>
      <w:pPr>
        <w:pStyle w:val="Heading2"/>
        <w:spacing w:after="120" w:before="280"/>
      </w:pPr>
      <w:r>
        <w:rPr>
          <w:rFonts w:ascii="Arial" w:cs="Arial" w:eastAsia="Arial" w:hAnsi="Arial"/>
          <w:b/>
          <w:bCs/>
          <w:color w:val="2C2C2C"/>
          <w:sz w:val="26"/>
          <w:szCs w:val="26"/>
        </w:rPr>
        <w:t xml:space="preserve">Couche DWH — Chargement dimensionnel</w:t>
      </w:r>
    </w:p>
    <w:p>
      <w:pPr>
        <w:pStyle w:val="Heading3"/>
        <w:spacing w:after="80" w:before="200"/>
      </w:pPr>
      <w:r>
        <w:rPr>
          <w:rFonts w:ascii="Arial" w:cs="Arial" w:eastAsia="Arial" w:hAnsi="Arial"/>
          <w:b/>
          <w:bCs/>
          <w:color w:val="3A3A3A"/>
          <w:sz w:val="22"/>
          <w:szCs w:val="22"/>
        </w:rPr>
        <w:t xml:space="preserve">Ordre de chargement</w:t>
      </w:r>
    </w:p>
    <w:p>
      <w:pPr>
        <w:spacing w:after="120"/>
      </w:pPr>
      <w:r>
        <w:rPr>
          <w:rFonts w:ascii="Arial" w:cs="Arial" w:eastAsia="Arial" w:hAnsi="Arial"/>
          <w:sz w:val="20"/>
          <w:szCs w:val="20"/>
        </w:rPr>
        <w:t xml:space="preserve">Les dimensions doivent imperativement etre chargees avant les tables de faits, et les dimensions de reference geographique avant les autres dimensions. L'ordre applique est le suivant :</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406"/>
      </w:tblGrid>
      <w:tr>
        <w:tc>
          <w:tcPr>
            <w:tcW w:type="dxa" w:w="6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Ordre</w:t>
            </w:r>
          </w:p>
        </w:tc>
        <w:tc>
          <w:tcPr>
            <w:tcW w:type="dxa" w:w="25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Table</w:t>
            </w:r>
          </w:p>
        </w:tc>
        <w:tc>
          <w:tcPr>
            <w:tcW w:type="dxa" w:w="64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Dependance</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1</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dim_date</w:t>
            </w:r>
          </w:p>
        </w:tc>
        <w:tc>
          <w:tcPr>
            <w:tcW w:type="dxa" w:w="6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Generee par GENERATE_SERIES couvrant toutes les dates presentes dans staging. Aucune dependance.</w:t>
            </w:r>
          </w:p>
        </w:tc>
      </w:tr>
      <w:tr>
        <w:tc>
          <w:tcPr>
            <w:tcW w:type="dxa" w:w="6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2</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dim_state</w:t>
            </w:r>
          </w:p>
        </w:tc>
        <w:tc>
          <w:tcPr>
            <w:tcW w:type="dxa" w:w="64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Source : UNION des state_code de stg_geolocation, stg_customers, stg_sellers. CASE WHEN pour les noms complets.</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3</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dim_city</w:t>
            </w:r>
          </w:p>
        </w:tc>
        <w:tc>
          <w:tcPr>
            <w:tcW w:type="dxa" w:w="6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Dependance : dim_state (pour state_key). Cle unique sur (city_name, state_key).</w:t>
            </w:r>
          </w:p>
        </w:tc>
      </w:tr>
      <w:tr>
        <w:tc>
          <w:tcPr>
            <w:tcW w:type="dxa" w:w="6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4</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dim_zip_prefix</w:t>
            </w:r>
          </w:p>
        </w:tc>
        <w:tc>
          <w:tcPr>
            <w:tcW w:type="dxa" w:w="64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Dependance : dim_city, dim_state. Coordonnees GPS issues de stg_geolocation.</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5</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dim_customer / dim_seller</w:t>
            </w:r>
          </w:p>
        </w:tc>
        <w:tc>
          <w:tcPr>
            <w:tcW w:type="dxa" w:w="6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Dependance : dim_zip_prefix, dim_city, dim_state.</w:t>
            </w:r>
          </w:p>
        </w:tc>
      </w:tr>
      <w:tr>
        <w:tc>
          <w:tcPr>
            <w:tcW w:type="dxa" w:w="6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6</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dim_product_category / dim_product</w:t>
            </w:r>
          </w:p>
        </w:tc>
        <w:tc>
          <w:tcPr>
            <w:tcW w:type="dxa" w:w="64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dim_product depend de dim_product_category pour product_category_key.</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7</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Petites dimensions</w:t>
            </w:r>
          </w:p>
        </w:tc>
        <w:tc>
          <w:tcPr>
            <w:tcW w:type="dxa" w:w="6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dim_order_status, dim_payment_type, dim_marketing_origin, dim_landing_page, etc. SELECT DISTINCT avec COALESCE('unknown').</w:t>
            </w:r>
          </w:p>
        </w:tc>
      </w:tr>
      <w:tr>
        <w:tc>
          <w:tcPr>
            <w:tcW w:type="dxa" w:w="6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8</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fact_marketing_leads</w:t>
            </w:r>
          </w:p>
        </w:tc>
        <w:tc>
          <w:tcPr>
            <w:tcW w:type="dxa" w:w="64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Premiere table de faits. Dependance : dim_date, dim_landing_page, dim_marketing_origin.</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9</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fact_closed_deals</w:t>
            </w:r>
          </w:p>
        </w:tc>
        <w:tc>
          <w:tcPr>
            <w:tcW w:type="dxa" w:w="6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Dependance : dim_seller, dim_date, dim_sales_rep, dim_business_segment, dim_lead_type, dim_lead_profile.</w:t>
            </w:r>
          </w:p>
        </w:tc>
      </w:tr>
      <w:tr>
        <w:tc>
          <w:tcPr>
            <w:tcW w:type="dxa" w:w="6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10</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fact_orders</w:t>
            </w:r>
          </w:p>
        </w:tc>
        <w:tc>
          <w:tcPr>
            <w:tcW w:type="dxa" w:w="64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Table de faits centrale. Calcul des metriques temporelles via EXTRACT(EPOCH FROM ...).</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11</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fact_order_items</w:t>
            </w:r>
          </w:p>
        </w:tc>
        <w:tc>
          <w:tcPr>
            <w:tcW w:type="dxa" w:w="6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Dependance : fact_orders (order_key), dim_product, dim_seller.</w:t>
            </w:r>
          </w:p>
        </w:tc>
      </w:tr>
      <w:tr>
        <w:tc>
          <w:tcPr>
            <w:tcW w:type="dxa" w:w="6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12</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fact_payments</w:t>
            </w:r>
          </w:p>
        </w:tc>
        <w:tc>
          <w:tcPr>
            <w:tcW w:type="dxa" w:w="64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Dependance : fact_orders (order_key), dim_payment_type.</w:t>
            </w:r>
          </w:p>
        </w:tc>
      </w:tr>
      <w:tr>
        <w:tc>
          <w:tcPr>
            <w:tcW w:type="dxa" w:w="6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13</w:t>
            </w:r>
          </w:p>
        </w:tc>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fact_reviews</w:t>
            </w:r>
          </w:p>
        </w:tc>
        <w:tc>
          <w:tcPr>
            <w:tcW w:type="dxa" w:w="64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Dependance : fact_orders (order_key). Dernier a charger.</w:t>
            </w:r>
          </w:p>
        </w:tc>
      </w:tr>
    </w:tbl>
    <w:p>
      <w:pPr>
        <w:spacing w:after="100"/>
      </w:pPr>
      <w:r>
        <w:t xml:space="preserve"/>
      </w:r>
    </w:p>
    <w:p>
      <w:pPr>
        <w:pStyle w:val="Heading3"/>
        <w:spacing w:after="80" w:before="200"/>
      </w:pPr>
      <w:r>
        <w:rPr>
          <w:rFonts w:ascii="Arial" w:cs="Arial" w:eastAsia="Arial" w:hAnsi="Arial"/>
          <w:b/>
          <w:bCs/>
          <w:color w:val="3A3A3A"/>
          <w:sz w:val="22"/>
          <w:szCs w:val="22"/>
        </w:rPr>
        <w:t xml:space="preserve">Calcul des metriques de livraison</w:t>
      </w:r>
    </w:p>
    <w:p>
      <w:pPr>
        <w:spacing w:after="120"/>
      </w:pPr>
      <w:r>
        <w:rPr>
          <w:rFonts w:ascii="Arial" w:cs="Arial" w:eastAsia="Arial" w:hAnsi="Arial"/>
          <w:sz w:val="20"/>
          <w:szCs w:val="20"/>
        </w:rPr>
        <w:t xml:space="preserve">Les indicateurs de performance logistique sont calcules directement dans l'INSERT de fact_orders par des operations sur les timestamps :</w:t>
      </w:r>
    </w:p>
    <w:p>
      <w:pPr>
        <w:spacing w:after="100"/>
      </w:pPr>
      <w:r>
        <w:t xml:space="preserve"/>
      </w:r>
    </w:p>
    <w:p>
      <w:pPr>
        <w:shd w:fill="F2F2F2" w:val="clear"/>
        <w:spacing w:after="60" w:before="60"/>
        <w:ind w:left="360"/>
      </w:pPr>
      <w:r>
        <w:rPr>
          <w:rFonts w:ascii="Courier New" w:cs="Courier New" w:eastAsia="Courier New" w:hAnsi="Courier New"/>
          <w:sz w:val="16"/>
          <w:szCs w:val="16"/>
        </w:rPr>
        <w:t xml:space="preserve">ROUND((EXTRACT(EPOCH FROM (order_delivered_customer_ts - order_purchase_ts))</w:t>
      </w:r>
    </w:p>
    <w:p>
      <w:pPr>
        <w:shd w:fill="F2F2F2" w:val="clear"/>
        <w:spacing w:after="60" w:before="60"/>
        <w:ind w:left="360"/>
      </w:pPr>
      <w:r>
        <w:rPr>
          <w:rFonts w:ascii="Courier New" w:cs="Courier New" w:eastAsia="Courier New" w:hAnsi="Courier New"/>
          <w:sz w:val="16"/>
          <w:szCs w:val="16"/>
        </w:rPr>
        <w:t xml:space="preserve">       / 86400.0)::numeric, 2) AS days_to_customer,</w:t>
      </w:r>
    </w:p>
    <w:p>
      <w:pPr>
        <w:shd w:fill="F2F2F2" w:val="clear"/>
        <w:spacing w:after="60" w:before="60"/>
        <w:ind w:left="360"/>
      </w:pPr>
      <w:r>
        <w:rPr>
          <w:rFonts w:ascii="Courier New" w:cs="Courier New" w:eastAsia="Courier New" w:hAnsi="Courier New"/>
          <w:sz w:val="16"/>
          <w:szCs w:val="16"/>
        </w:rPr>
        <w:t xml:space="preserve"/>
      </w:r>
    </w:p>
    <w:p>
      <w:pPr>
        <w:shd w:fill="F2F2F2" w:val="clear"/>
        <w:spacing w:after="60" w:before="60"/>
        <w:ind w:left="360"/>
      </w:pPr>
      <w:r>
        <w:rPr>
          <w:rFonts w:ascii="Courier New" w:cs="Courier New" w:eastAsia="Courier New" w:hAnsi="Courier New"/>
          <w:sz w:val="16"/>
          <w:szCs w:val="16"/>
        </w:rPr>
        <w:t xml:space="preserve">ROUND((EXTRACT(EPOCH FROM (order_delivered_customer_ts - order_estimated_delivery_ts))</w:t>
      </w:r>
    </w:p>
    <w:p>
      <w:pPr>
        <w:shd w:fill="F2F2F2" w:val="clear"/>
        <w:spacing w:after="60" w:before="60"/>
        <w:ind w:left="360"/>
      </w:pPr>
      <w:r>
        <w:rPr>
          <w:rFonts w:ascii="Courier New" w:cs="Courier New" w:eastAsia="Courier New" w:hAnsi="Courier New"/>
          <w:sz w:val="16"/>
          <w:szCs w:val="16"/>
        </w:rPr>
        <w:t xml:space="preserve">       / 86400.0)::numeric, 2) AS delivery_delay_days,</w:t>
      </w:r>
    </w:p>
    <w:p>
      <w:pPr>
        <w:shd w:fill="F2F2F2" w:val="clear"/>
        <w:spacing w:after="60" w:before="60"/>
        <w:ind w:left="360"/>
      </w:pPr>
      <w:r>
        <w:rPr>
          <w:rFonts w:ascii="Courier New" w:cs="Courier New" w:eastAsia="Courier New" w:hAnsi="Courier New"/>
          <w:sz w:val="16"/>
          <w:szCs w:val="16"/>
        </w:rPr>
        <w:t xml:space="preserve"/>
      </w:r>
    </w:p>
    <w:p>
      <w:pPr>
        <w:shd w:fill="F2F2F2" w:val="clear"/>
        <w:spacing w:after="60" w:before="60"/>
        <w:ind w:left="360"/>
      </w:pPr>
      <w:r>
        <w:rPr>
          <w:rFonts w:ascii="Courier New" w:cs="Courier New" w:eastAsia="Courier New" w:hAnsi="Courier New"/>
          <w:sz w:val="16"/>
          <w:szCs w:val="16"/>
        </w:rPr>
        <w:t xml:space="preserve">CASE WHEN order_delivered_customer_ts IS NULL</w:t>
      </w:r>
    </w:p>
    <w:p>
      <w:pPr>
        <w:shd w:fill="F2F2F2" w:val="clear"/>
        <w:spacing w:after="60" w:before="60"/>
        <w:ind w:left="360"/>
      </w:pPr>
      <w:r>
        <w:rPr>
          <w:rFonts w:ascii="Courier New" w:cs="Courier New" w:eastAsia="Courier New" w:hAnsi="Courier New"/>
          <w:sz w:val="16"/>
          <w:szCs w:val="16"/>
        </w:rPr>
        <w:t xml:space="preserve">          OR order_estimated_delivery_ts IS NULL THEN NULL</w:t>
      </w:r>
    </w:p>
    <w:p>
      <w:pPr>
        <w:shd w:fill="F2F2F2" w:val="clear"/>
        <w:spacing w:after="60" w:before="60"/>
        <w:ind w:left="360"/>
      </w:pPr>
      <w:r>
        <w:rPr>
          <w:rFonts w:ascii="Courier New" w:cs="Courier New" w:eastAsia="Courier New" w:hAnsi="Courier New"/>
          <w:sz w:val="16"/>
          <w:szCs w:val="16"/>
        </w:rPr>
        <w:t xml:space="preserve">     ELSE order_delivered_customer_ts &lt;= order_estimated_delivery_ts</w:t>
      </w:r>
    </w:p>
    <w:p>
      <w:pPr>
        <w:shd w:fill="F2F2F2" w:val="clear"/>
        <w:spacing w:after="60" w:before="60"/>
        <w:ind w:left="360"/>
      </w:pPr>
      <w:r>
        <w:rPr>
          <w:rFonts w:ascii="Courier New" w:cs="Courier New" w:eastAsia="Courier New" w:hAnsi="Courier New"/>
          <w:sz w:val="16"/>
          <w:szCs w:val="16"/>
        </w:rPr>
        <w:t xml:space="preserve">END AS is_delivered_on_time</w:t>
      </w:r>
    </w:p>
    <w:p>
      <w:pPr>
        <w:spacing w:after="100"/>
      </w:pPr>
      <w:r>
        <w:t xml:space="preserve"/>
      </w:r>
    </w:p>
    <w:p>
      <w:pPr>
        <w:pStyle w:val="Heading2"/>
        <w:spacing w:after="120" w:before="280"/>
      </w:pPr>
      <w:r>
        <w:rPr>
          <w:rFonts w:ascii="Arial" w:cs="Arial" w:eastAsia="Arial" w:hAnsi="Arial"/>
          <w:b/>
          <w:bCs/>
          <w:color w:val="2C2C2C"/>
          <w:sz w:val="26"/>
          <w:szCs w:val="26"/>
        </w:rPr>
        <w:t xml:space="preserve">Couche MARTS — Vues analytiques</w:t>
      </w:r>
    </w:p>
    <w:p>
      <w:pPr>
        <w:spacing w:after="120"/>
      </w:pPr>
      <w:r>
        <w:rPr>
          <w:rFonts w:ascii="Arial" w:cs="Arial" w:eastAsia="Arial" w:hAnsi="Arial"/>
          <w:sz w:val="20"/>
          <w:szCs w:val="20"/>
        </w:rPr>
        <w:t xml:space="preserve">Les marts sont des vues PostgreSQL (CREATE OR REPLACE VIEW) agregant les tables du schema dwh. Elles constituent la seule interface exposee au dashboard — celui-ci ne requete jamais directement les tables de faits ou dimensions.</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6"/>
      </w:tblGrid>
      <w:tr>
        <w:tc>
          <w:tcPr>
            <w:tcW w:type="dxa" w:w="25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Vue</w:t>
            </w:r>
          </w:p>
        </w:tc>
        <w:tc>
          <w:tcPr>
            <w:tcW w:type="dxa" w:w="30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Tables jointures</w:t>
            </w:r>
          </w:p>
        </w:tc>
        <w:tc>
          <w:tcPr>
            <w:tcW w:type="dxa" w:w="40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Indicateurs exposes</w:t>
            </w:r>
          </w:p>
        </w:tc>
      </w:tr>
      <w:tr>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marts.sales_overview</w:t>
            </w:r>
          </w:p>
        </w:tc>
        <w:tc>
          <w:tcPr>
            <w:tcW w:type="dxa" w:w="30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fact_orders, fact_order_items, dim_date, dim_order_status</w:t>
            </w:r>
          </w:p>
        </w:tc>
        <w:tc>
          <w:tcPr>
            <w:tcW w:type="dxa" w:w="40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order_count, item_count, gross_item_value, gross_freight_value, gross_revenue</w:t>
            </w:r>
          </w:p>
        </w:tc>
      </w:tr>
      <w:tr>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marts.sales_by_category</w:t>
            </w:r>
          </w:p>
        </w:tc>
        <w:tc>
          <w:tcPr>
            <w:tcW w:type="dxa" w:w="30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fact_order_items, fact_orders, dim_date, dim_product, dim_product_category</w:t>
            </w:r>
          </w:p>
        </w:tc>
        <w:tc>
          <w:tcPr>
            <w:tcW w:type="dxa" w:w="40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item_count, order_count, item_revenue, freight_revenue, total_revenue par categorie</w:t>
            </w:r>
          </w:p>
        </w:tc>
      </w:tr>
      <w:tr>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marts.delivery_performance</w:t>
            </w:r>
          </w:p>
        </w:tc>
        <w:tc>
          <w:tcPr>
            <w:tcW w:type="dxa" w:w="30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fact_orders, dim_date, dim_order_status</w:t>
            </w:r>
          </w:p>
        </w:tc>
        <w:tc>
          <w:tcPr>
            <w:tcW w:type="dxa" w:w="40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delivered_orders, avg_days_purchase_to_delivery, avg_delivery_delay, late_delivery_rate_pct</w:t>
            </w:r>
          </w:p>
        </w:tc>
      </w:tr>
      <w:tr>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marts.customer_satisfaction</w:t>
            </w:r>
          </w:p>
        </w:tc>
        <w:tc>
          <w:tcPr>
            <w:tcW w:type="dxa" w:w="30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fact_reviews, fact_orders, fact_order_items, dim_product, dim_product_category, dim_date</w:t>
            </w:r>
          </w:p>
        </w:tc>
        <w:tc>
          <w:tcPr>
            <w:tcW w:type="dxa" w:w="40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review_count, avg_review_score, negative_review_rate_pct par categorie</w:t>
            </w:r>
          </w:p>
        </w:tc>
      </w:tr>
      <w:tr>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marts.payment_analysis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fact_payments, fact_orders, dim_date, dim_payment_type</w:t>
            </w:r>
          </w:p>
        </w:tc>
        <w:tc>
          <w:tcPr>
            <w:tcW w:type="dxa" w:w="40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payment_count, total_payment_value, avg_payment_value par type et nombre de versements</w:t>
            </w:r>
          </w:p>
        </w:tc>
      </w:tr>
      <w:tr>
        <w:tc>
          <w:tcPr>
            <w:tcW w:type="dxa" w:w="2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marts.marketing_funnel</w:t>
            </w:r>
          </w:p>
        </w:tc>
        <w:tc>
          <w:tcPr>
            <w:tcW w:type="dxa" w:w="30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fact_marketing_leads, fact_closed_deals, dim_date, dim_marketing_origin</w:t>
            </w:r>
          </w:p>
        </w:tc>
        <w:tc>
          <w:tcPr>
            <w:tcW w:type="dxa" w:w="40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mql_count, won_deal_count, active_seller_deal_count, lead_to_deal_conversion_rate_pct</w:t>
            </w:r>
          </w:p>
        </w:tc>
      </w:tr>
    </w:tbl>
    <w:p>
      <w:pPr>
        <w:spacing w:after="100"/>
      </w:pPr>
      <w:r>
        <w:t xml:space="preserve"/>
      </w:r>
    </w:p>
    <w:p>
      <w:pPr>
        <w:pStyle w:val="Heading2"/>
        <w:spacing w:after="120" w:before="280"/>
      </w:pPr>
      <w:r>
        <w:rPr>
          <w:rFonts w:ascii="Arial" w:cs="Arial" w:eastAsia="Arial" w:hAnsi="Arial"/>
          <w:b/>
          <w:bCs/>
          <w:color w:val="2C2C2C"/>
          <w:sz w:val="26"/>
          <w:szCs w:val="26"/>
        </w:rPr>
        <w:t xml:space="preserve">Orchestration — DAG Airflow</w:t>
      </w:r>
    </w:p>
    <w:p>
      <w:pPr>
        <w:spacing w:after="120"/>
      </w:pPr>
      <w:r>
        <w:rPr>
          <w:rFonts w:ascii="Arial" w:cs="Arial" w:eastAsia="Arial" w:hAnsi="Arial"/>
          <w:sz w:val="20"/>
          <w:szCs w:val="20"/>
        </w:rPr>
        <w:t xml:space="preserve">Un DAG Apache Airflow optionnel est fourni pour les environnements de production. Il encode les dependances entre etapes et permet une reexecution partielle en cas d'echec.</w:t>
      </w:r>
    </w:p>
    <w:p>
      <w:pPr>
        <w:spacing w:after="100"/>
      </w:pPr>
      <w:r>
        <w:t xml:space="preserve"/>
      </w:r>
    </w:p>
    <w:p>
      <w:pPr>
        <w:shd w:fill="F2F2F2" w:val="clear"/>
        <w:spacing w:after="60" w:before="60"/>
        <w:ind w:left="360"/>
      </w:pPr>
      <w:r>
        <w:rPr>
          <w:rFonts w:ascii="Courier New" w:cs="Courier New" w:eastAsia="Courier New" w:hAnsi="Courier New"/>
          <w:sz w:val="16"/>
          <w:szCs w:val="16"/>
        </w:rPr>
        <w:t xml:space="preserve">create_schema &gt;&gt; load_raw_csvs &gt;&gt; build_staging &gt;&gt; load_dwh &gt;&gt; build_marts &gt;&gt; run_quality_checks</w:t>
      </w:r>
    </w:p>
    <w:p>
      <w:pPr>
        <w:spacing w:after="100"/>
      </w:pPr>
      <w:r>
        <w:t xml:space="preserve"/>
      </w:r>
    </w:p>
    <w:p>
      <w:pPr>
        <w:spacing w:after="120"/>
      </w:pPr>
      <w:r>
        <w:rPr>
          <w:rFonts w:ascii="Arial" w:cs="Arial" w:eastAsia="Arial" w:hAnsi="Arial"/>
          <w:sz w:val="20"/>
          <w:szCs w:val="20"/>
        </w:rPr>
        <w:t xml:space="preserve">Chaque tache est un BashOperator appelant python -m src.run_etl --step &lt;etape&gt;. La tache run_quality_checks utilise le flag --fail-fast-quality pour interrompre le DAG en cas d'echec d'un controle.</w:t>
      </w:r>
    </w:p>
    <w:p>
      <w:pPr>
        <w:spacing w:after="100"/>
      </w:pPr>
      <w:r>
        <w:t xml:space="preserve"/>
      </w:r>
    </w:p>
    <w:p>
      <w:pPr>
        <w:pStyle w:val="Heading2"/>
        <w:spacing w:after="120" w:before="280"/>
      </w:pPr>
      <w:r>
        <w:rPr>
          <w:rFonts w:ascii="Arial" w:cs="Arial" w:eastAsia="Arial" w:hAnsi="Arial"/>
          <w:b/>
          <w:bCs/>
          <w:color w:val="2C2C2C"/>
          <w:sz w:val="26"/>
          <w:szCs w:val="26"/>
        </w:rPr>
        <w:t xml:space="preserve">Stack technique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906"/>
      </w:tblGrid>
      <w:tr>
        <w:tc>
          <w:tcPr>
            <w:tcW w:type="dxa" w:w="24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Composant</w:t>
            </w:r>
          </w:p>
        </w:tc>
        <w:tc>
          <w:tcPr>
            <w:tcW w:type="dxa" w:w="12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Version</w:t>
            </w:r>
          </w:p>
        </w:tc>
        <w:tc>
          <w:tcPr>
            <w:tcW w:type="dxa" w:w="59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Role dans le projet</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Python</w:t>
            </w:r>
          </w:p>
        </w:tc>
        <w:tc>
          <w:tcPr>
            <w:tcW w:type="dxa" w:w="12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3.11+</w:t>
            </w:r>
          </w:p>
        </w:tc>
        <w:tc>
          <w:tcPr>
            <w:tcW w:type="dxa" w:w="59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Orchestration du pipeline, scripts ETL, controles qualite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PostgreSQL</w:t>
            </w:r>
          </w:p>
        </w:tc>
        <w:tc>
          <w:tcPr>
            <w:tcW w:type="dxa" w:w="12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16</w:t>
            </w:r>
          </w:p>
        </w:tc>
        <w:tc>
          <w:tcPr>
            <w:tcW w:type="dxa" w:w="59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Base de donnees relationnelle hebergeant les 4 couches (raw, staging, dwh, marts)</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SQLAlchemy</w:t>
            </w:r>
          </w:p>
        </w:tc>
        <w:tc>
          <w:tcPr>
            <w:tcW w:type="dxa" w:w="12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2.x</w:t>
            </w:r>
          </w:p>
        </w:tc>
        <w:tc>
          <w:tcPr>
            <w:tcW w:type="dxa" w:w="59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Couche d'abstraction Python vers PostgreSQL. Gestion des connexions et execution des statements SQL.</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psycopg2-binary</w:t>
            </w:r>
          </w:p>
        </w:tc>
        <w:tc>
          <w:tcPr>
            <w:tcW w:type="dxa" w:w="12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2.9+</w:t>
            </w:r>
          </w:p>
        </w:tc>
        <w:tc>
          <w:tcPr>
            <w:tcW w:type="dxa" w:w="59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Acces bas niveau pour copy_expert() (COPY FROM STDIN). Significativement plus rapide que l'ORM pour les bulk loads.</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pandas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2.x</w:t>
            </w:r>
          </w:p>
        </w:tc>
        <w:tc>
          <w:tcPr>
            <w:tcW w:type="dxa" w:w="59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Lecture et inspection des fichiers sources. Non utilise dans le pipeline de chargement (remplace par COPY).</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python-dotenv</w:t>
            </w:r>
          </w:p>
        </w:tc>
        <w:tc>
          <w:tcPr>
            <w:tcW w:type="dxa" w:w="12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1.x</w:t>
            </w:r>
          </w:p>
        </w:tc>
        <w:tc>
          <w:tcPr>
            <w:tcW w:type="dxa" w:w="59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Chargement de DATABASE_URL et RAW_DATA_DIR depuis le fichier .env.</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Docker / Compose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w:t>
            </w:r>
          </w:p>
        </w:tc>
        <w:tc>
          <w:tcPr>
            <w:tcW w:type="dxa" w:w="59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Conteneurisation de PostgreSQL 16. Volume nomme postgres_data pour la persistance.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Apache Airflow</w:t>
            </w:r>
          </w:p>
        </w:tc>
        <w:tc>
          <w:tcPr>
            <w:tcW w:type="dxa" w:w="12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2.x</w:t>
            </w:r>
          </w:p>
        </w:tc>
        <w:tc>
          <w:tcPr>
            <w:tcW w:type="dxa" w:w="59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Orchestration optionnelle. DAG fourni dans airflow/dags/olist_etl_dag.py.</w:t>
            </w:r>
          </w:p>
        </w:tc>
      </w:tr>
    </w:tbl>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Controles qualite</w:t>
      </w:r>
    </w:p>
    <w:p>
      <w:pPr>
        <w:spacing w:after="120"/>
      </w:pPr>
      <w:r>
        <w:rPr>
          <w:rFonts w:ascii="Arial" w:cs="Arial" w:eastAsia="Arial" w:hAnsi="Arial"/>
          <w:sz w:val="20"/>
          <w:szCs w:val="20"/>
        </w:rPr>
        <w:t xml:space="preserve">Huit controles automatises sont executes apres le chargement du Data Warehouse via src/quality_checks.py. Chaque controle est une requete SQL dont le resultat est evalue par un predicat Python.</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3506"/>
        <w:gridCol w:w="1200"/>
        <w:gridCol w:w="800"/>
      </w:tblGrid>
      <w:tr>
        <w:tc>
          <w:tcPr>
            <w:tcW w:type="dxa" w:w="40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Nom du controle</w:t>
            </w:r>
          </w:p>
        </w:tc>
        <w:tc>
          <w:tcPr>
            <w:tcW w:type="dxa" w:w="35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Requete SQL</w:t>
            </w:r>
          </w:p>
        </w:tc>
        <w:tc>
          <w:tcPr>
            <w:tcW w:type="dxa" w:w="12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Attendu</w:t>
            </w:r>
          </w:p>
        </w:tc>
        <w:tc>
          <w:tcPr>
            <w:tcW w:type="dxa" w:w="8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Resultat</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raw_orders_loaded</w:t>
            </w:r>
          </w:p>
        </w:tc>
        <w:tc>
          <w:tcPr>
            <w:tcW w:type="dxa" w:w="3506"/>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SELECT COUNT(*) FROM raw.olist_orders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&gt; 0</w:t>
            </w:r>
          </w:p>
        </w:tc>
        <w:tc>
          <w:tcPr>
            <w:tcW w:type="dxa" w:w="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PASS</w:t>
            </w:r>
          </w:p>
        </w:tc>
      </w:tr>
      <w:tr>
        <w:tc>
          <w:tcPr>
            <w:tcW w:type="dxa" w:w="40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dwh_fact_orders_loaded</w:t>
            </w:r>
          </w:p>
        </w:tc>
        <w:tc>
          <w:tcPr>
            <w:tcW w:type="dxa" w:w="3506"/>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SELECT COUNT(*) FROM dwh.fact_orders</w:t>
            </w:r>
          </w:p>
        </w:tc>
        <w:tc>
          <w:tcPr>
            <w:tcW w:type="dxa" w:w="12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&gt; 0</w:t>
            </w:r>
          </w:p>
        </w:tc>
        <w:tc>
          <w:tcPr>
            <w:tcW w:type="dxa" w:w="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PASS</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fact_order_items_missing_order_key</w:t>
            </w:r>
          </w:p>
        </w:tc>
        <w:tc>
          <w:tcPr>
            <w:tcW w:type="dxa" w:w="3506"/>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SELECT COUNT(*) FROM dwh.fact_order_items WHERE order_key IS NULL</w:t>
            </w:r>
          </w:p>
        </w:tc>
        <w:tc>
          <w:tcPr>
            <w:tcW w:type="dxa" w:w="12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 0</w:t>
            </w:r>
          </w:p>
        </w:tc>
        <w:tc>
          <w:tcPr>
            <w:tcW w:type="dxa" w:w="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PASS</w:t>
            </w:r>
          </w:p>
        </w:tc>
      </w:tr>
      <w:tr>
        <w:tc>
          <w:tcPr>
            <w:tcW w:type="dxa" w:w="40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fact_order_items_missing_product_key</w:t>
            </w:r>
          </w:p>
        </w:tc>
        <w:tc>
          <w:tcPr>
            <w:tcW w:type="dxa" w:w="3506"/>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SELECT COUNT(*) FROM dwh.fact_order_items WHERE product_key IS NULL</w:t>
            </w:r>
          </w:p>
        </w:tc>
        <w:tc>
          <w:tcPr>
            <w:tcW w:type="dxa" w:w="12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 0</w:t>
            </w:r>
          </w:p>
        </w:tc>
        <w:tc>
          <w:tcPr>
            <w:tcW w:type="dxa" w:w="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PASS</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fact_order_items_missing_seller_key</w:t>
            </w:r>
          </w:p>
        </w:tc>
        <w:tc>
          <w:tcPr>
            <w:tcW w:type="dxa" w:w="3506"/>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SELECT COUNT(*) FROM dwh.fact_order_items WHERE seller_key IS NULL</w:t>
            </w:r>
          </w:p>
        </w:tc>
        <w:tc>
          <w:tcPr>
            <w:tcW w:type="dxa" w:w="12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 0</w:t>
            </w:r>
          </w:p>
        </w:tc>
        <w:tc>
          <w:tcPr>
            <w:tcW w:type="dxa" w:w="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PASS</w:t>
            </w:r>
          </w:p>
        </w:tc>
      </w:tr>
      <w:tr>
        <w:tc>
          <w:tcPr>
            <w:tcW w:type="dxa" w:w="40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fact_payments_missing_order_key</w:t>
            </w:r>
          </w:p>
        </w:tc>
        <w:tc>
          <w:tcPr>
            <w:tcW w:type="dxa" w:w="3506"/>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SELECT COUNT(*) FROM dwh.fact_payments WHERE order_key IS NULL</w:t>
            </w:r>
          </w:p>
        </w:tc>
        <w:tc>
          <w:tcPr>
            <w:tcW w:type="dxa" w:w="12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 0</w:t>
            </w:r>
          </w:p>
        </w:tc>
        <w:tc>
          <w:tcPr>
            <w:tcW w:type="dxa" w:w="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PASS</w:t>
            </w:r>
          </w:p>
        </w:tc>
      </w:tr>
      <w:tr>
        <w:tc>
          <w:tcPr>
            <w:tcW w:type="dxa" w:w="40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fact_reviews_missing_order_key</w:t>
            </w:r>
          </w:p>
        </w:tc>
        <w:tc>
          <w:tcPr>
            <w:tcW w:type="dxa" w:w="3506"/>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SELECT COUNT(*) FROM dwh.fact_reviews WHERE order_key IS NULL</w:t>
            </w:r>
          </w:p>
        </w:tc>
        <w:tc>
          <w:tcPr>
            <w:tcW w:type="dxa" w:w="12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 0</w:t>
            </w:r>
          </w:p>
        </w:tc>
        <w:tc>
          <w:tcPr>
            <w:tcW w:type="dxa" w:w="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PASS</w:t>
            </w:r>
          </w:p>
        </w:tc>
      </w:tr>
      <w:tr>
        <w:tc>
          <w:tcPr>
            <w:tcW w:type="dxa" w:w="40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reviews_outside_1_5</w:t>
            </w:r>
          </w:p>
        </w:tc>
        <w:tc>
          <w:tcPr>
            <w:tcW w:type="dxa" w:w="3506"/>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SELECT COUNT(*) FROM dwh.fact_reviews WHERE review_score NOT BETWEEN 1 AND 5</w:t>
            </w:r>
          </w:p>
        </w:tc>
        <w:tc>
          <w:tcPr>
            <w:tcW w:type="dxa" w:w="12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 0</w:t>
            </w:r>
          </w:p>
        </w:tc>
        <w:tc>
          <w:tcPr>
            <w:tcW w:type="dxa" w:w="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bCs/>
                <w:sz w:val="18"/>
                <w:szCs w:val="18"/>
              </w:rPr>
              <w:t xml:space="preserve">PASS</w:t>
            </w:r>
          </w:p>
        </w:tc>
      </w:tr>
    </w:tbl>
    <w:p>
      <w:pPr>
        <w:spacing w:after="100"/>
      </w:pPr>
      <w:r>
        <w:t xml:space="preserve"/>
      </w:r>
    </w:p>
    <w:p>
      <w:pPr>
        <w:spacing w:after="120"/>
      </w:pPr>
      <w:r>
        <w:rPr>
          <w:rFonts w:ascii="Arial" w:cs="Arial" w:eastAsia="Arial" w:hAnsi="Arial"/>
          <w:b/>
          <w:bCs/>
          <w:sz w:val="20"/>
          <w:szCs w:val="20"/>
        </w:rPr>
        <w:t xml:space="preserve">Resultat final : 8 / 8 controles reussis.</w:t>
      </w:r>
    </w:p>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Resultats du pipeline</w:t>
      </w:r>
    </w:p>
    <w:p>
      <w:pPr>
        <w:pStyle w:val="Heading2"/>
        <w:spacing w:after="120" w:before="280"/>
      </w:pPr>
      <w:r>
        <w:rPr>
          <w:rFonts w:ascii="Arial" w:cs="Arial" w:eastAsia="Arial" w:hAnsi="Arial"/>
          <w:b/>
          <w:bCs/>
          <w:color w:val="2C2C2C"/>
          <w:sz w:val="26"/>
          <w:szCs w:val="26"/>
        </w:rPr>
        <w:t xml:space="preserve">Volume de donnees chargees</w:t>
      </w:r>
    </w:p>
    <w:tbl>
      <w:tblPr>
        <w:tblW w:type="dxa" w:w="4753"/>
        <w:tblBorders>
          <w:top w:val="single" w:color="auto" w:sz="4"/>
          <w:left w:val="single" w:color="auto" w:sz="4"/>
          <w:bottom w:val="single" w:color="auto" w:sz="4"/>
          <w:right w:val="single" w:color="auto" w:sz="4"/>
          <w:insideH w:val="single" w:color="auto" w:sz="4"/>
          <w:insideV w:val="single" w:color="auto" w:sz="4"/>
        </w:tblBorders>
      </w:tblPr>
      <w:tblGrid>
        <w:gridCol w:w="3500"/>
        <w:gridCol w:w="1253"/>
      </w:tblGrid>
      <w:tr>
        <w:tc>
          <w:tcPr>
            <w:tcW w:type="dxa" w:w="35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Table DWH</w:t>
            </w:r>
          </w:p>
        </w:tc>
        <w:tc>
          <w:tcPr>
            <w:tcW w:type="dxa" w:w="1253"/>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Lignes</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fact_orders</w:t>
            </w:r>
          </w:p>
        </w:tc>
        <w:tc>
          <w:tcPr>
            <w:tcW w:type="dxa" w:w="1253"/>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99 441</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fact_order_items</w:t>
            </w:r>
          </w:p>
        </w:tc>
        <w:tc>
          <w:tcPr>
            <w:tcW w:type="dxa" w:w="1253"/>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112 650</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fact_payments</w:t>
            </w:r>
          </w:p>
        </w:tc>
        <w:tc>
          <w:tcPr>
            <w:tcW w:type="dxa" w:w="1253"/>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103 886</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fact_reviews</w:t>
            </w:r>
          </w:p>
        </w:tc>
        <w:tc>
          <w:tcPr>
            <w:tcW w:type="dxa" w:w="1253"/>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99 224</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fact_marketing_leads</w:t>
            </w:r>
          </w:p>
        </w:tc>
        <w:tc>
          <w:tcPr>
            <w:tcW w:type="dxa" w:w="1253"/>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8 000</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fact_closed_deals</w:t>
            </w:r>
          </w:p>
        </w:tc>
        <w:tc>
          <w:tcPr>
            <w:tcW w:type="dxa" w:w="1253"/>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842</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dim_customer</w:t>
            </w:r>
          </w:p>
        </w:tc>
        <w:tc>
          <w:tcPr>
            <w:tcW w:type="dxa" w:w="1253"/>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99 441</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dim_seller</w:t>
            </w:r>
          </w:p>
        </w:tc>
        <w:tc>
          <w:tcPr>
            <w:tcW w:type="dxa" w:w="1253"/>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3 095</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dim_product</w:t>
            </w:r>
          </w:p>
        </w:tc>
        <w:tc>
          <w:tcPr>
            <w:tcW w:type="dxa" w:w="1253"/>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32 951</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dim_date</w:t>
            </w:r>
          </w:p>
        </w:tc>
        <w:tc>
          <w:tcPr>
            <w:tcW w:type="dxa" w:w="1253"/>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right"/>
            </w:pPr>
            <w:r>
              <w:rPr>
                <w:rFonts w:ascii="Arial" w:cs="Arial" w:eastAsia="Arial" w:hAnsi="Arial"/>
                <w:b w:val="false"/>
                <w:bCs w:val="false"/>
                <w:sz w:val="18"/>
                <w:szCs w:val="18"/>
              </w:rPr>
              <w:t xml:space="preserve">1 314</w:t>
            </w:r>
          </w:p>
        </w:tc>
      </w:tr>
    </w:tbl>
    <w:p>
      <w:pPr>
        <w:spacing w:after="100"/>
      </w:pPr>
      <w:r>
        <w:t xml:space="preserve"/>
      </w:r>
    </w:p>
    <w:p>
      <w:pPr>
        <w:pStyle w:val="Heading2"/>
        <w:spacing w:after="120" w:before="280"/>
      </w:pPr>
      <w:r>
        <w:rPr>
          <w:rFonts w:ascii="Arial" w:cs="Arial" w:eastAsia="Arial" w:hAnsi="Arial"/>
          <w:b/>
          <w:bCs/>
          <w:color w:val="2C2C2C"/>
          <w:sz w:val="26"/>
          <w:szCs w:val="26"/>
        </w:rPr>
        <w:t xml:space="preserve">Indicateurs cles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BFBFBF" w:sz="4"/>
              <w:left w:val="single" w:color="BFBFBF" w:sz="4"/>
              <w:bottom w:val="single" w:color="BFBFBF" w:sz="4"/>
              <w:right w:val="single" w:color="BFBFBF" w:sz="4"/>
            </w:tcBorders>
            <w:tcMar>
              <w:top w:type="dxa" w:w="80"/>
              <w:left w:type="dxa" w:w="140"/>
              <w:bottom w:type="dxa" w:w="80"/>
              <w:right w:type="dxa" w:w="140"/>
            </w:tcMar>
          </w:tcPr>
          <w:p>
            <w:pPr>
              <w:pStyle w:val="Heading3"/>
              <w:spacing w:after="80" w:before="200"/>
            </w:pPr>
            <w:r>
              <w:rPr>
                <w:rFonts w:ascii="Arial" w:cs="Arial" w:eastAsia="Arial" w:hAnsi="Arial"/>
                <w:b/>
                <w:bCs/>
                <w:color w:val="3A3A3A"/>
                <w:sz w:val="22"/>
                <w:szCs w:val="22"/>
              </w:rPr>
              <w:t xml:space="preserve">Revenus</w:t>
            </w:r>
          </w:p>
          <w:p>
            <w:pPr>
              <w:spacing w:after="120"/>
            </w:pPr>
            <w:r>
              <w:rPr>
                <w:rFonts w:ascii="Arial" w:cs="Arial" w:eastAsia="Arial" w:hAnsi="Arial"/>
                <w:b/>
                <w:bCs/>
                <w:sz w:val="20"/>
                <w:szCs w:val="20"/>
              </w:rPr>
              <w:t xml:space="preserve">Valeur totale articles : </w:t>
            </w:r>
            <w:r>
              <w:rPr>
                <w:rFonts w:ascii="Arial" w:cs="Arial" w:eastAsia="Arial" w:hAnsi="Arial"/>
                <w:sz w:val="20"/>
                <w:szCs w:val="20"/>
              </w:rPr>
              <w:t xml:space="preserve">13 591 643,70 R$</w:t>
            </w:r>
          </w:p>
          <w:p>
            <w:pPr>
              <w:spacing w:after="120"/>
            </w:pPr>
            <w:r>
              <w:rPr>
                <w:rFonts w:ascii="Arial" w:cs="Arial" w:eastAsia="Arial" w:hAnsi="Arial"/>
                <w:b/>
                <w:bCs/>
                <w:sz w:val="20"/>
                <w:szCs w:val="20"/>
              </w:rPr>
              <w:t xml:space="preserve">Frais de livraison : </w:t>
            </w:r>
            <w:r>
              <w:rPr>
                <w:rFonts w:ascii="Arial" w:cs="Arial" w:eastAsia="Arial" w:hAnsi="Arial"/>
                <w:sz w:val="20"/>
                <w:szCs w:val="20"/>
              </w:rPr>
              <w:t xml:space="preserve">2 251 909,54 R$</w:t>
            </w:r>
          </w:p>
          <w:p>
            <w:pPr>
              <w:spacing w:after="120"/>
            </w:pPr>
            <w:r>
              <w:rPr>
                <w:rFonts w:ascii="Arial" w:cs="Arial" w:eastAsia="Arial" w:hAnsi="Arial"/>
                <w:b/>
                <w:bCs/>
                <w:sz w:val="20"/>
                <w:szCs w:val="20"/>
              </w:rPr>
              <w:t xml:space="preserve">Revenu brut total : </w:t>
            </w:r>
            <w:r>
              <w:rPr>
                <w:rFonts w:ascii="Arial" w:cs="Arial" w:eastAsia="Arial" w:hAnsi="Arial"/>
                <w:sz w:val="20"/>
                <w:szCs w:val="20"/>
              </w:rPr>
              <w:t xml:space="preserve">15 843 553,24 R$</w:t>
            </w:r>
          </w:p>
        </w:tc>
        <w:tc>
          <w:tcPr>
            <w:tcW w:type="dxa" w:w="4753"/>
            <w:tcBorders>
              <w:top w:val="single" w:color="BFBFBF" w:sz="4"/>
              <w:left w:val="single" w:color="BFBFBF" w:sz="4"/>
              <w:bottom w:val="single" w:color="BFBFBF" w:sz="4"/>
              <w:right w:val="single" w:color="BFBFBF" w:sz="4"/>
            </w:tcBorders>
            <w:tcMar>
              <w:top w:type="dxa" w:w="80"/>
              <w:left w:type="dxa" w:w="140"/>
              <w:bottom w:type="dxa" w:w="80"/>
              <w:right w:type="dxa" w:w="140"/>
            </w:tcMar>
          </w:tcPr>
          <w:p>
            <w:pPr>
              <w:pStyle w:val="Heading3"/>
              <w:spacing w:after="80" w:before="200"/>
            </w:pPr>
            <w:r>
              <w:rPr>
                <w:rFonts w:ascii="Arial" w:cs="Arial" w:eastAsia="Arial" w:hAnsi="Arial"/>
                <w:b/>
                <w:bCs/>
                <w:color w:val="3A3A3A"/>
                <w:sz w:val="22"/>
                <w:szCs w:val="22"/>
              </w:rPr>
              <w:t xml:space="preserve">Paiements</w:t>
            </w:r>
          </w:p>
          <w:p>
            <w:pPr>
              <w:spacing w:after="120"/>
            </w:pPr>
            <w:r>
              <w:rPr>
                <w:rFonts w:ascii="Arial" w:cs="Arial" w:eastAsia="Arial" w:hAnsi="Arial"/>
                <w:b/>
                <w:bCs/>
                <w:sz w:val="20"/>
                <w:szCs w:val="20"/>
              </w:rPr>
              <w:t xml:space="preserve">Carte de credit : </w:t>
            </w:r>
            <w:r>
              <w:rPr>
                <w:rFonts w:ascii="Arial" w:cs="Arial" w:eastAsia="Arial" w:hAnsi="Arial"/>
                <w:sz w:val="20"/>
                <w:szCs w:val="20"/>
              </w:rPr>
              <w:t xml:space="preserve">12 542 084,19 R$</w:t>
            </w:r>
          </w:p>
          <w:p>
            <w:pPr>
              <w:spacing w:after="120"/>
            </w:pPr>
            <w:r>
              <w:rPr>
                <w:rFonts w:ascii="Arial" w:cs="Arial" w:eastAsia="Arial" w:hAnsi="Arial"/>
                <w:b/>
                <w:bCs/>
                <w:sz w:val="20"/>
                <w:szCs w:val="20"/>
              </w:rPr>
              <w:t xml:space="preserve">Boleto bancario : </w:t>
            </w:r>
            <w:r>
              <w:rPr>
                <w:rFonts w:ascii="Arial" w:cs="Arial" w:eastAsia="Arial" w:hAnsi="Arial"/>
                <w:sz w:val="20"/>
                <w:szCs w:val="20"/>
              </w:rPr>
              <w:t xml:space="preserve">2 869 361,27 R$</w:t>
            </w:r>
          </w:p>
          <w:p>
            <w:pPr>
              <w:spacing w:after="120"/>
            </w:pPr>
            <w:r>
              <w:rPr>
                <w:rFonts w:ascii="Arial" w:cs="Arial" w:eastAsia="Arial" w:hAnsi="Arial"/>
                <w:b/>
                <w:bCs/>
                <w:sz w:val="20"/>
                <w:szCs w:val="20"/>
              </w:rPr>
              <w:t xml:space="preserve">Voucher : </w:t>
            </w:r>
            <w:r>
              <w:rPr>
                <w:rFonts w:ascii="Arial" w:cs="Arial" w:eastAsia="Arial" w:hAnsi="Arial"/>
                <w:sz w:val="20"/>
                <w:szCs w:val="20"/>
              </w:rPr>
              <w:t xml:space="preserve">379 436,87 R$</w:t>
            </w:r>
          </w:p>
          <w:p>
            <w:pPr>
              <w:spacing w:after="120"/>
            </w:pPr>
            <w:r>
              <w:rPr>
                <w:rFonts w:ascii="Arial" w:cs="Arial" w:eastAsia="Arial" w:hAnsi="Arial"/>
                <w:b/>
                <w:bCs/>
                <w:sz w:val="20"/>
                <w:szCs w:val="20"/>
              </w:rPr>
              <w:t xml:space="preserve">Carte de debit : </w:t>
            </w:r>
            <w:r>
              <w:rPr>
                <w:rFonts w:ascii="Arial" w:cs="Arial" w:eastAsia="Arial" w:hAnsi="Arial"/>
                <w:sz w:val="20"/>
                <w:szCs w:val="20"/>
              </w:rPr>
              <w:t xml:space="preserve">217 989,79 R$</w:t>
            </w:r>
          </w:p>
        </w:tc>
      </w:tr>
      <w:tr>
        <w:tc>
          <w:tcPr>
            <w:tcW w:type="dxa" w:w="4753"/>
            <w:tcBorders>
              <w:top w:val="single" w:color="BFBFBF" w:sz="4"/>
              <w:left w:val="single" w:color="BFBFBF" w:sz="4"/>
              <w:bottom w:val="single" w:color="BFBFBF" w:sz="4"/>
              <w:right w:val="single" w:color="BFBFBF" w:sz="4"/>
            </w:tcBorders>
            <w:tcMar>
              <w:top w:type="dxa" w:w="80"/>
              <w:left w:type="dxa" w:w="140"/>
              <w:bottom w:type="dxa" w:w="80"/>
              <w:right w:type="dxa" w:w="140"/>
            </w:tcMar>
          </w:tcPr>
          <w:p>
            <w:pPr>
              <w:pStyle w:val="Heading3"/>
              <w:spacing w:after="80" w:before="200"/>
            </w:pPr>
            <w:r>
              <w:rPr>
                <w:rFonts w:ascii="Arial" w:cs="Arial" w:eastAsia="Arial" w:hAnsi="Arial"/>
                <w:b/>
                <w:bCs/>
                <w:color w:val="3A3A3A"/>
                <w:sz w:val="22"/>
                <w:szCs w:val="22"/>
              </w:rPr>
              <w:t xml:space="preserve">Avis clients</w:t>
            </w:r>
          </w:p>
          <w:p>
            <w:pPr>
              <w:spacing w:after="120"/>
            </w:pPr>
            <w:r>
              <w:rPr>
                <w:rFonts w:ascii="Arial" w:cs="Arial" w:eastAsia="Arial" w:hAnsi="Arial"/>
                <w:b/>
                <w:bCs/>
                <w:sz w:val="20"/>
                <w:szCs w:val="20"/>
              </w:rPr>
              <w:t xml:space="preserve">Score 5 : </w:t>
            </w:r>
            <w:r>
              <w:rPr>
                <w:rFonts w:ascii="Arial" w:cs="Arial" w:eastAsia="Arial" w:hAnsi="Arial"/>
                <w:sz w:val="20"/>
                <w:szCs w:val="20"/>
              </w:rPr>
              <w:t xml:space="preserve">57 328 avis (57,8%)</w:t>
            </w:r>
          </w:p>
          <w:p>
            <w:pPr>
              <w:spacing w:after="120"/>
            </w:pPr>
            <w:r>
              <w:rPr>
                <w:rFonts w:ascii="Arial" w:cs="Arial" w:eastAsia="Arial" w:hAnsi="Arial"/>
                <w:b/>
                <w:bCs/>
                <w:sz w:val="20"/>
                <w:szCs w:val="20"/>
              </w:rPr>
              <w:t xml:space="preserve">Score 4 : </w:t>
            </w:r>
            <w:r>
              <w:rPr>
                <w:rFonts w:ascii="Arial" w:cs="Arial" w:eastAsia="Arial" w:hAnsi="Arial"/>
                <w:sz w:val="20"/>
                <w:szCs w:val="20"/>
              </w:rPr>
              <w:t xml:space="preserve">19 142 avis (19,3%)</w:t>
            </w:r>
          </w:p>
          <w:p>
            <w:pPr>
              <w:spacing w:after="120"/>
            </w:pPr>
            <w:r>
              <w:rPr>
                <w:rFonts w:ascii="Arial" w:cs="Arial" w:eastAsia="Arial" w:hAnsi="Arial"/>
                <w:b/>
                <w:bCs/>
                <w:sz w:val="20"/>
                <w:szCs w:val="20"/>
              </w:rPr>
              <w:t xml:space="preserve">Score 3 : </w:t>
            </w:r>
            <w:r>
              <w:rPr>
                <w:rFonts w:ascii="Arial" w:cs="Arial" w:eastAsia="Arial" w:hAnsi="Arial"/>
                <w:sz w:val="20"/>
                <w:szCs w:val="20"/>
              </w:rPr>
              <w:t xml:space="preserve">8 179 avis (8,2%)</w:t>
            </w:r>
          </w:p>
          <w:p>
            <w:pPr>
              <w:spacing w:after="120"/>
            </w:pPr>
            <w:r>
              <w:rPr>
                <w:rFonts w:ascii="Arial" w:cs="Arial" w:eastAsia="Arial" w:hAnsi="Arial"/>
                <w:b/>
                <w:bCs/>
                <w:sz w:val="20"/>
                <w:szCs w:val="20"/>
              </w:rPr>
              <w:t xml:space="preserve">Score 2 : </w:t>
            </w:r>
            <w:r>
              <w:rPr>
                <w:rFonts w:ascii="Arial" w:cs="Arial" w:eastAsia="Arial" w:hAnsi="Arial"/>
                <w:sz w:val="20"/>
                <w:szCs w:val="20"/>
              </w:rPr>
              <w:t xml:space="preserve">3 151 avis (3,2%)</w:t>
            </w:r>
          </w:p>
          <w:p>
            <w:pPr>
              <w:spacing w:after="120"/>
            </w:pPr>
            <w:r>
              <w:rPr>
                <w:rFonts w:ascii="Arial" w:cs="Arial" w:eastAsia="Arial" w:hAnsi="Arial"/>
                <w:b/>
                <w:bCs/>
                <w:sz w:val="20"/>
                <w:szCs w:val="20"/>
              </w:rPr>
              <w:t xml:space="preserve">Score 1 : </w:t>
            </w:r>
            <w:r>
              <w:rPr>
                <w:rFonts w:ascii="Arial" w:cs="Arial" w:eastAsia="Arial" w:hAnsi="Arial"/>
                <w:sz w:val="20"/>
                <w:szCs w:val="20"/>
              </w:rPr>
              <w:t xml:space="preserve">11 424 avis (11,5%)</w:t>
            </w:r>
          </w:p>
        </w:tc>
        <w:tc>
          <w:tcPr>
            <w:tcW w:type="dxa" w:w="4753"/>
            <w:tcBorders>
              <w:top w:val="single" w:color="BFBFBF" w:sz="4"/>
              <w:left w:val="single" w:color="BFBFBF" w:sz="4"/>
              <w:bottom w:val="single" w:color="BFBFBF" w:sz="4"/>
              <w:right w:val="single" w:color="BFBFBF" w:sz="4"/>
            </w:tcBorders>
            <w:tcMar>
              <w:top w:type="dxa" w:w="80"/>
              <w:left w:type="dxa" w:w="140"/>
              <w:bottom w:type="dxa" w:w="80"/>
              <w:right w:type="dxa" w:w="140"/>
            </w:tcMar>
          </w:tcPr>
          <w:p>
            <w:pPr>
              <w:pStyle w:val="Heading3"/>
              <w:spacing w:after="80" w:before="200"/>
            </w:pPr>
            <w:r>
              <w:rPr>
                <w:rFonts w:ascii="Arial" w:cs="Arial" w:eastAsia="Arial" w:hAnsi="Arial"/>
                <w:b/>
                <w:bCs/>
                <w:color w:val="3A3A3A"/>
                <w:sz w:val="22"/>
                <w:szCs w:val="22"/>
              </w:rPr>
              <w:t xml:space="preserve">Tunnel marketing (extrait 2018)</w:t>
            </w:r>
          </w:p>
          <w:p>
            <w:pPr>
              <w:spacing w:after="120"/>
            </w:pPr>
            <w:r>
              <w:rPr>
                <w:rFonts w:ascii="Arial" w:cs="Arial" w:eastAsia="Arial" w:hAnsi="Arial"/>
                <w:b/>
                <w:bCs/>
                <w:sz w:val="20"/>
                <w:szCs w:val="20"/>
              </w:rPr>
              <w:t xml:space="preserve">Organic search jan. : </w:t>
            </w:r>
            <w:r>
              <w:rPr>
                <w:rFonts w:ascii="Arial" w:cs="Arial" w:eastAsia="Arial" w:hAnsi="Arial"/>
                <w:sz w:val="20"/>
                <w:szCs w:val="20"/>
              </w:rPr>
              <w:t xml:space="preserve">412 leads, 63 deals</w:t>
            </w:r>
          </w:p>
          <w:p>
            <w:pPr>
              <w:spacing w:after="120"/>
            </w:pPr>
            <w:r>
              <w:rPr>
                <w:rFonts w:ascii="Arial" w:cs="Arial" w:eastAsia="Arial" w:hAnsi="Arial"/>
                <w:b/>
                <w:bCs/>
                <w:sz w:val="20"/>
                <w:szCs w:val="20"/>
              </w:rPr>
              <w:t xml:space="preserve">Organic search avr. : </w:t>
            </w:r>
            <w:r>
              <w:rPr>
                <w:rFonts w:ascii="Arial" w:cs="Arial" w:eastAsia="Arial" w:hAnsi="Arial"/>
                <w:sz w:val="20"/>
                <w:szCs w:val="20"/>
              </w:rPr>
              <w:t xml:space="preserve">349 leads, 59 deals</w:t>
            </w:r>
          </w:p>
          <w:p>
            <w:pPr>
              <w:spacing w:after="120"/>
            </w:pPr>
            <w:r>
              <w:rPr>
                <w:rFonts w:ascii="Arial" w:cs="Arial" w:eastAsia="Arial" w:hAnsi="Arial"/>
                <w:b/>
                <w:bCs/>
                <w:sz w:val="20"/>
                <w:szCs w:val="20"/>
              </w:rPr>
              <w:t xml:space="preserve">Social avr. : </w:t>
            </w:r>
            <w:r>
              <w:rPr>
                <w:rFonts w:ascii="Arial" w:cs="Arial" w:eastAsia="Arial" w:hAnsi="Arial"/>
                <w:sz w:val="20"/>
                <w:szCs w:val="20"/>
              </w:rPr>
              <w:t xml:space="preserve">325 leads, 16 deals</w:t>
            </w:r>
          </w:p>
        </w:tc>
      </w:tr>
    </w:tbl>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Phase 4 — Dashboard Streamlit (en cours)</w:t>
      </w:r>
    </w:p>
    <w:p>
      <w:pPr>
        <w:spacing w:after="120"/>
      </w:pPr>
      <w:r>
        <w:rPr>
          <w:rFonts w:ascii="Arial" w:cs="Arial" w:eastAsia="Arial" w:hAnsi="Arial"/>
          <w:sz w:val="20"/>
          <w:szCs w:val="20"/>
        </w:rPr>
        <w:t xml:space="preserve">Les vues du schema marts ont ete concues des la phase de modelisation pour etre directement consommables par un dashboard sans aucune modification du pipeline. La phase 4 consiste a developper une interface Streamlit connectee a ces vues via SQLAlchemy.</w:t>
      </w:r>
    </w:p>
    <w:p>
      <w:pPr>
        <w:spacing w:after="100"/>
      </w:pPr>
      <w:r>
        <w:t xml:space="preserve"/>
      </w:r>
    </w:p>
    <w:p>
      <w:pPr>
        <w:pStyle w:val="Heading2"/>
        <w:spacing w:after="120" w:before="280"/>
      </w:pPr>
      <w:r>
        <w:rPr>
          <w:rFonts w:ascii="Arial" w:cs="Arial" w:eastAsia="Arial" w:hAnsi="Arial"/>
          <w:b/>
          <w:bCs/>
          <w:color w:val="2C2C2C"/>
          <w:sz w:val="26"/>
          <w:szCs w:val="26"/>
        </w:rPr>
        <w:t xml:space="preserve">Pages prevues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206"/>
      </w:tblGrid>
      <w:tr>
        <w:tc>
          <w:tcPr>
            <w:tcW w:type="dxa" w:w="25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Page</w:t>
            </w:r>
          </w:p>
        </w:tc>
        <w:tc>
          <w:tcPr>
            <w:tcW w:type="dxa" w:w="28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Vue marts utilisee</w:t>
            </w:r>
          </w:p>
        </w:tc>
        <w:tc>
          <w:tcPr>
            <w:tcW w:type="dxa" w:w="42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Contenu</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Vue globale des ventes</w:t>
            </w:r>
          </w:p>
        </w:tc>
        <w:tc>
          <w:tcPr>
            <w:tcW w:type="dxa" w:w="28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sales_overview, sales_by_category</w:t>
            </w:r>
          </w:p>
        </w:tc>
        <w:tc>
          <w:tcPr>
            <w:tcW w:type="dxa" w:w="42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CA mensuel par statut, top 10 categories, evolution temporelle</w:t>
            </w:r>
          </w:p>
        </w:tc>
      </w:tr>
      <w:tr>
        <w:tc>
          <w:tcPr>
            <w:tcW w:type="dxa" w:w="25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Analyse des paiements</w:t>
            </w:r>
          </w:p>
        </w:tc>
        <w:tc>
          <w:tcPr>
            <w:tcW w:type="dxa" w:w="28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payment_analysis</w:t>
            </w:r>
          </w:p>
        </w:tc>
        <w:tc>
          <w:tcPr>
            <w:tcW w:type="dxa" w:w="42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Repartition par type, distribution des versements, valeur moyenne</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Satisfaction client</w:t>
            </w:r>
          </w:p>
        </w:tc>
        <w:tc>
          <w:tcPr>
            <w:tcW w:type="dxa" w:w="28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customer_satisfaction</w:t>
            </w:r>
          </w:p>
        </w:tc>
        <w:tc>
          <w:tcPr>
            <w:tcW w:type="dxa" w:w="42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Score moyen par mois et categorie, taux d'avis negatifs</w:t>
            </w:r>
          </w:p>
        </w:tc>
      </w:tr>
      <w:tr>
        <w:tc>
          <w:tcPr>
            <w:tcW w:type="dxa" w:w="25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Performance logistique</w:t>
            </w:r>
          </w:p>
        </w:tc>
        <w:tc>
          <w:tcPr>
            <w:tcW w:type="dxa" w:w="28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delivery_performance</w:t>
            </w:r>
          </w:p>
        </w:tc>
        <w:tc>
          <w:tcPr>
            <w:tcW w:type="dxa" w:w="42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Delai moyen, taux de livraison en retard par mois</w:t>
            </w:r>
          </w:p>
        </w:tc>
      </w:tr>
      <w:tr>
        <w:tc>
          <w:tcPr>
            <w:tcW w:type="dxa" w:w="25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Tunnel marketing</w:t>
            </w:r>
          </w:p>
        </w:tc>
        <w:tc>
          <w:tcPr>
            <w:tcW w:type="dxa" w:w="2800"/>
            <w:tcBorders>
              <w:top w:val="single" w:color="BFBFBF" w:sz="4"/>
              <w:left w:val="single" w:color="BFBFBF" w:sz="4"/>
              <w:bottom w:val="single" w:color="BFBFBF" w:sz="4"/>
              <w:right w:val="single" w:color="BFBFBF" w:sz="4"/>
            </w:tcBorders>
            <w:shd w:fill="F2F2F2" w:val="clear"/>
            <w:tcMar>
              <w:top w:type="dxa" w:w="70"/>
              <w:left w:type="dxa" w:w="140"/>
              <w:bottom w:type="dxa" w:w="70"/>
              <w:right w:type="dxa" w:w="140"/>
            </w:tcMar>
          </w:tcPr>
          <w:p>
            <w:r>
              <w:rPr>
                <w:rFonts w:ascii="Courier New" w:cs="Courier New" w:eastAsia="Courier New" w:hAnsi="Courier New"/>
                <w:sz w:val="16"/>
                <w:szCs w:val="16"/>
              </w:rPr>
              <w:t xml:space="preserve">marketing_funnel</w:t>
            </w:r>
          </w:p>
        </w:tc>
        <w:tc>
          <w:tcPr>
            <w:tcW w:type="dxa" w:w="42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MQL vs deals conclus, taux de conversion par canal d'acquisition</w:t>
            </w:r>
          </w:p>
        </w:tc>
      </w:tr>
    </w:tbl>
    <w:p>
      <w:pPr>
        <w:spacing w:after="100"/>
      </w:pPr>
      <w:r>
        <w:t xml:space="preserve"/>
      </w:r>
    </w:p>
    <w:p>
      <w:pPr>
        <w:pStyle w:val="Heading2"/>
        <w:spacing w:after="120" w:before="280"/>
      </w:pPr>
      <w:r>
        <w:rPr>
          <w:rFonts w:ascii="Arial" w:cs="Arial" w:eastAsia="Arial" w:hAnsi="Arial"/>
          <w:b/>
          <w:bCs/>
          <w:color w:val="2C2C2C"/>
          <w:sz w:val="26"/>
          <w:szCs w:val="26"/>
        </w:rPr>
        <w:t xml:space="preserve">Principe de connexion</w:t>
      </w:r>
    </w:p>
    <w:p>
      <w:pPr>
        <w:spacing w:after="120"/>
      </w:pPr>
      <w:r>
        <w:rPr>
          <w:rFonts w:ascii="Arial" w:cs="Arial" w:eastAsia="Arial" w:hAnsi="Arial"/>
          <w:sz w:val="20"/>
          <w:szCs w:val="20"/>
        </w:rPr>
        <w:t xml:space="preserve">Le dashboard se connecte exclusivement au schema marts. Aucune requete directe sur dwh, staging ou raw. Cette separation garantit que l'evolution du modele interne du DWH ne casse pas le dashboard.</w:t>
      </w:r>
    </w:p>
    <w:p>
      <w:pPr>
        <w:spacing w:after="100"/>
      </w:pPr>
      <w:r>
        <w:t xml:space="preserve"/>
      </w:r>
    </w:p>
    <w:p>
      <w:pPr>
        <w:shd w:fill="F2F2F2" w:val="clear"/>
        <w:spacing w:after="60" w:before="60"/>
        <w:ind w:left="360"/>
      </w:pPr>
      <w:r>
        <w:rPr>
          <w:rFonts w:ascii="Courier New" w:cs="Courier New" w:eastAsia="Courier New" w:hAnsi="Courier New"/>
          <w:sz w:val="16"/>
          <w:szCs w:val="16"/>
        </w:rPr>
        <w:t xml:space="preserve"># Connexion Streamlit -&gt; marts</w:t>
      </w:r>
    </w:p>
    <w:p>
      <w:pPr>
        <w:shd w:fill="F2F2F2" w:val="clear"/>
        <w:spacing w:after="60" w:before="60"/>
        <w:ind w:left="360"/>
      </w:pPr>
      <w:r>
        <w:rPr>
          <w:rFonts w:ascii="Courier New" w:cs="Courier New" w:eastAsia="Courier New" w:hAnsi="Courier New"/>
          <w:sz w:val="16"/>
          <w:szCs w:val="16"/>
        </w:rPr>
        <w:t xml:space="preserve">engine = create_engine(os.getenv('DATABASE_URL'))</w:t>
      </w:r>
    </w:p>
    <w:p>
      <w:pPr>
        <w:shd w:fill="F2F2F2" w:val="clear"/>
        <w:spacing w:after="60" w:before="60"/>
        <w:ind w:left="360"/>
      </w:pPr>
      <w:r>
        <w:rPr>
          <w:rFonts w:ascii="Courier New" w:cs="Courier New" w:eastAsia="Courier New" w:hAnsi="Courier New"/>
          <w:sz w:val="16"/>
          <w:szCs w:val="16"/>
        </w:rPr>
        <w:t xml:space="preserve">df = pd.read_sql('SELECT * FROM marts.sales_overview', engine)</w:t>
      </w:r>
    </w:p>
    <w:p>
      <w:pPr>
        <w:spacing w:after="100"/>
      </w:pPr>
      <w:r>
        <w:t xml:space="preserve"/>
      </w:r>
    </w:p>
    <w:p>
      <w:pPr>
        <w:pStyle w:val="Heading2"/>
        <w:spacing w:after="120" w:before="280"/>
      </w:pPr>
      <w:r>
        <w:rPr>
          <w:rFonts w:ascii="Arial" w:cs="Arial" w:eastAsia="Arial" w:hAnsi="Arial"/>
          <w:b/>
          <w:bCs/>
          <w:color w:val="2C2C2C"/>
          <w:sz w:val="26"/>
          <w:szCs w:val="26"/>
        </w:rPr>
        <w:t xml:space="preserve">Etat d'avancement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5206"/>
        <w:gridCol w:w="2500"/>
      </w:tblGrid>
      <w:tr>
        <w:tc>
          <w:tcPr>
            <w:tcW w:type="dxa" w:w="18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Phase</w:t>
            </w:r>
          </w:p>
        </w:tc>
        <w:tc>
          <w:tcPr>
            <w:tcW w:type="dxa" w:w="5206"/>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Etape</w:t>
            </w:r>
          </w:p>
        </w:tc>
        <w:tc>
          <w:tcPr>
            <w:tcW w:type="dxa" w:w="2500"/>
            <w:gridSpan w:val="1"/>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Statut</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Problematique</w:t>
            </w:r>
          </w:p>
        </w:tc>
        <w:tc>
          <w:tcPr>
            <w:tcW w:type="dxa" w:w="52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Analyse des sources et documentation</w:t>
            </w:r>
          </w:p>
        </w:tc>
        <w:tc>
          <w:tcPr>
            <w:tcW w:type="dxa" w:w="25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Termine</w:t>
            </w:r>
          </w:p>
        </w:tc>
      </w:tr>
      <w:tr>
        <w:tc>
          <w:tcPr>
            <w:tcW w:type="dxa" w:w="1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Modelisation</w:t>
            </w:r>
          </w:p>
        </w:tc>
        <w:tc>
          <w:tcPr>
            <w:tcW w:type="dxa" w:w="52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Schema dimensionnel en flocon</w:t>
            </w:r>
          </w:p>
        </w:tc>
        <w:tc>
          <w:tcPr>
            <w:tcW w:type="dxa" w:w="25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Termine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ETL</w:t>
            </w:r>
          </w:p>
        </w:tc>
        <w:tc>
          <w:tcPr>
            <w:tcW w:type="dxa" w:w="52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Creation des schemas PostgreSQL</w:t>
            </w:r>
          </w:p>
        </w:tc>
        <w:tc>
          <w:tcPr>
            <w:tcW w:type="dxa" w:w="25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Termine</w:t>
            </w:r>
          </w:p>
        </w:tc>
      </w:tr>
      <w:tr>
        <w:tc>
          <w:tcPr>
            <w:tcW w:type="dxa" w:w="1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ETL</w:t>
            </w:r>
          </w:p>
        </w:tc>
        <w:tc>
          <w:tcPr>
            <w:tcW w:type="dxa" w:w="52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Chargement couche raw</w:t>
            </w:r>
          </w:p>
        </w:tc>
        <w:tc>
          <w:tcPr>
            <w:tcW w:type="dxa" w:w="25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Termine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ETL</w:t>
            </w:r>
          </w:p>
        </w:tc>
        <w:tc>
          <w:tcPr>
            <w:tcW w:type="dxa" w:w="52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Transformation couche staging</w:t>
            </w:r>
          </w:p>
        </w:tc>
        <w:tc>
          <w:tcPr>
            <w:tcW w:type="dxa" w:w="25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Termine</w:t>
            </w:r>
          </w:p>
        </w:tc>
      </w:tr>
      <w:tr>
        <w:tc>
          <w:tcPr>
            <w:tcW w:type="dxa" w:w="1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ETL</w:t>
            </w:r>
          </w:p>
        </w:tc>
        <w:tc>
          <w:tcPr>
            <w:tcW w:type="dxa" w:w="52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Chargement Data Warehouse</w:t>
            </w:r>
          </w:p>
        </w:tc>
        <w:tc>
          <w:tcPr>
            <w:tcW w:type="dxa" w:w="25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Termine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ETL</w:t>
            </w:r>
          </w:p>
        </w:tc>
        <w:tc>
          <w:tcPr>
            <w:tcW w:type="dxa" w:w="52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Creation des marts analytiques</w:t>
            </w:r>
          </w:p>
        </w:tc>
        <w:tc>
          <w:tcPr>
            <w:tcW w:type="dxa" w:w="25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Termine</w:t>
            </w:r>
          </w:p>
        </w:tc>
      </w:tr>
      <w:tr>
        <w:tc>
          <w:tcPr>
            <w:tcW w:type="dxa" w:w="18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ETL</w:t>
            </w:r>
          </w:p>
        </w:tc>
        <w:tc>
          <w:tcPr>
            <w:tcW w:type="dxa" w:w="5206"/>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Controles qualite (8/8 PASS)</w:t>
            </w:r>
          </w:p>
        </w:tc>
        <w:tc>
          <w:tcPr>
            <w:tcW w:type="dxa" w:w="2500"/>
            <w:tcBorders>
              <w:top w:val="single" w:color="BFBFBF" w:sz="4"/>
              <w:left w:val="single" w:color="BFBFBF" w:sz="4"/>
              <w:bottom w:val="single" w:color="BFBFBF" w:sz="4"/>
              <w:right w:val="single" w:color="BFBFBF" w:sz="4"/>
            </w:tcBorders>
            <w:shd w:fill="EEF2F7"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Termine</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bCs/>
                <w:sz w:val="18"/>
                <w:szCs w:val="18"/>
              </w:rPr>
              <w:t xml:space="preserve">Dashboard</w:t>
            </w:r>
          </w:p>
        </w:tc>
        <w:tc>
          <w:tcPr>
            <w:tcW w:type="dxa" w:w="5206"/>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left"/>
            </w:pPr>
            <w:r>
              <w:rPr>
                <w:rFonts w:ascii="Arial" w:cs="Arial" w:eastAsia="Arial" w:hAnsi="Arial"/>
                <w:b w:val="false"/>
                <w:bCs w:val="false"/>
                <w:sz w:val="18"/>
                <w:szCs w:val="18"/>
              </w:rPr>
              <w:t xml:space="preserve">Developpement Streamlit</w:t>
            </w:r>
          </w:p>
        </w:tc>
        <w:tc>
          <w:tcPr>
            <w:tcW w:type="dxa" w:w="2500"/>
            <w:tcBorders>
              <w:top w:val="single" w:color="BFBFBF" w:sz="4"/>
              <w:left w:val="single" w:color="BFBFBF" w:sz="4"/>
              <w:bottom w:val="single" w:color="BFBFBF" w:sz="4"/>
              <w:right w:val="single" w:color="BFBFBF" w:sz="4"/>
            </w:tcBorders>
            <w:shd w:fill="FFFFFF" w:val="clear"/>
            <w:tcMar>
              <w:top w:type="dxa" w:w="70"/>
              <w:left w:type="dxa" w:w="140"/>
              <w:bottom w:type="dxa" w:w="70"/>
              <w:right w:type="dxa" w:w="140"/>
            </w:tcMar>
            <w:vAlign w:val="center"/>
          </w:tcPr>
          <w:p>
            <w:pPr>
              <w:jc w:val="center"/>
            </w:pPr>
            <w:r>
              <w:rPr>
                <w:rFonts w:ascii="Arial" w:cs="Arial" w:eastAsia="Arial" w:hAnsi="Arial"/>
                <w:b w:val="false"/>
                <w:bCs w:val="false"/>
                <w:sz w:val="18"/>
                <w:szCs w:val="18"/>
              </w:rPr>
              <w:t xml:space="preserve">En cours</w:t>
            </w:r>
          </w:p>
        </w:tc>
      </w:tr>
    </w:tbl>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Sources et references</w:t>
      </w:r>
    </w:p>
    <w:p>
      <w:pPr>
        <w:spacing w:after="120"/>
      </w:pPr>
      <w:r>
        <w:rPr>
          <w:rFonts w:ascii="Arial" w:cs="Arial" w:eastAsia="Arial" w:hAnsi="Arial"/>
          <w:b/>
          <w:bCs/>
          <w:sz w:val="20"/>
          <w:szCs w:val="20"/>
        </w:rPr>
        <w:t xml:space="preserve">Dataset e-commerce : </w:t>
      </w:r>
      <w:hyperlink w:history="1" r:id="rIdfmdkiyi1uy2bgphcvb-vx">
        <w:r>
          <w:rPr>
            <w:rStyle w:val="Hyperlink"/>
            <w:rFonts w:ascii="Arial" w:cs="Arial" w:eastAsia="Arial" w:hAnsi="Arial"/>
            <w:sz w:val="20"/>
            <w:szCs w:val="20"/>
          </w:rPr>
          <w:t xml:space="preserve">Olist Brazilian E-Commerce Public Dataset</w:t>
        </w:r>
      </w:hyperlink>
    </w:p>
    <w:p>
      <w:pPr>
        <w:spacing w:after="120"/>
      </w:pPr>
      <w:r>
        <w:rPr>
          <w:rFonts w:ascii="Arial" w:cs="Arial" w:eastAsia="Arial" w:hAnsi="Arial"/>
          <w:b/>
          <w:bCs/>
          <w:sz w:val="20"/>
          <w:szCs w:val="20"/>
        </w:rPr>
        <w:t xml:space="preserve">Dataset marketing : </w:t>
      </w:r>
      <w:hyperlink w:history="1" r:id="rIdaytlh1swqhyuxacmt7usg">
        <w:r>
          <w:rPr>
            <w:rStyle w:val="Hyperlink"/>
            <w:rFonts w:ascii="Arial" w:cs="Arial" w:eastAsia="Arial" w:hAnsi="Arial"/>
            <w:sz w:val="20"/>
            <w:szCs w:val="20"/>
          </w:rPr>
          <w:t xml:space="preserve">Olist Marketing Funnel Dataset</w:t>
        </w:r>
      </w:hyperlink>
    </w:p>
    <w:p>
      <w:pPr>
        <w:spacing w:after="120"/>
      </w:pPr>
      <w:r>
        <w:rPr>
          <w:rFonts w:ascii="Arial" w:cs="Arial" w:eastAsia="Arial" w:hAnsi="Arial"/>
          <w:sz w:val="20"/>
          <w:szCs w:val="20"/>
        </w:rPr>
        <w:t xml:space="preserve">Les deux datasets sont publies sous licence CC BY-NC-SA 4.0.</w:t>
      </w:r>
    </w:p>
    <w:p>
      <w:pPr>
        <w:spacing w:after="100"/>
      </w:pPr>
      <w:r>
        <w:t xml:space="preserve"/>
      </w:r>
    </w:p>
    <w:p>
      <w:pPr>
        <w:spacing w:after="120"/>
      </w:pPr>
      <w:r>
        <w:rPr>
          <w:rFonts w:ascii="Arial" w:cs="Arial" w:eastAsia="Arial" w:hAnsi="Arial"/>
          <w:sz w:val="20"/>
          <w:szCs w:val="20"/>
        </w:rPr>
        <w:t xml:space="preserve">Ce projet est open-source sous licence MIT.</w:t>
      </w:r>
    </w:p>
    <w:p/>
    <w:p/>
    <w:p/>
    <w:p/>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jc w:val="right"/>
    </w:pPr>
    <w:r>
      <w:rPr>
        <w:rFonts w:ascii="Arial" w:cs="Arial" w:eastAsia="Arial" w:hAnsi="Arial"/>
        <w:color w:val="777777"/>
        <w:sz w:val="16"/>
        <w:szCs w:val="16"/>
      </w:rPr>
      <w:t xml:space="preserve">Olist Data Warehouse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2C2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3A3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mdkiyi1uy2bgphcvb-vx" Type="http://schemas.openxmlformats.org/officeDocument/2006/relationships/hyperlink" Target="https://www.kaggle.com/datasets/olistbr/brazilian-ecommerce" TargetMode="External"/><Relationship Id="rIdaytlh1swqhyuxacmt7usg" Type="http://schemas.openxmlformats.org/officeDocument/2006/relationships/hyperlink" Target="https://www.kaggle.com/datasets/olistbr/marketing-funnel-olist" TargetMode="External"/><Relationship Id="rId9" Type="http://schemas.openxmlformats.org/officeDocument/2006/relationships/image" Target="media/d0db55ca026bf6217ff5fa0314777e38f8e0a87d.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Youssef Khaloufi</dc:creator>
  <cp:lastModifiedBy>Youssef Khaloufi</cp:lastModifiedBy>
  <cp:revision>1</cp:revision>
  <dcterms:created xsi:type="dcterms:W3CDTF">2026-05-24T21:12:17.211Z</dcterms:created>
  <dcterms:modified xsi:type="dcterms:W3CDTF">2026-05-24T21:12:17.211Z</dcterms:modified>
</cp:coreProperties>
</file>

<file path=docProps/custom.xml><?xml version="1.0" encoding="utf-8"?>
<Properties xmlns="http://schemas.openxmlformats.org/officeDocument/2006/custom-properties" xmlns:vt="http://schemas.openxmlformats.org/officeDocument/2006/docPropsVTypes"/>
</file>