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Snort RAG Rule Generator</w:t>
        <w:br/>
      </w:r>
      <w:r>
        <w:rPr>
          <w:b/>
        </w:rPr>
        <w:t>Projet NLP - Sujet 2 : Generation de regles SNORT</w:t>
        <w:br/>
      </w:r>
      <w:r>
        <w:t>Devoir 3 : Implementation et comparaison des architectures RAG</w:t>
        <w:br/>
      </w:r>
      <w:r>
        <w:t>FST Tanger - Master NLP 2026</w:t>
      </w:r>
    </w:p>
    <w:p/>
    <w:tbl>
      <w:tblPr>
        <w:tblStyle w:val="TableGrid"/>
        <w:tblW w:type="auto" w:w="0"/>
        <w:jc w:val="center"/>
        <w:tblLook w:firstColumn="1" w:firstRow="1" w:lastColumn="0" w:lastRow="0" w:noHBand="0" w:noVBand="1" w:val="04A0"/>
      </w:tblPr>
      <w:tblGrid>
        <w:gridCol w:w="5184"/>
        <w:gridCol w:w="5184"/>
      </w:tblGrid>
      <w:tr>
        <w:tc>
          <w:tcPr>
            <w:tcW w:type="dxa" w:w="3600"/>
            <w:shd w:fill="D9EAF7"/>
            <w:vAlign w:val="top"/>
          </w:tcPr>
          <w:p>
            <w:r>
              <w:rPr>
                <w:rFonts w:ascii="Arial" w:hAnsi="Arial"/>
                <w:sz w:val="20"/>
              </w:rPr>
              <w:t>Champ</w:t>
            </w:r>
          </w:p>
        </w:tc>
        <w:tc>
          <w:tcPr>
            <w:tcW w:type="dxa" w:w="7200"/>
            <w:shd w:fill="D9EAF7"/>
            <w:vAlign w:val="top"/>
          </w:tcPr>
          <w:p>
            <w:r>
              <w:rPr>
                <w:rFonts w:ascii="Arial" w:hAnsi="Arial"/>
                <w:sz w:val="20"/>
              </w:rPr>
              <w:t>Valeur</w:t>
            </w:r>
          </w:p>
        </w:tc>
      </w:tr>
      <w:tr>
        <w:tc>
          <w:tcPr>
            <w:tcW w:type="dxa" w:w="3600"/>
            <w:vAlign w:val="top"/>
          </w:tcPr>
          <w:p>
            <w:r>
              <w:rPr>
                <w:rFonts w:ascii="Arial" w:hAnsi="Arial"/>
                <w:sz w:val="20"/>
              </w:rPr>
              <w:t>Auteur / Groupe</w:t>
            </w:r>
          </w:p>
        </w:tc>
        <w:tc>
          <w:tcPr>
            <w:tcW w:type="dxa" w:w="7200"/>
            <w:vAlign w:val="top"/>
          </w:tcPr>
          <w:p>
            <w:r>
              <w:rPr>
                <w:rFonts w:ascii="Arial" w:hAnsi="Arial"/>
                <w:sz w:val="20"/>
              </w:rPr>
              <w:t>A completer par les membres du groupe</w:t>
            </w:r>
          </w:p>
        </w:tc>
      </w:tr>
      <w:tr>
        <w:tc>
          <w:tcPr>
            <w:tcW w:type="dxa" w:w="3600"/>
            <w:vAlign w:val="top"/>
          </w:tcPr>
          <w:p>
            <w:r>
              <w:rPr>
                <w:rFonts w:ascii="Arial" w:hAnsi="Arial"/>
                <w:sz w:val="20"/>
              </w:rPr>
              <w:t>Thematique</w:t>
            </w:r>
          </w:p>
        </w:tc>
        <w:tc>
          <w:tcPr>
            <w:tcW w:type="dxa" w:w="7200"/>
            <w:vAlign w:val="top"/>
          </w:tcPr>
          <w:p>
            <w:r>
              <w:rPr>
                <w:rFonts w:ascii="Arial" w:hAnsi="Arial"/>
                <w:sz w:val="20"/>
              </w:rPr>
              <w:t>CyberSecurity</w:t>
            </w:r>
          </w:p>
        </w:tc>
      </w:tr>
      <w:tr>
        <w:tc>
          <w:tcPr>
            <w:tcW w:type="dxa" w:w="3600"/>
            <w:vAlign w:val="top"/>
          </w:tcPr>
          <w:p>
            <w:r>
              <w:rPr>
                <w:rFonts w:ascii="Arial" w:hAnsi="Arial"/>
                <w:sz w:val="20"/>
              </w:rPr>
              <w:t>Sujet</w:t>
            </w:r>
          </w:p>
        </w:tc>
        <w:tc>
          <w:tcPr>
            <w:tcW w:type="dxa" w:w="7200"/>
            <w:vAlign w:val="top"/>
          </w:tcPr>
          <w:p>
            <w:r>
              <w:rPr>
                <w:rFonts w:ascii="Arial" w:hAnsi="Arial"/>
                <w:sz w:val="20"/>
              </w:rPr>
              <w:t>Generation de regles SNORT</w:t>
            </w:r>
          </w:p>
        </w:tc>
      </w:tr>
      <w:tr>
        <w:tc>
          <w:tcPr>
            <w:tcW w:type="dxa" w:w="3600"/>
            <w:vAlign w:val="top"/>
          </w:tcPr>
          <w:p>
            <w:r>
              <w:rPr>
                <w:rFonts w:ascii="Arial" w:hAnsi="Arial"/>
                <w:sz w:val="20"/>
              </w:rPr>
              <w:t>Date</w:t>
            </w:r>
          </w:p>
        </w:tc>
        <w:tc>
          <w:tcPr>
            <w:tcW w:type="dxa" w:w="7200"/>
            <w:vAlign w:val="top"/>
          </w:tcPr>
          <w:p>
            <w:r>
              <w:rPr>
                <w:rFonts w:ascii="Arial" w:hAnsi="Arial"/>
                <w:sz w:val="20"/>
              </w:rPr>
              <w:t>Mai 2026</w:t>
            </w:r>
          </w:p>
        </w:tc>
      </w:tr>
    </w:tbl>
    <w:p>
      <w:r>
        <w:br w:type="page"/>
      </w:r>
    </w:p>
    <w:p>
      <w:pPr>
        <w:pStyle w:val="Heading1"/>
      </w:pPr>
      <w:r>
        <w:t>1. Resume executif</w:t>
      </w:r>
    </w:p>
    <w:p>
      <w:r>
        <w:t>Ce livrable propose un systeme defensif base sur NLP et Retrieval-Augmented Generation (RAG) pour generer automatiquement des regles Snort a partir de descriptions d'attaques reseau. Le projet respecte le cahier de charge: dataset personnel, enrichissement synthetique, retrieval Top-k, generation controlee, classification du type d'attaque, visualisation/clustering, interface Gradio et comparaison des architectures du Devoir 3.</w:t>
      </w:r>
    </w:p>
    <w:p>
      <w:r>
        <w:t>Comme le TP interdit l'utilisation d'API OpenAI, Mistral ou Ollama, le module de generation est local et transparent: il utilise les documents recuperes et des templates Snort valides au lieu d'appeler un LLM externe.</w:t>
      </w:r>
    </w:p>
    <w:p>
      <w:pPr>
        <w:pStyle w:val="Heading1"/>
      </w:pPr>
      <w:r>
        <w:t>2. Contraintes du cahier de charge respectees</w:t>
      </w:r>
    </w:p>
    <w:tbl>
      <w:tblPr>
        <w:tblStyle w:val="TableGrid"/>
        <w:tblW w:type="auto" w:w="0"/>
        <w:jc w:val="center"/>
        <w:tblLook w:firstColumn="1" w:firstRow="1" w:lastColumn="0" w:lastRow="0" w:noHBand="0" w:noVBand="1" w:val="04A0"/>
      </w:tblPr>
      <w:tblGrid>
        <w:gridCol w:w="5184"/>
        <w:gridCol w:w="5184"/>
      </w:tblGrid>
      <w:tr>
        <w:tc>
          <w:tcPr>
            <w:tcW w:type="dxa" w:w="2592"/>
            <w:shd w:fill="D9EAF7"/>
            <w:vAlign w:val="top"/>
          </w:tcPr>
          <w:p>
            <w:r>
              <w:rPr>
                <w:rFonts w:ascii="Arial" w:hAnsi="Arial"/>
                <w:sz w:val="17"/>
              </w:rPr>
              <w:t>Contrainte</w:t>
            </w:r>
          </w:p>
        </w:tc>
        <w:tc>
          <w:tcPr>
            <w:tcW w:type="dxa" w:w="8064"/>
            <w:shd w:fill="D9EAF7"/>
            <w:vAlign w:val="top"/>
          </w:tcPr>
          <w:p>
            <w:r>
              <w:rPr>
                <w:rFonts w:ascii="Arial" w:hAnsi="Arial"/>
                <w:sz w:val="17"/>
              </w:rPr>
              <w:t>Implementation</w:t>
            </w:r>
          </w:p>
        </w:tc>
      </w:tr>
      <w:tr>
        <w:tc>
          <w:tcPr>
            <w:tcW w:type="dxa" w:w="2592"/>
            <w:vAlign w:val="top"/>
          </w:tcPr>
          <w:p>
            <w:r>
              <w:rPr>
                <w:rFonts w:ascii="Arial" w:hAnsi="Arial"/>
                <w:sz w:val="17"/>
              </w:rPr>
              <w:t>Base personnelle</w:t>
            </w:r>
          </w:p>
        </w:tc>
        <w:tc>
          <w:tcPr>
            <w:tcW w:type="dxa" w:w="8064"/>
            <w:vAlign w:val="top"/>
          </w:tcPr>
          <w:p>
            <w:r>
              <w:rPr>
                <w:rFonts w:ascii="Arial" w:hAnsi="Arial"/>
                <w:sz w:val="17"/>
              </w:rPr>
              <w:t>Dataset final genere dans data/processed a partir de scenarios manuels et variations synthetiques.</w:t>
            </w:r>
          </w:p>
        </w:tc>
      </w:tr>
      <w:tr>
        <w:tc>
          <w:tcPr>
            <w:tcW w:type="dxa" w:w="2592"/>
            <w:vAlign w:val="top"/>
          </w:tcPr>
          <w:p>
            <w:r>
              <w:rPr>
                <w:rFonts w:ascii="Arial" w:hAnsi="Arial"/>
                <w:sz w:val="17"/>
              </w:rPr>
              <w:t>Sources reelles</w:t>
            </w:r>
          </w:p>
        </w:tc>
        <w:tc>
          <w:tcPr>
            <w:tcW w:type="dxa" w:w="8064"/>
            <w:vAlign w:val="top"/>
          </w:tcPr>
          <w:p>
            <w:r>
              <w:rPr>
                <w:rFonts w:ascii="Arial" w:hAnsi="Arial"/>
                <w:sz w:val="17"/>
              </w:rPr>
              <w:t>Sources Snort/ET Open utilisees pour legitimer la syntaxe et les familles, sans copier un dataset public.</w:t>
            </w:r>
          </w:p>
        </w:tc>
      </w:tr>
      <w:tr>
        <w:tc>
          <w:tcPr>
            <w:tcW w:type="dxa" w:w="2592"/>
            <w:vAlign w:val="top"/>
          </w:tcPr>
          <w:p>
            <w:r>
              <w:rPr>
                <w:rFonts w:ascii="Arial" w:hAnsi="Arial"/>
                <w:sz w:val="17"/>
              </w:rPr>
              <w:t>Pipeline RAG</w:t>
            </w:r>
          </w:p>
        </w:tc>
        <w:tc>
          <w:tcPr>
            <w:tcW w:type="dxa" w:w="8064"/>
            <w:vAlign w:val="top"/>
          </w:tcPr>
          <w:p>
            <w:r>
              <w:rPr>
                <w:rFonts w:ascii="Arial" w:hAnsi="Arial"/>
                <w:sz w:val="17"/>
              </w:rPr>
              <w:t>Entree utilisateur, vectorisation, Top-k retrieval, prompt enrichi, generation de regle, explication.</w:t>
            </w:r>
          </w:p>
        </w:tc>
      </w:tr>
      <w:tr>
        <w:tc>
          <w:tcPr>
            <w:tcW w:type="dxa" w:w="2592"/>
            <w:vAlign w:val="top"/>
          </w:tcPr>
          <w:p>
            <w:r>
              <w:rPr>
                <w:rFonts w:ascii="Arial" w:hAnsi="Arial"/>
                <w:sz w:val="17"/>
              </w:rPr>
              <w:t>Retrieval</w:t>
            </w:r>
          </w:p>
        </w:tc>
        <w:tc>
          <w:tcPr>
            <w:tcW w:type="dxa" w:w="8064"/>
            <w:vAlign w:val="top"/>
          </w:tcPr>
          <w:p>
            <w:r>
              <w:rPr>
                <w:rFonts w:ascii="Arial" w:hAnsi="Arial"/>
                <w:sz w:val="17"/>
              </w:rPr>
              <w:t>TF-IDF, BM25 et fusion hybride; FAISS/sentence-transformers prevus en option.</w:t>
            </w:r>
          </w:p>
        </w:tc>
      </w:tr>
      <w:tr>
        <w:tc>
          <w:tcPr>
            <w:tcW w:type="dxa" w:w="2592"/>
            <w:vAlign w:val="top"/>
          </w:tcPr>
          <w:p>
            <w:r>
              <w:rPr>
                <w:rFonts w:ascii="Arial" w:hAnsi="Arial"/>
                <w:sz w:val="17"/>
              </w:rPr>
              <w:t>Devoir 3</w:t>
            </w:r>
          </w:p>
        </w:tc>
        <w:tc>
          <w:tcPr>
            <w:tcW w:type="dxa" w:w="8064"/>
            <w:vAlign w:val="top"/>
          </w:tcPr>
          <w:p>
            <w:r>
              <w:rPr>
                <w:rFonts w:ascii="Arial" w:hAnsi="Arial"/>
                <w:sz w:val="17"/>
              </w:rPr>
              <w:t>Baseline, RAG classique, re-ranking, hybride, multi-hop, graph RAG, agentic RAG, metriques, t-SNE, Gradio.</w:t>
            </w:r>
          </w:p>
        </w:tc>
      </w:tr>
      <w:tr>
        <w:tc>
          <w:tcPr>
            <w:tcW w:type="dxa" w:w="2592"/>
            <w:vAlign w:val="top"/>
          </w:tcPr>
          <w:p>
            <w:r>
              <w:rPr>
                <w:rFonts w:ascii="Arial" w:hAnsi="Arial"/>
                <w:sz w:val="17"/>
              </w:rPr>
              <w:t>Interface</w:t>
            </w:r>
          </w:p>
        </w:tc>
        <w:tc>
          <w:tcPr>
            <w:tcW w:type="dxa" w:w="8064"/>
            <w:vAlign w:val="top"/>
          </w:tcPr>
          <w:p>
            <w:r>
              <w:rPr>
                <w:rFonts w:ascii="Arial" w:hAnsi="Arial"/>
                <w:sz w:val="17"/>
              </w:rPr>
              <w:t>Dashboard Gradio avec choix d architecture et ajout de PDF comme nouvelle base de connaissance.</w:t>
            </w:r>
          </w:p>
        </w:tc>
      </w:tr>
    </w:tbl>
    <w:p>
      <w:pPr>
        <w:pStyle w:val="Heading1"/>
      </w:pPr>
      <w:r>
        <w:t>3. Sources reelles utilisees</w:t>
      </w:r>
    </w:p>
    <w:p>
      <w:r>
        <w:t>Le projet n'integre pas directement un corpus public pre-etiquete comme dataset final. Les sources suivantes servent de references pour la syntaxe et la legitimite des regles.</w:t>
      </w:r>
    </w:p>
    <w:tbl>
      <w:tblPr>
        <w:tblStyle w:val="TableGrid"/>
        <w:tblW w:type="auto" w:w="0"/>
        <w:jc w:val="center"/>
        <w:tblLook w:firstColumn="1" w:firstRow="1" w:lastColumn="0" w:lastRow="0" w:noHBand="0" w:noVBand="1" w:val="04A0"/>
      </w:tblPr>
      <w:tblGrid>
        <w:gridCol w:w="3456"/>
        <w:gridCol w:w="3456"/>
        <w:gridCol w:w="3456"/>
      </w:tblGrid>
      <w:tr>
        <w:tc>
          <w:tcPr>
            <w:tcW w:type="dxa" w:w="3312"/>
            <w:shd w:fill="D9EAF7"/>
            <w:vAlign w:val="top"/>
          </w:tcPr>
          <w:p>
            <w:r>
              <w:rPr>
                <w:rFonts w:ascii="Arial" w:hAnsi="Arial"/>
                <w:sz w:val="15"/>
              </w:rPr>
              <w:t>Source</w:t>
            </w:r>
          </w:p>
        </w:tc>
        <w:tc>
          <w:tcPr>
            <w:tcW w:type="dxa" w:w="3456"/>
            <w:shd w:fill="D9EAF7"/>
            <w:vAlign w:val="top"/>
          </w:tcPr>
          <w:p>
            <w:r>
              <w:rPr>
                <w:rFonts w:ascii="Arial" w:hAnsi="Arial"/>
                <w:sz w:val="15"/>
              </w:rPr>
              <w:t>URL</w:t>
            </w:r>
          </w:p>
        </w:tc>
        <w:tc>
          <w:tcPr>
            <w:tcW w:type="dxa" w:w="4320"/>
            <w:shd w:fill="D9EAF7"/>
            <w:vAlign w:val="top"/>
          </w:tcPr>
          <w:p>
            <w:r>
              <w:rPr>
                <w:rFonts w:ascii="Arial" w:hAnsi="Arial"/>
                <w:sz w:val="15"/>
              </w:rPr>
              <w:t>Usage</w:t>
            </w:r>
          </w:p>
        </w:tc>
      </w:tr>
      <w:tr>
        <w:tc>
          <w:tcPr>
            <w:tcW w:type="dxa" w:w="3312"/>
            <w:vAlign w:val="top"/>
          </w:tcPr>
          <w:p>
            <w:r>
              <w:rPr>
                <w:rFonts w:ascii="Arial" w:hAnsi="Arial"/>
                <w:sz w:val="15"/>
              </w:rPr>
              <w:t>Snort 3 Rule Writing Guide - Cisco Talos</w:t>
            </w:r>
          </w:p>
        </w:tc>
        <w:tc>
          <w:tcPr>
            <w:tcW w:type="dxa" w:w="3456"/>
            <w:vAlign w:val="top"/>
          </w:tcPr>
          <w:p>
            <w:r>
              <w:rPr>
                <w:rFonts w:ascii="Arial" w:hAnsi="Arial"/>
                <w:sz w:val="15"/>
              </w:rPr>
              <w:t>https://docs.snort.org/</w:t>
            </w:r>
          </w:p>
        </w:tc>
        <w:tc>
          <w:tcPr>
            <w:tcW w:type="dxa" w:w="4320"/>
            <w:vAlign w:val="top"/>
          </w:tcPr>
          <w:p>
            <w:r>
              <w:rPr>
                <w:rFonts w:ascii="Arial" w:hAnsi="Arial"/>
                <w:sz w:val="15"/>
              </w:rPr>
              <w:t>Syntaxe: entetes, msg, sid, rev, classtype, content, http_uri, flow, detection_filter.</w:t>
            </w:r>
          </w:p>
        </w:tc>
      </w:tr>
      <w:tr>
        <w:tc>
          <w:tcPr>
            <w:tcW w:type="dxa" w:w="3312"/>
            <w:vAlign w:val="top"/>
          </w:tcPr>
          <w:p>
            <w:r>
              <w:rPr>
                <w:rFonts w:ascii="Arial" w:hAnsi="Arial"/>
                <w:sz w:val="15"/>
              </w:rPr>
              <w:t>Snort.org downloads</w:t>
            </w:r>
          </w:p>
        </w:tc>
        <w:tc>
          <w:tcPr>
            <w:tcW w:type="dxa" w:w="3456"/>
            <w:vAlign w:val="top"/>
          </w:tcPr>
          <w:p>
            <w:r>
              <w:rPr>
                <w:rFonts w:ascii="Arial" w:hAnsi="Arial"/>
                <w:sz w:val="15"/>
              </w:rPr>
              <w:t>https://www.snort.org/downloads</w:t>
            </w:r>
          </w:p>
        </w:tc>
        <w:tc>
          <w:tcPr>
            <w:tcW w:type="dxa" w:w="4320"/>
            <w:vAlign w:val="top"/>
          </w:tcPr>
          <w:p>
            <w:r>
              <w:rPr>
                <w:rFonts w:ascii="Arial" w:hAnsi="Arial"/>
                <w:sz w:val="15"/>
              </w:rPr>
              <w:t>Page officielle pour versions Snort et regles communautaires/registered.</w:t>
            </w:r>
          </w:p>
        </w:tc>
      </w:tr>
      <w:tr>
        <w:tc>
          <w:tcPr>
            <w:tcW w:type="dxa" w:w="3312"/>
            <w:vAlign w:val="top"/>
          </w:tcPr>
          <w:p>
            <w:r>
              <w:rPr>
                <w:rFonts w:ascii="Arial" w:hAnsi="Arial"/>
                <w:sz w:val="15"/>
              </w:rPr>
              <w:t>Registered vs Subscriber</w:t>
            </w:r>
          </w:p>
        </w:tc>
        <w:tc>
          <w:tcPr>
            <w:tcW w:type="dxa" w:w="3456"/>
            <w:vAlign w:val="top"/>
          </w:tcPr>
          <w:p>
            <w:r>
              <w:rPr>
                <w:rFonts w:ascii="Arial" w:hAnsi="Arial"/>
                <w:sz w:val="15"/>
              </w:rPr>
              <w:t>https://snort.org/documents/registered-vs-subscriber</w:t>
            </w:r>
          </w:p>
        </w:tc>
        <w:tc>
          <w:tcPr>
            <w:tcW w:type="dxa" w:w="4320"/>
            <w:vAlign w:val="top"/>
          </w:tcPr>
          <w:p>
            <w:r>
              <w:rPr>
                <w:rFonts w:ascii="Arial" w:hAnsi="Arial"/>
                <w:sz w:val="15"/>
              </w:rPr>
              <w:t>Contexte des jeux de regles: Community, Registered, Subscriber.</w:t>
            </w:r>
          </w:p>
        </w:tc>
      </w:tr>
      <w:tr>
        <w:tc>
          <w:tcPr>
            <w:tcW w:type="dxa" w:w="3312"/>
            <w:vAlign w:val="top"/>
          </w:tcPr>
          <w:p>
            <w:r>
              <w:rPr>
                <w:rFonts w:ascii="Arial" w:hAnsi="Arial"/>
                <w:sz w:val="15"/>
              </w:rPr>
              <w:t>Emerging Threats Open Rules</w:t>
            </w:r>
          </w:p>
        </w:tc>
        <w:tc>
          <w:tcPr>
            <w:tcW w:type="dxa" w:w="3456"/>
            <w:vAlign w:val="top"/>
          </w:tcPr>
          <w:p>
            <w:r>
              <w:rPr>
                <w:rFonts w:ascii="Arial" w:hAnsi="Arial"/>
                <w:sz w:val="15"/>
              </w:rPr>
              <w:t>https://rules.emergingthreats.net/open/snort-2.9.0/emerging.rules.tar.gz</w:t>
            </w:r>
          </w:p>
        </w:tc>
        <w:tc>
          <w:tcPr>
            <w:tcW w:type="dxa" w:w="4320"/>
            <w:vAlign w:val="top"/>
          </w:tcPr>
          <w:p>
            <w:r>
              <w:rPr>
                <w:rFonts w:ascii="Arial" w:hAnsi="Arial"/>
                <w:sz w:val="15"/>
              </w:rPr>
              <w:t>Source ouverte optionnelle pour extraire des squelettes de regles et verifier les categories.</w:t>
            </w:r>
          </w:p>
        </w:tc>
      </w:tr>
      <w:tr>
        <w:tc>
          <w:tcPr>
            <w:tcW w:type="dxa" w:w="3312"/>
            <w:vAlign w:val="top"/>
          </w:tcPr>
          <w:p>
            <w:r>
              <w:rPr>
                <w:rFonts w:ascii="Arial" w:hAnsi="Arial"/>
                <w:sz w:val="15"/>
              </w:rPr>
              <w:t>Emerging Threats FAQ</w:t>
            </w:r>
          </w:p>
        </w:tc>
        <w:tc>
          <w:tcPr>
            <w:tcW w:type="dxa" w:w="3456"/>
            <w:vAlign w:val="top"/>
          </w:tcPr>
          <w:p>
            <w:r>
              <w:rPr>
                <w:rFonts w:ascii="Arial" w:hAnsi="Arial"/>
                <w:sz w:val="15"/>
              </w:rPr>
              <w:t>https://community.emergingthreats.net/t/frequently-asked-questions/56</w:t>
            </w:r>
          </w:p>
        </w:tc>
        <w:tc>
          <w:tcPr>
            <w:tcW w:type="dxa" w:w="4320"/>
            <w:vAlign w:val="top"/>
          </w:tcPr>
          <w:p>
            <w:r>
              <w:rPr>
                <w:rFonts w:ascii="Arial" w:hAnsi="Arial"/>
                <w:sz w:val="15"/>
              </w:rPr>
              <w:t>Contexte ET Open et regles maintenues par la communaute.</w:t>
            </w:r>
          </w:p>
        </w:tc>
      </w:tr>
    </w:tbl>
    <w:p>
      <w:pPr>
        <w:pStyle w:val="Heading1"/>
      </w:pPr>
      <w:r>
        <w:t>4. Construction et enrichissement du dataset</w:t>
      </w:r>
    </w:p>
    <w:p>
      <w:r>
        <w:t>Le dataset genere contient 216 lignes: 204 exemples malveillants et 12 exemples benins. Chaque ligne contient description naturelle, label, type d'attaque, famille, severite, regle Snort, statut de validation, source de reference et exemple de log.</w:t>
      </w:r>
    </w:p>
    <w:p>
      <w:r>
        <w:t>La commande python -m snort_rag.generate_dataset --multiplier N permet d'augmenter automatiquement le dataset. Les variations incluent style SOC, requete courte, formulation technique, francais/anglais et exemples de logs.</w:t>
      </w:r>
    </w:p>
    <w:p>
      <w:r>
        <w:t>Types inclus: benign, command_injection, directory_traversal, dns_axfr, dns_tunneling, ftp_bruteforce, icmp_sweep, log4shell, malware_c2, port_scan, rdp_bruteforce, shellshock, smb_exploit, sql_injection, ssh_bruteforce, suspicious_user_agent, webshell_upload, xss</w:t>
      </w:r>
    </w:p>
    <w:p>
      <w:pPr>
        <w:pStyle w:val="Heading1"/>
      </w:pPr>
      <w:r>
        <w:t>5. Architecture logicielle</w:t>
      </w:r>
    </w:p>
    <w:p>
      <w:pPr>
        <w:pStyle w:val="ListBullet"/>
      </w:pPr>
      <w:r>
        <w:t>src/snort_rag/rule_parser.py : parseur et validateur syntaxique Snort.</w:t>
      </w:r>
    </w:p>
    <w:p>
      <w:pPr>
        <w:pStyle w:val="ListBullet"/>
      </w:pPr>
      <w:r>
        <w:t>src/snort_rag/templates.py : familles, mots-cles et templates Snort defensifs.</w:t>
      </w:r>
    </w:p>
    <w:p>
      <w:pPr>
        <w:pStyle w:val="ListBullet"/>
      </w:pPr>
      <w:r>
        <w:t>src/snort_rag/retrieval.py : TF-IDF, BM25, retrieval hybride et ajout de PDF.</w:t>
      </w:r>
    </w:p>
    <w:p>
      <w:pPr>
        <w:pStyle w:val="ListBullet"/>
      </w:pPr>
      <w:r>
        <w:t>src/snort_rag/generator.py : prompt, choix du type d attaque, generation locale et explication.</w:t>
      </w:r>
    </w:p>
    <w:p>
      <w:pPr>
        <w:pStyle w:val="ListBullet"/>
      </w:pPr>
      <w:r>
        <w:t>src/snort_rag/architectures.py : implementation des 7 architectures RAG.</w:t>
      </w:r>
    </w:p>
    <w:p>
      <w:pPr>
        <w:pStyle w:val="ListBullet"/>
      </w:pPr>
      <w:r>
        <w:t>src/snort_rag/evaluation.py : metriques, tests et visualisation t-SNE.</w:t>
      </w:r>
    </w:p>
    <w:p>
      <w:pPr>
        <w:pStyle w:val="ListBullet"/>
      </w:pPr>
      <w:r>
        <w:t>src/snort_rag/app_gradio.py : interface web.</w:t>
      </w:r>
    </w:p>
    <w:p>
      <w:pPr>
        <w:pStyle w:val="Heading1"/>
      </w:pPr>
      <w:r>
        <w:t>6. Pipeline RAG complet</w:t>
      </w:r>
    </w:p>
    <w:p>
      <w:pPr>
        <w:pStyle w:val="ListNumber"/>
      </w:pPr>
      <w:r>
        <w:t>L'utilisateur saisit une description d'attaque.</w:t>
      </w:r>
    </w:p>
    <w:p>
      <w:pPr>
        <w:pStyle w:val="ListNumber"/>
      </w:pPr>
      <w:r>
        <w:t>La requete est vectorisee; BM25 calcule un score lexical complementaire.</w:t>
      </w:r>
    </w:p>
    <w:p>
      <w:pPr>
        <w:pStyle w:val="ListNumber"/>
      </w:pPr>
      <w:r>
        <w:t>Le systeme recupere les documents Top-k similaires dans la base personnelle.</w:t>
      </w:r>
    </w:p>
    <w:p>
      <w:pPr>
        <w:pStyle w:val="ListNumber"/>
      </w:pPr>
      <w:r>
        <w:t>Un prompt enrichi est construit avec les regles et descriptions recuperees.</w:t>
      </w:r>
    </w:p>
    <w:p>
      <w:pPr>
        <w:pStyle w:val="ListNumber"/>
      </w:pPr>
      <w:r>
        <w:t>Le generateur local choisit le type d'attaque et remplit un template Snort adapte.</w:t>
      </w:r>
    </w:p>
    <w:p>
      <w:pPr>
        <w:pStyle w:val="ListNumber"/>
      </w:pPr>
      <w:r>
        <w:t>Le parseur verifie msg, sid, rev, classtype et les options utiles.</w:t>
      </w:r>
    </w:p>
    <w:p>
      <w:pPr>
        <w:pStyle w:val="ListNumber"/>
      </w:pPr>
      <w:r>
        <w:t>Le systeme retourne la regle, l'explication, le type d'attaque et les documents utilises.</w:t>
      </w:r>
    </w:p>
    <w:p>
      <w:pPr>
        <w:pStyle w:val="Heading1"/>
      </w:pPr>
      <w:r>
        <w:t>7. Architectures comparees dans Devoir 3</w:t>
      </w:r>
    </w:p>
    <w:tbl>
      <w:tblPr>
        <w:tblStyle w:val="TableGrid"/>
        <w:tblW w:type="auto" w:w="0"/>
        <w:jc w:val="center"/>
        <w:tblLook w:firstColumn="1" w:firstRow="1" w:lastColumn="0" w:lastRow="0" w:noHBand="0" w:noVBand="1" w:val="04A0"/>
      </w:tblPr>
      <w:tblGrid>
        <w:gridCol w:w="5184"/>
        <w:gridCol w:w="5184"/>
      </w:tblGrid>
      <w:tr>
        <w:tc>
          <w:tcPr>
            <w:tcW w:type="dxa" w:w="2592"/>
            <w:shd w:fill="D9EAF7"/>
            <w:vAlign w:val="top"/>
          </w:tcPr>
          <w:p>
            <w:r>
              <w:rPr>
                <w:rFonts w:ascii="Arial" w:hAnsi="Arial"/>
                <w:sz w:val="17"/>
              </w:rPr>
              <w:t>Architecture</w:t>
            </w:r>
          </w:p>
        </w:tc>
        <w:tc>
          <w:tcPr>
            <w:tcW w:type="dxa" w:w="8064"/>
            <w:shd w:fill="D9EAF7"/>
            <w:vAlign w:val="top"/>
          </w:tcPr>
          <w:p>
            <w:r>
              <w:rPr>
                <w:rFonts w:ascii="Arial" w:hAnsi="Arial"/>
                <w:sz w:val="17"/>
              </w:rPr>
              <w:t>Principe</w:t>
            </w:r>
          </w:p>
        </w:tc>
      </w:tr>
      <w:tr>
        <w:tc>
          <w:tcPr>
            <w:tcW w:type="dxa" w:w="2592"/>
            <w:vAlign w:val="top"/>
          </w:tcPr>
          <w:p>
            <w:r>
              <w:rPr>
                <w:rFonts w:ascii="Arial" w:hAnsi="Arial"/>
                <w:sz w:val="17"/>
              </w:rPr>
              <w:t>Baseline</w:t>
            </w:r>
          </w:p>
        </w:tc>
        <w:tc>
          <w:tcPr>
            <w:tcW w:type="dxa" w:w="8064"/>
            <w:vAlign w:val="top"/>
          </w:tcPr>
          <w:p>
            <w:r>
              <w:rPr>
                <w:rFonts w:ascii="Arial" w:hAnsi="Arial"/>
                <w:sz w:val="17"/>
              </w:rPr>
              <w:t>Generation directe depuis les mots-cles de la requete.</w:t>
            </w:r>
          </w:p>
        </w:tc>
      </w:tr>
      <w:tr>
        <w:tc>
          <w:tcPr>
            <w:tcW w:type="dxa" w:w="2592"/>
            <w:vAlign w:val="top"/>
          </w:tcPr>
          <w:p>
            <w:r>
              <w:rPr>
                <w:rFonts w:ascii="Arial" w:hAnsi="Arial"/>
                <w:sz w:val="17"/>
              </w:rPr>
              <w:t>RAG classique</w:t>
            </w:r>
          </w:p>
        </w:tc>
        <w:tc>
          <w:tcPr>
            <w:tcW w:type="dxa" w:w="8064"/>
            <w:vAlign w:val="top"/>
          </w:tcPr>
          <w:p>
            <w:r>
              <w:rPr>
                <w:rFonts w:ascii="Arial" w:hAnsi="Arial"/>
                <w:sz w:val="17"/>
              </w:rPr>
              <w:t>Retrieval sparse TF-IDF puis generation avec Top-k.</w:t>
            </w:r>
          </w:p>
        </w:tc>
      </w:tr>
      <w:tr>
        <w:tc>
          <w:tcPr>
            <w:tcW w:type="dxa" w:w="2592"/>
            <w:vAlign w:val="top"/>
          </w:tcPr>
          <w:p>
            <w:r>
              <w:rPr>
                <w:rFonts w:ascii="Arial" w:hAnsi="Arial"/>
                <w:sz w:val="17"/>
              </w:rPr>
              <w:t>RAG + re-ranking</w:t>
            </w:r>
          </w:p>
        </w:tc>
        <w:tc>
          <w:tcPr>
            <w:tcW w:type="dxa" w:w="8064"/>
            <w:vAlign w:val="top"/>
          </w:tcPr>
          <w:p>
            <w:r>
              <w:rPr>
                <w:rFonts w:ascii="Arial" w:hAnsi="Arial"/>
                <w:sz w:val="17"/>
              </w:rPr>
              <w:t>Re-classement selon type d attaque, validite et source.</w:t>
            </w:r>
          </w:p>
        </w:tc>
      </w:tr>
      <w:tr>
        <w:tc>
          <w:tcPr>
            <w:tcW w:type="dxa" w:w="2592"/>
            <w:vAlign w:val="top"/>
          </w:tcPr>
          <w:p>
            <w:r>
              <w:rPr>
                <w:rFonts w:ascii="Arial" w:hAnsi="Arial"/>
                <w:sz w:val="17"/>
              </w:rPr>
              <w:t>RAG hybride</w:t>
            </w:r>
          </w:p>
        </w:tc>
        <w:tc>
          <w:tcPr>
            <w:tcW w:type="dxa" w:w="8064"/>
            <w:vAlign w:val="top"/>
          </w:tcPr>
          <w:p>
            <w:r>
              <w:rPr>
                <w:rFonts w:ascii="Arial" w:hAnsi="Arial"/>
                <w:sz w:val="17"/>
              </w:rPr>
              <w:t>Fusion TF-IDF et BM25.</w:t>
            </w:r>
          </w:p>
        </w:tc>
      </w:tr>
      <w:tr>
        <w:tc>
          <w:tcPr>
            <w:tcW w:type="dxa" w:w="2592"/>
            <w:vAlign w:val="top"/>
          </w:tcPr>
          <w:p>
            <w:r>
              <w:rPr>
                <w:rFonts w:ascii="Arial" w:hAnsi="Arial"/>
                <w:sz w:val="17"/>
              </w:rPr>
              <w:t>Multi-hop RAG</w:t>
            </w:r>
          </w:p>
        </w:tc>
        <w:tc>
          <w:tcPr>
            <w:tcW w:type="dxa" w:w="8064"/>
            <w:vAlign w:val="top"/>
          </w:tcPr>
          <w:p>
            <w:r>
              <w:rPr>
                <w:rFonts w:ascii="Arial" w:hAnsi="Arial"/>
                <w:sz w:val="17"/>
              </w:rPr>
              <w:t>Retrieval, reformulation, deuxieme retrieval.</w:t>
            </w:r>
          </w:p>
        </w:tc>
      </w:tr>
      <w:tr>
        <w:tc>
          <w:tcPr>
            <w:tcW w:type="dxa" w:w="2592"/>
            <w:vAlign w:val="top"/>
          </w:tcPr>
          <w:p>
            <w:r>
              <w:rPr>
                <w:rFonts w:ascii="Arial" w:hAnsi="Arial"/>
                <w:sz w:val="17"/>
              </w:rPr>
              <w:t>Graph RAG</w:t>
            </w:r>
          </w:p>
        </w:tc>
        <w:tc>
          <w:tcPr>
            <w:tcW w:type="dxa" w:w="8064"/>
            <w:vAlign w:val="top"/>
          </w:tcPr>
          <w:p>
            <w:r>
              <w:rPr>
                <w:rFonts w:ascii="Arial" w:hAnsi="Arial"/>
                <w:sz w:val="17"/>
              </w:rPr>
              <w:t>Graphe type_d_attaque -&gt; exemples/regles.</w:t>
            </w:r>
          </w:p>
        </w:tc>
      </w:tr>
      <w:tr>
        <w:tc>
          <w:tcPr>
            <w:tcW w:type="dxa" w:w="2592"/>
            <w:vAlign w:val="top"/>
          </w:tcPr>
          <w:p>
            <w:r>
              <w:rPr>
                <w:rFonts w:ascii="Arial" w:hAnsi="Arial"/>
                <w:sz w:val="17"/>
              </w:rPr>
              <w:t>Agentic RAG</w:t>
            </w:r>
          </w:p>
        </w:tc>
        <w:tc>
          <w:tcPr>
            <w:tcW w:type="dxa" w:w="8064"/>
            <w:vAlign w:val="top"/>
          </w:tcPr>
          <w:p>
            <w:r>
              <w:rPr>
                <w:rFonts w:ascii="Arial" w:hAnsi="Arial"/>
                <w:sz w:val="17"/>
              </w:rPr>
              <w:t>Choix automatique de strategie selon ambiguite.</w:t>
            </w:r>
          </w:p>
        </w:tc>
      </w:tr>
    </w:tbl>
    <w:p>
      <w:pPr>
        <w:pStyle w:val="Heading1"/>
      </w:pPr>
      <w:r>
        <w:t>8. Metriques et resultats</w:t>
      </w:r>
    </w:p>
    <w:p>
      <w:r>
        <w:t>Metriques: accuracy de classification, precision/recall/F1 macro, taux de regles valides, retrieval hit@3, couverture moyenne des options Snort et risque d hallucination.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3024"/>
            <w:shd w:fill="D9EAF7"/>
            <w:vAlign w:val="top"/>
          </w:tcPr>
          <w:p>
            <w:r>
              <w:rPr>
                <w:rFonts w:ascii="Arial" w:hAnsi="Arial"/>
                <w:sz w:val="17"/>
              </w:rPr>
              <w:t>Architecture</w:t>
            </w:r>
          </w:p>
        </w:tc>
        <w:tc>
          <w:tcPr>
            <w:tcW w:type="dxa" w:w="1440"/>
            <w:shd w:fill="D9EAF7"/>
            <w:vAlign w:val="top"/>
          </w:tcPr>
          <w:p>
            <w:r>
              <w:rPr>
                <w:rFonts w:ascii="Arial" w:hAnsi="Arial"/>
                <w:sz w:val="17"/>
              </w:rPr>
              <w:t>F1</w:t>
            </w:r>
          </w:p>
        </w:tc>
        <w:tc>
          <w:tcPr>
            <w:tcW w:type="dxa" w:w="1440"/>
            <w:shd w:fill="D9EAF7"/>
            <w:vAlign w:val="top"/>
          </w:tcPr>
          <w:p>
            <w:r>
              <w:rPr>
                <w:rFonts w:ascii="Arial" w:hAnsi="Arial"/>
                <w:sz w:val="17"/>
              </w:rPr>
              <w:t>Validite</w:t>
            </w:r>
          </w:p>
        </w:tc>
        <w:tc>
          <w:tcPr>
            <w:tcW w:type="dxa" w:w="1440"/>
            <w:shd w:fill="D9EAF7"/>
            <w:vAlign w:val="top"/>
          </w:tcPr>
          <w:p>
            <w:r>
              <w:rPr>
                <w:rFonts w:ascii="Arial" w:hAnsi="Arial"/>
                <w:sz w:val="17"/>
              </w:rPr>
              <w:t>Hit@3</w:t>
            </w:r>
          </w:p>
        </w:tc>
        <w:tc>
          <w:tcPr>
            <w:tcW w:type="dxa" w:w="1728"/>
            <w:shd w:fill="D9EAF7"/>
            <w:vAlign w:val="top"/>
          </w:tcPr>
          <w:p>
            <w:r>
              <w:rPr>
                <w:rFonts w:ascii="Arial" w:hAnsi="Arial"/>
                <w:sz w:val="17"/>
              </w:rPr>
              <w:t>Risque halluc.</w:t>
            </w:r>
          </w:p>
        </w:tc>
      </w:tr>
      <w:tr>
        <w:tc>
          <w:tcPr>
            <w:tcW w:type="dxa" w:w="3024"/>
            <w:vAlign w:val="top"/>
          </w:tcPr>
          <w:p>
            <w:r>
              <w:rPr>
                <w:rFonts w:ascii="Arial" w:hAnsi="Arial"/>
                <w:sz w:val="17"/>
              </w:rPr>
              <w:t>agentic_rag</w:t>
            </w:r>
          </w:p>
        </w:tc>
        <w:tc>
          <w:tcPr>
            <w:tcW w:type="dxa" w:w="1440"/>
            <w:vAlign w:val="top"/>
          </w:tcPr>
          <w:p>
            <w:r>
              <w:rPr>
                <w:rFonts w:ascii="Arial" w:hAnsi="Arial"/>
                <w:sz w:val="17"/>
              </w:rPr>
              <w:t>1.000</w:t>
            </w:r>
          </w:p>
        </w:tc>
        <w:tc>
          <w:tcPr>
            <w:tcW w:type="dxa" w:w="1440"/>
            <w:vAlign w:val="top"/>
          </w:tcPr>
          <w:p>
            <w:r>
              <w:rPr>
                <w:rFonts w:ascii="Arial" w:hAnsi="Arial"/>
                <w:sz w:val="17"/>
              </w:rPr>
              <w:t>0.917</w:t>
            </w:r>
          </w:p>
        </w:tc>
        <w:tc>
          <w:tcPr>
            <w:tcW w:type="dxa" w:w="1440"/>
            <w:vAlign w:val="top"/>
          </w:tcPr>
          <w:p>
            <w:r>
              <w:rPr>
                <w:rFonts w:ascii="Arial" w:hAnsi="Arial"/>
                <w:sz w:val="17"/>
              </w:rPr>
              <w:t>1.000</w:t>
            </w:r>
          </w:p>
        </w:tc>
        <w:tc>
          <w:tcPr>
            <w:tcW w:type="dxa" w:w="1728"/>
            <w:vAlign w:val="top"/>
          </w:tcPr>
          <w:p>
            <w:r>
              <w:rPr>
                <w:rFonts w:ascii="Arial" w:hAnsi="Arial"/>
                <w:sz w:val="17"/>
              </w:rPr>
              <w:t>0.021</w:t>
            </w:r>
          </w:p>
        </w:tc>
      </w:tr>
      <w:tr>
        <w:tc>
          <w:tcPr>
            <w:tcW w:type="dxa" w:w="3024"/>
            <w:vAlign w:val="top"/>
          </w:tcPr>
          <w:p>
            <w:r>
              <w:rPr>
                <w:rFonts w:ascii="Arial" w:hAnsi="Arial"/>
                <w:sz w:val="17"/>
              </w:rPr>
              <w:t>graph_rag</w:t>
            </w:r>
          </w:p>
        </w:tc>
        <w:tc>
          <w:tcPr>
            <w:tcW w:type="dxa" w:w="1440"/>
            <w:vAlign w:val="top"/>
          </w:tcPr>
          <w:p>
            <w:r>
              <w:rPr>
                <w:rFonts w:ascii="Arial" w:hAnsi="Arial"/>
                <w:sz w:val="17"/>
              </w:rPr>
              <w:t>1.000</w:t>
            </w:r>
          </w:p>
        </w:tc>
        <w:tc>
          <w:tcPr>
            <w:tcW w:type="dxa" w:w="1440"/>
            <w:vAlign w:val="top"/>
          </w:tcPr>
          <w:p>
            <w:r>
              <w:rPr>
                <w:rFonts w:ascii="Arial" w:hAnsi="Arial"/>
                <w:sz w:val="17"/>
              </w:rPr>
              <w:t>0.917</w:t>
            </w:r>
          </w:p>
        </w:tc>
        <w:tc>
          <w:tcPr>
            <w:tcW w:type="dxa" w:w="1440"/>
            <w:vAlign w:val="top"/>
          </w:tcPr>
          <w:p>
            <w:r>
              <w:rPr>
                <w:rFonts w:ascii="Arial" w:hAnsi="Arial"/>
                <w:sz w:val="17"/>
              </w:rPr>
              <w:t>1.000</w:t>
            </w:r>
          </w:p>
        </w:tc>
        <w:tc>
          <w:tcPr>
            <w:tcW w:type="dxa" w:w="1728"/>
            <w:vAlign w:val="top"/>
          </w:tcPr>
          <w:p>
            <w:r>
              <w:rPr>
                <w:rFonts w:ascii="Arial" w:hAnsi="Arial"/>
                <w:sz w:val="17"/>
              </w:rPr>
              <w:t>0.033</w:t>
            </w:r>
          </w:p>
        </w:tc>
      </w:tr>
      <w:tr>
        <w:tc>
          <w:tcPr>
            <w:tcW w:type="dxa" w:w="3024"/>
            <w:vAlign w:val="top"/>
          </w:tcPr>
          <w:p>
            <w:r>
              <w:rPr>
                <w:rFonts w:ascii="Arial" w:hAnsi="Arial"/>
                <w:sz w:val="17"/>
              </w:rPr>
              <w:t>multi_hop</w:t>
            </w:r>
          </w:p>
        </w:tc>
        <w:tc>
          <w:tcPr>
            <w:tcW w:type="dxa" w:w="1440"/>
            <w:vAlign w:val="top"/>
          </w:tcPr>
          <w:p>
            <w:r>
              <w:rPr>
                <w:rFonts w:ascii="Arial" w:hAnsi="Arial"/>
                <w:sz w:val="17"/>
              </w:rPr>
              <w:t>1.000</w:t>
            </w:r>
          </w:p>
        </w:tc>
        <w:tc>
          <w:tcPr>
            <w:tcW w:type="dxa" w:w="1440"/>
            <w:vAlign w:val="top"/>
          </w:tcPr>
          <w:p>
            <w:r>
              <w:rPr>
                <w:rFonts w:ascii="Arial" w:hAnsi="Arial"/>
                <w:sz w:val="17"/>
              </w:rPr>
              <w:t>0.917</w:t>
            </w:r>
          </w:p>
        </w:tc>
        <w:tc>
          <w:tcPr>
            <w:tcW w:type="dxa" w:w="1440"/>
            <w:vAlign w:val="top"/>
          </w:tcPr>
          <w:p>
            <w:r>
              <w:rPr>
                <w:rFonts w:ascii="Arial" w:hAnsi="Arial"/>
                <w:sz w:val="17"/>
              </w:rPr>
              <w:t>1.000</w:t>
            </w:r>
          </w:p>
        </w:tc>
        <w:tc>
          <w:tcPr>
            <w:tcW w:type="dxa" w:w="1728"/>
            <w:vAlign w:val="top"/>
          </w:tcPr>
          <w:p>
            <w:r>
              <w:rPr>
                <w:rFonts w:ascii="Arial" w:hAnsi="Arial"/>
                <w:sz w:val="17"/>
              </w:rPr>
              <w:t>0.033</w:t>
            </w:r>
          </w:p>
        </w:tc>
      </w:tr>
      <w:tr>
        <w:tc>
          <w:tcPr>
            <w:tcW w:type="dxa" w:w="3024"/>
            <w:vAlign w:val="top"/>
          </w:tcPr>
          <w:p>
            <w:r>
              <w:rPr>
                <w:rFonts w:ascii="Arial" w:hAnsi="Arial"/>
                <w:sz w:val="17"/>
              </w:rPr>
              <w:t>rag_classic</w:t>
            </w:r>
          </w:p>
        </w:tc>
        <w:tc>
          <w:tcPr>
            <w:tcW w:type="dxa" w:w="1440"/>
            <w:vAlign w:val="top"/>
          </w:tcPr>
          <w:p>
            <w:r>
              <w:rPr>
                <w:rFonts w:ascii="Arial" w:hAnsi="Arial"/>
                <w:sz w:val="17"/>
              </w:rPr>
              <w:t>1.000</w:t>
            </w:r>
          </w:p>
        </w:tc>
        <w:tc>
          <w:tcPr>
            <w:tcW w:type="dxa" w:w="1440"/>
            <w:vAlign w:val="top"/>
          </w:tcPr>
          <w:p>
            <w:r>
              <w:rPr>
                <w:rFonts w:ascii="Arial" w:hAnsi="Arial"/>
                <w:sz w:val="17"/>
              </w:rPr>
              <w:t>0.917</w:t>
            </w:r>
          </w:p>
        </w:tc>
        <w:tc>
          <w:tcPr>
            <w:tcW w:type="dxa" w:w="1440"/>
            <w:vAlign w:val="top"/>
          </w:tcPr>
          <w:p>
            <w:r>
              <w:rPr>
                <w:rFonts w:ascii="Arial" w:hAnsi="Arial"/>
                <w:sz w:val="17"/>
              </w:rPr>
              <w:t>1.000</w:t>
            </w:r>
          </w:p>
        </w:tc>
        <w:tc>
          <w:tcPr>
            <w:tcW w:type="dxa" w:w="1728"/>
            <w:vAlign w:val="top"/>
          </w:tcPr>
          <w:p>
            <w:r>
              <w:rPr>
                <w:rFonts w:ascii="Arial" w:hAnsi="Arial"/>
                <w:sz w:val="17"/>
              </w:rPr>
              <w:t>0.033</w:t>
            </w:r>
          </w:p>
        </w:tc>
      </w:tr>
      <w:tr>
        <w:tc>
          <w:tcPr>
            <w:tcW w:type="dxa" w:w="3024"/>
            <w:vAlign w:val="top"/>
          </w:tcPr>
          <w:p>
            <w:r>
              <w:rPr>
                <w:rFonts w:ascii="Arial" w:hAnsi="Arial"/>
                <w:sz w:val="17"/>
              </w:rPr>
              <w:t>rag_hybrid</w:t>
            </w:r>
          </w:p>
        </w:tc>
        <w:tc>
          <w:tcPr>
            <w:tcW w:type="dxa" w:w="1440"/>
            <w:vAlign w:val="top"/>
          </w:tcPr>
          <w:p>
            <w:r>
              <w:rPr>
                <w:rFonts w:ascii="Arial" w:hAnsi="Arial"/>
                <w:sz w:val="17"/>
              </w:rPr>
              <w:t>1.000</w:t>
            </w:r>
          </w:p>
        </w:tc>
        <w:tc>
          <w:tcPr>
            <w:tcW w:type="dxa" w:w="1440"/>
            <w:vAlign w:val="top"/>
          </w:tcPr>
          <w:p>
            <w:r>
              <w:rPr>
                <w:rFonts w:ascii="Arial" w:hAnsi="Arial"/>
                <w:sz w:val="17"/>
              </w:rPr>
              <w:t>0.917</w:t>
            </w:r>
          </w:p>
        </w:tc>
        <w:tc>
          <w:tcPr>
            <w:tcW w:type="dxa" w:w="1440"/>
            <w:vAlign w:val="top"/>
          </w:tcPr>
          <w:p>
            <w:r>
              <w:rPr>
                <w:rFonts w:ascii="Arial" w:hAnsi="Arial"/>
                <w:sz w:val="17"/>
              </w:rPr>
              <w:t>1.000</w:t>
            </w:r>
          </w:p>
        </w:tc>
        <w:tc>
          <w:tcPr>
            <w:tcW w:type="dxa" w:w="1728"/>
            <w:vAlign w:val="top"/>
          </w:tcPr>
          <w:p>
            <w:r>
              <w:rPr>
                <w:rFonts w:ascii="Arial" w:hAnsi="Arial"/>
                <w:sz w:val="17"/>
              </w:rPr>
              <w:t>0.033</w:t>
            </w:r>
          </w:p>
        </w:tc>
      </w:tr>
      <w:tr>
        <w:tc>
          <w:tcPr>
            <w:tcW w:type="dxa" w:w="3024"/>
            <w:vAlign w:val="top"/>
          </w:tcPr>
          <w:p>
            <w:r>
              <w:rPr>
                <w:rFonts w:ascii="Arial" w:hAnsi="Arial"/>
                <w:sz w:val="17"/>
              </w:rPr>
              <w:t>rag_rerank</w:t>
            </w:r>
          </w:p>
        </w:tc>
        <w:tc>
          <w:tcPr>
            <w:tcW w:type="dxa" w:w="1440"/>
            <w:vAlign w:val="top"/>
          </w:tcPr>
          <w:p>
            <w:r>
              <w:rPr>
                <w:rFonts w:ascii="Arial" w:hAnsi="Arial"/>
                <w:sz w:val="17"/>
              </w:rPr>
              <w:t>1.000</w:t>
            </w:r>
          </w:p>
        </w:tc>
        <w:tc>
          <w:tcPr>
            <w:tcW w:type="dxa" w:w="1440"/>
            <w:vAlign w:val="top"/>
          </w:tcPr>
          <w:p>
            <w:r>
              <w:rPr>
                <w:rFonts w:ascii="Arial" w:hAnsi="Arial"/>
                <w:sz w:val="17"/>
              </w:rPr>
              <w:t>0.917</w:t>
            </w:r>
          </w:p>
        </w:tc>
        <w:tc>
          <w:tcPr>
            <w:tcW w:type="dxa" w:w="1440"/>
            <w:vAlign w:val="top"/>
          </w:tcPr>
          <w:p>
            <w:r>
              <w:rPr>
                <w:rFonts w:ascii="Arial" w:hAnsi="Arial"/>
                <w:sz w:val="17"/>
              </w:rPr>
              <w:t>1.000</w:t>
            </w:r>
          </w:p>
        </w:tc>
        <w:tc>
          <w:tcPr>
            <w:tcW w:type="dxa" w:w="1728"/>
            <w:vAlign w:val="top"/>
          </w:tcPr>
          <w:p>
            <w:r>
              <w:rPr>
                <w:rFonts w:ascii="Arial" w:hAnsi="Arial"/>
                <w:sz w:val="17"/>
              </w:rPr>
              <w:t>0.033</w:t>
            </w:r>
          </w:p>
        </w:tc>
      </w:tr>
      <w:tr>
        <w:tc>
          <w:tcPr>
            <w:tcW w:type="dxa" w:w="3024"/>
            <w:vAlign w:val="top"/>
          </w:tcPr>
          <w:p>
            <w:r>
              <w:rPr>
                <w:rFonts w:ascii="Arial" w:hAnsi="Arial"/>
                <w:sz w:val="17"/>
              </w:rPr>
              <w:t>baseline</w:t>
            </w:r>
          </w:p>
        </w:tc>
        <w:tc>
          <w:tcPr>
            <w:tcW w:type="dxa" w:w="1440"/>
            <w:vAlign w:val="top"/>
          </w:tcPr>
          <w:p>
            <w:r>
              <w:rPr>
                <w:rFonts w:ascii="Arial" w:hAnsi="Arial"/>
                <w:sz w:val="17"/>
              </w:rPr>
              <w:t>1.000</w:t>
            </w:r>
          </w:p>
        </w:tc>
        <w:tc>
          <w:tcPr>
            <w:tcW w:type="dxa" w:w="1440"/>
            <w:vAlign w:val="top"/>
          </w:tcPr>
          <w:p>
            <w:r>
              <w:rPr>
                <w:rFonts w:ascii="Arial" w:hAnsi="Arial"/>
                <w:sz w:val="17"/>
              </w:rPr>
              <w:t>0.917</w:t>
            </w:r>
          </w:p>
        </w:tc>
        <w:tc>
          <w:tcPr>
            <w:tcW w:type="dxa" w:w="1440"/>
            <w:vAlign w:val="top"/>
          </w:tcPr>
          <w:p>
            <w:r>
              <w:rPr>
                <w:rFonts w:ascii="Arial" w:hAnsi="Arial"/>
                <w:sz w:val="17"/>
              </w:rPr>
              <w:t>0.000</w:t>
            </w:r>
          </w:p>
        </w:tc>
        <w:tc>
          <w:tcPr>
            <w:tcW w:type="dxa" w:w="1728"/>
            <w:vAlign w:val="top"/>
          </w:tcPr>
          <w:p>
            <w:r>
              <w:rPr>
                <w:rFonts w:ascii="Arial" w:hAnsi="Arial"/>
                <w:sz w:val="17"/>
              </w:rPr>
              <w:t>0.337</w:t>
            </w:r>
          </w:p>
        </w:tc>
      </w:tr>
    </w:tbl>
    <w:p>
      <w:r>
        <w:t>Visualisation des embeddings (t-SNE) produite par le script d evaluation:</w:t>
      </w:r>
    </w:p>
    <w:p>
      <w:r>
        <w:drawing>
          <wp:inline xmlns:a="http://schemas.openxmlformats.org/drawingml/2006/main" xmlns:pic="http://schemas.openxmlformats.org/drawingml/2006/picture">
            <wp:extent cx="5303520" cy="3712464"/>
            <wp:docPr id="1" name="Picture 1"/>
            <wp:cNvGraphicFramePr>
              <a:graphicFrameLocks noChangeAspect="1"/>
            </wp:cNvGraphicFramePr>
            <a:graphic>
              <a:graphicData uri="http://schemas.openxmlformats.org/drawingml/2006/picture">
                <pic:pic>
                  <pic:nvPicPr>
                    <pic:cNvPr id="0" name="embedding_tsne.png"/>
                    <pic:cNvPicPr/>
                  </pic:nvPicPr>
                  <pic:blipFill>
                    <a:blip r:embed="rId9"/>
                    <a:stretch>
                      <a:fillRect/>
                    </a:stretch>
                  </pic:blipFill>
                  <pic:spPr>
                    <a:xfrm>
                      <a:off x="0" y="0"/>
                      <a:ext cx="5303520" cy="3712464"/>
                    </a:xfrm>
                    <a:prstGeom prst="rect"/>
                  </pic:spPr>
                </pic:pic>
              </a:graphicData>
            </a:graphic>
          </wp:inline>
        </w:drawing>
      </w:r>
    </w:p>
    <w:p>
      <w:pPr>
        <w:pStyle w:val="Heading1"/>
      </w:pPr>
      <w:r>
        <w:t>9. Analyse critique</w:t>
      </w:r>
    </w:p>
    <w:p>
      <w:r>
        <w:t>Les architectures RAG sont plus robustes que la baseline car elles recuperent un contexte documente avant generation. La baseline peut reconnaitre un type d'attaque simple, mais elle ne prouve pas l'origine de la reponse et garde le risque d'hallucination le plus eleve.</w:t>
      </w:r>
    </w:p>
    <w:p>
      <w:r>
        <w:t>L'architecture la plus adaptee est Agentic RAG: elle choisit la strategie selon l'ambiguite, peut faire une expansion de requete et reduit le risque d'hallucination. Le RAG hybride est egalement solide car il combine similarite vectorielle et correspondance lexicale BM25.</w:t>
      </w:r>
    </w:p>
    <w:p>
      <w:r>
        <w:t>Limites: les regles sont validees par un parseur interne, pas par un moteur Snort reel. Avant production, il faut tester avec Snort -T et sur PCAP. Les templates restent volontairement conservateurs pour reduire les faux positifs.</w:t>
      </w:r>
    </w:p>
    <w:p>
      <w:pPr>
        <w:pStyle w:val="Heading1"/>
      </w:pPr>
      <w:r>
        <w:t>10. Mode d execution</w:t>
      </w:r>
    </w:p>
    <w:p>
      <w:r>
        <w:rPr>
          <w:rFonts w:ascii="Courier New" w:hAnsi="Courier New"/>
          <w:sz w:val="18"/>
        </w:rPr>
        <w:t>pip install -r requirements.txt</w:t>
        <w:br/>
        <w:t>pip install -e .</w:t>
        <w:br/>
        <w:t>python -m snort_rag.generate_dataset --multiplier 20</w:t>
        <w:br/>
        <w:t>python -m snort_rag.run_devoir3</w:t>
        <w:br/>
        <w:t>python -m snort_rag.app_gradio</w:t>
        <w:br/>
      </w:r>
    </w:p>
    <w:p>
      <w:pPr>
        <w:pStyle w:val="Heading1"/>
      </w:pPr>
      <w:r>
        <w:t>11. Conclusion</w:t>
      </w:r>
    </w:p>
    <w:p>
      <w:r>
        <w:t>Le livrable fournit un socle complet pour le sujet Snort: dataset personnel enrichissable, pipeline RAG, generation defensivement controlee, interface web, evaluation des architectures et rapport. Il respecte l'objectif pedagogique: comprendre le retrieval et justifier les resultats au lieu d'utiliser un LLM comme boite noire.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