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2566FB94" w:rsidR="00123539" w:rsidRPr="00C810D5" w:rsidRDefault="009D2BDA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>{{rca_auto1}}</w:t>
      </w:r>
    </w:p>
    <w:p w14:paraId="7B464383" w14:textId="77777777" w:rsidR="009D2BDA" w:rsidRDefault="00123539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736822AE" w14:textId="77777777" w:rsidR="009D2BDA" w:rsidRDefault="009D2BDA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22B65531" w14:textId="2F1271CF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ab/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bookmarkStart w:id="0" w:name="_Hlk165231876"/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{{nr_auto1}}</w:t>
      </w:r>
      <w:bookmarkEnd w:id="0"/>
      <w:r w:rsidR="00123539"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{{rca_auto1}}, polița de asigurare nr.</w:t>
      </w:r>
      <w:r w:rsidR="00BA2A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{{serie_rca1}} valabilă de la {{inceput_rca1}} până la {{sfarsit_rca1}}.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5BFBC63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99754D1" w14:textId="77777777" w:rsidR="0055145D" w:rsidRDefault="0012353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</w:p>
    <w:p w14:paraId="63F0FE2D" w14:textId="6D9DD0CE" w:rsidR="00123539" w:rsidRPr="00771D66" w:rsidRDefault="0055145D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51416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</w:t>
      </w:r>
      <w:r w:rsidR="00502087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/l alcool pur în aerul expirat </w:t>
      </w:r>
    </w:p>
    <w:p w14:paraId="2F53EADA" w14:textId="4C271711" w:rsidR="00995A71" w:rsidRPr="00771D66" w:rsidRDefault="009D2BDA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6B05A3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3FEFAB9F" w14:textId="77777777" w:rsidR="0055145D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6897D3B7" w:rsidR="009D2BDA" w:rsidRPr="00771D66" w:rsidRDefault="0055145D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51416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07EB8E56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6B05A3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DF83B62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3F8743B8" w14:textId="5DF80383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3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33DCB67" w14:textId="77777777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192F67" w14:textId="77777777" w:rsidR="0055145D" w:rsidRDefault="00FE0AF8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</w:p>
    <w:p w14:paraId="34B0F4ED" w14:textId="0D3C4DE0" w:rsidR="00FE0AF8" w:rsidRPr="00771D66" w:rsidRDefault="0055145D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51416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{{etilo3}}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FE0AF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3B0FF05" w14:textId="525516F2" w:rsidR="00FE0AF8" w:rsidRDefault="00FE0AF8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6B05A3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52F3A066" w14:textId="675D4CDB" w:rsidR="00004AAB" w:rsidRDefault="00004AAB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04E12723" w14:textId="35312E13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4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CA71D0B" w14:textId="77777777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34C44BB0" w14:textId="77777777" w:rsidR="0055145D" w:rsidRDefault="00004AAB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</w:p>
    <w:p w14:paraId="4211FE3A" w14:textId="699871F5" w:rsidR="00004AAB" w:rsidRPr="00771D66" w:rsidRDefault="0055145D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51416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{{etilo4}}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004AAB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4752DFBF" w14:textId="26950A33" w:rsidR="00004AAB" w:rsidRDefault="00004AAB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6B05A3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ABC56D0" w14:textId="365B3FE1" w:rsidR="004A3C94" w:rsidRDefault="004A3C94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722B12E2" w14:textId="6F39CF81" w:rsidR="004A3C94" w:rsidRDefault="004A3C94" w:rsidP="004A3C9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5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79804B14" w14:textId="77777777" w:rsidR="004A3C94" w:rsidRDefault="004A3C94" w:rsidP="004A3C9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27A812" w14:textId="77777777" w:rsidR="0055145D" w:rsidRDefault="004A3C94" w:rsidP="004A3C94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lastRenderedPageBreak/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9CD3C85" w14:textId="38678D09" w:rsidR="004A3C94" w:rsidRPr="00771D66" w:rsidRDefault="0055145D" w:rsidP="004A3C94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51416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{{etilo5}}</w:t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4A3C94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4A3C94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="004A3C94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619796B4" w14:textId="44BBD26D" w:rsidR="004A3C94" w:rsidRPr="00771D66" w:rsidRDefault="004A3C94" w:rsidP="004A3C94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6B05A3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65AE7E2B" w14:textId="77777777" w:rsidR="004A3C94" w:rsidRPr="00771D66" w:rsidRDefault="004A3C94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015A6BAB" w14:textId="77777777" w:rsidR="00004AAB" w:rsidRPr="00771D66" w:rsidRDefault="00004AAB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370B173D" w14:textId="77777777" w:rsidR="00FE0AF8" w:rsidRDefault="00FE0AF8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7A983ECC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autoturismului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din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1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1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privind asigurările şi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41D7ED16" w14:textId="20E95578" w:rsidR="00753AD4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poliţie, unităţile de pompieri şi celelalte autorităţi publice competente să constate şi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şi datele cu privire la cauzele şi împrejurările producerii riscurilor asigurate şi la pagubele provocate în vederea stabilirii şi plăţii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FE0AF8">
      <w:pgSz w:w="11907" w:h="16839" w:code="9"/>
      <w:pgMar w:top="340" w:right="680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04AAB"/>
    <w:rsid w:val="00011C6D"/>
    <w:rsid w:val="00031644"/>
    <w:rsid w:val="00123539"/>
    <w:rsid w:val="0013007B"/>
    <w:rsid w:val="0036012B"/>
    <w:rsid w:val="004961C2"/>
    <w:rsid w:val="004A3C94"/>
    <w:rsid w:val="004A3DE4"/>
    <w:rsid w:val="004B4AF0"/>
    <w:rsid w:val="00502087"/>
    <w:rsid w:val="0051416A"/>
    <w:rsid w:val="00524427"/>
    <w:rsid w:val="0055145D"/>
    <w:rsid w:val="00606560"/>
    <w:rsid w:val="00643451"/>
    <w:rsid w:val="006A2055"/>
    <w:rsid w:val="006B05A3"/>
    <w:rsid w:val="00753AD4"/>
    <w:rsid w:val="00771D66"/>
    <w:rsid w:val="008B5B11"/>
    <w:rsid w:val="008E0C2F"/>
    <w:rsid w:val="008F42CE"/>
    <w:rsid w:val="00947318"/>
    <w:rsid w:val="00954FBB"/>
    <w:rsid w:val="00970A82"/>
    <w:rsid w:val="00970E43"/>
    <w:rsid w:val="00995A71"/>
    <w:rsid w:val="009D2BDA"/>
    <w:rsid w:val="009D4B24"/>
    <w:rsid w:val="00B92D28"/>
    <w:rsid w:val="00BA2A6A"/>
    <w:rsid w:val="00BA3681"/>
    <w:rsid w:val="00BC6945"/>
    <w:rsid w:val="00C810D5"/>
    <w:rsid w:val="00CD61EB"/>
    <w:rsid w:val="00D005D1"/>
    <w:rsid w:val="00E220AB"/>
    <w:rsid w:val="00EC3E52"/>
    <w:rsid w:val="00F669C4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5</cp:revision>
  <cp:lastPrinted>2024-02-12T04:43:00Z</cp:lastPrinted>
  <dcterms:created xsi:type="dcterms:W3CDTF">2024-04-28T18:32:00Z</dcterms:created>
  <dcterms:modified xsi:type="dcterms:W3CDTF">2024-06-11T17:34:00Z</dcterms:modified>
</cp:coreProperties>
</file>