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Abstract</w:t>
      </w:r>
    </w:p>
    <w:p w:rsidR="00000000" w:rsidDel="00000000" w:rsidP="00000000" w:rsidRDefault="00000000" w:rsidRPr="00000000" w14:paraId="00000002">
      <w:pPr>
        <w:jc w:val="both"/>
        <w:rPr/>
      </w:pPr>
      <w:r w:rsidDel="00000000" w:rsidR="00000000" w:rsidRPr="00000000">
        <w:rPr>
          <w:rtl w:val="0"/>
        </w:rPr>
        <w:t xml:space="preserve">Change Future es una plataforma web orientada a la venta y personalización de productos de impresión 3D. El proyecto surge ante la dificultad que presentan algunos usuarios para personalizar productos sin contar con conocimientos técnicos de modelado. La solución busca facilitar este proceso mediante una plataforma que permita explorar productos, seleccionar opciones de personalización, cargar imágenes, generar propuestas y gestionar compras y pedidos. Para su desarrollo se utilizarán tecnologías como React, Flask, PostgreSQL y Docker, implementando una arquitectura basada en microservicios. El proyecto busca entregar una experiencia de compra sencilla y accesible, permitiendo a los usuarios participar de manera más directa en la creación de productos personalizados.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